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320"/>
        <w:jc w:val="center"/>
      </w:pPr>
      <w:r>
        <w:rPr>
          <w:rFonts w:ascii="Times New Roman" w:cs="Times New Roman" w:eastAsia="Times New Roman" w:hAnsi="Times New Roman"/>
          <w:b/>
          <w:bCs/>
          <w:sz w:val="30"/>
          <w:szCs w:val="30"/>
        </w:rPr>
        <w:t xml:space="preserve">Spatio-Temporal Patterns of Satellite-Observed Air Pollutants and Their Relationship With Land Surface Temperature Over Bangladesh in 2025: A Google Earth Engine–Based Assessment</w:t>
      </w:r>
    </w:p>
    <w:p>
      <w:pPr>
        <w:spacing w:after="60" w:line="300"/>
        <w:jc w:val="center"/>
      </w:pPr>
      <w:r>
        <w:rPr>
          <w:rFonts w:ascii="Times New Roman" w:cs="Times New Roman" w:eastAsia="Times New Roman" w:hAnsi="Times New Roman"/>
          <w:sz w:val="24"/>
          <w:szCs w:val="24"/>
        </w:rPr>
        <w:t xml:space="preserve">[Author names to be added]</w:t>
      </w:r>
    </w:p>
    <w:p>
      <w:pPr>
        <w:spacing w:after="60" w:line="300"/>
        <w:jc w:val="center"/>
      </w:pPr>
      <w:r>
        <w:rPr>
          <w:rFonts w:ascii="Times New Roman" w:cs="Times New Roman" w:eastAsia="Times New Roman" w:hAnsi="Times New Roman"/>
          <w:sz w:val="24"/>
          <w:szCs w:val="24"/>
        </w:rPr>
        <w:t xml:space="preserve">[Affiliations to be added]</w:t>
      </w:r>
    </w:p>
    <w:p>
      <w:pPr>
        <w:spacing w:after="60" w:line="300"/>
        <w:jc w:val="center"/>
      </w:pPr>
      <w:r>
        <w:rPr>
          <w:rFonts w:ascii="Times New Roman" w:cs="Times New Roman" w:eastAsia="Times New Roman" w:hAnsi="Times New Roman"/>
          <w:sz w:val="24"/>
          <w:szCs w:val="24"/>
        </w:rPr>
        <w:t xml:space="preserve">Corresponding author: [name and e-mail address to be added]</w:t>
      </w:r>
    </w:p>
    <w:p>
      <w:pPr>
        <w:keepNext/>
        <w:spacing w:after="120" w:before="240" w:line="360"/>
        <w:jc w:val="left"/>
      </w:pPr>
      <w:r>
        <w:rPr>
          <w:rFonts w:ascii="Times New Roman" w:cs="Times New Roman" w:eastAsia="Times New Roman" w:hAnsi="Times New Roman"/>
          <w:b/>
          <w:bCs/>
          <w:sz w:val="26"/>
          <w:szCs w:val="26"/>
        </w:rPr>
        <w:t xml:space="preserve">Abstract</w:t>
      </w:r>
    </w:p>
    <w:p>
      <w:pPr>
        <w:spacing w:after="160" w:line="360"/>
        <w:jc w:val="both"/>
      </w:pPr>
      <w:r>
        <w:rPr>
          <w:rFonts w:ascii="Times New Roman" w:cs="Times New Roman" w:eastAsia="Times New Roman" w:hAnsi="Times New Roman"/>
          <w:sz w:val="24"/>
          <w:szCs w:val="24"/>
        </w:rPr>
        <w:t xml:space="preserve">Bangladesh is among the most polluted countries in the world, yet its ground monitoring network is sparse and largely urban. This study provides a national-scale, satellite-based assessment of air pollutants and land surface temperature (LST) for 2025 and examines how they are related across space and seasons. Seven Sentinel-5P TROPOMI products (CH</w:t>
      </w:r>
      <w:r>
        <w:rPr>
          <w:rFonts w:ascii="Times New Roman" w:cs="Times New Roman" w:eastAsia="Times New Roman" w:hAnsi="Times New Roman"/>
          <w:sz w:val="24"/>
          <w:szCs w:val="24"/>
          <w:vertAlign w:val="subscript"/>
        </w:rPr>
        <w:t xml:space="preserve">4</w:t>
      </w:r>
      <w:r>
        <w:rPr>
          <w:rFonts w:ascii="Times New Roman" w:cs="Times New Roman" w:eastAsia="Times New Roman" w:hAnsi="Times New Roman"/>
          <w:sz w:val="24"/>
          <w:szCs w:val="24"/>
        </w:rPr>
        <w:t xml:space="preserve">, HCHO, O</w:t>
      </w:r>
      <w:r>
        <w:rPr>
          <w:rFonts w:ascii="Times New Roman" w:cs="Times New Roman" w:eastAsia="Times New Roman" w:hAnsi="Times New Roman"/>
          <w:sz w:val="24"/>
          <w:szCs w:val="24"/>
          <w:vertAlign w:val="subscript"/>
        </w:rPr>
        <w:t xml:space="preserve">3</w:t>
      </w:r>
      <w:r>
        <w:rPr>
          <w:rFonts w:ascii="Times New Roman" w:cs="Times New Roman" w:eastAsia="Times New Roman" w:hAnsi="Times New Roman"/>
          <w:sz w:val="24"/>
          <w:szCs w:val="24"/>
        </w:rPr>
        <w:t xml:space="preserve">, UV aerosol index [UVAI], NO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CO and SO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MODIS aerosol optical depth (AOD) and MODIS day and night LST were quality-controlled and composited in Google Earth Engine. Relationships were analysed on a 0.05° grid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4,901 cells) using correlation, regression, principal component analysis and geographically weighted regression (GWR), and satellite values were compared with measurements from 16 ground stations. AOD and CO declined from west to east, whereas NO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CH</w:t>
      </w:r>
      <w:r>
        <w:rPr>
          <w:rFonts w:ascii="Times New Roman" w:cs="Times New Roman" w:eastAsia="Times New Roman" w:hAnsi="Times New Roman"/>
          <w:sz w:val="24"/>
          <w:szCs w:val="24"/>
          <w:vertAlign w:val="subscript"/>
        </w:rPr>
        <w:t xml:space="preserve">4</w:t>
      </w:r>
      <w:r>
        <w:rPr>
          <w:rFonts w:ascii="Times New Roman" w:cs="Times New Roman" w:eastAsia="Times New Roman" w:hAnsi="Times New Roman"/>
          <w:sz w:val="24"/>
          <w:szCs w:val="24"/>
        </w:rPr>
        <w:t xml:space="preserve">, HCHO and the surface urban heat island (up to 3.7 °C) peaked over the Dhaka conurbation. NO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CO, SO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and AOD were highest in winter and the pre-monsoon season and lowest during the monsoon. Annual daytime LST was positively correlated with CH</w:t>
      </w:r>
      <w:r>
        <w:rPr>
          <w:rFonts w:ascii="Times New Roman" w:cs="Times New Roman" w:eastAsia="Times New Roman" w:hAnsi="Times New Roman"/>
          <w:sz w:val="24"/>
          <w:szCs w:val="24"/>
          <w:vertAlign w:val="subscript"/>
        </w:rPr>
        <w:t xml:space="preserve">4</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 0.48), NO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(0.36), SO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(0.31) and HCHO (0.30), but single pollutants explained at most 23% of its variance; three principal components explained 74.9% of the total variance. The relationships reversed between seasons: the correlation between AOD and daytime LST was −0.52 in winter and 0.29 in the monsoon. GWR raised the explained variance of LST from 0.24 to more than 0.91, indicating strong spatial non-stationarity, with CH</w:t>
      </w:r>
      <w:r>
        <w:rPr>
          <w:rFonts w:ascii="Times New Roman" w:cs="Times New Roman" w:eastAsia="Times New Roman" w:hAnsi="Times New Roman"/>
          <w:sz w:val="24"/>
          <w:szCs w:val="24"/>
          <w:vertAlign w:val="subscript"/>
        </w:rPr>
        <w:t xml:space="preserve">4</w:t>
      </w:r>
      <w:r>
        <w:rPr>
          <w:rFonts w:ascii="Times New Roman" w:cs="Times New Roman" w:eastAsia="Times New Roman" w:hAnsi="Times New Roman"/>
          <w:sz w:val="24"/>
          <w:szCs w:val="24"/>
        </w:rPr>
        <w:t xml:space="preserve"> the most frequently significant local predictor. Station PM</w:t>
      </w:r>
      <w:r>
        <w:rPr>
          <w:rFonts w:ascii="Times New Roman" w:cs="Times New Roman" w:eastAsia="Times New Roman" w:hAnsi="Times New Roman"/>
          <w:sz w:val="24"/>
          <w:szCs w:val="24"/>
          <w:vertAlign w:val="subscript"/>
        </w:rPr>
        <w:t xml:space="preserve">2.5</w:t>
      </w:r>
      <w:r>
        <w:rPr>
          <w:rFonts w:ascii="Times New Roman" w:cs="Times New Roman" w:eastAsia="Times New Roman" w:hAnsi="Times New Roman"/>
          <w:sz w:val="24"/>
          <w:szCs w:val="24"/>
        </w:rPr>
        <w:t xml:space="preserve"> correlated with AOD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 0.50) and UVAI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 0.72), and every station exceeded the World Health Organization guideline and the national standard. The results identify persistent multi-pollutant hotspots and show that pollutant–temperature relationships in a monsoon delta are seasonal and spatially variable, with implications for air quality and urban heat management.</w:t>
      </w:r>
    </w:p>
    <w:p>
      <w:pPr>
        <w:spacing w:after="160" w:line="360"/>
        <w:jc w:val="both"/>
      </w:pPr>
      <w:r>
        <w:rPr>
          <w:rFonts w:ascii="Times New Roman" w:cs="Times New Roman" w:eastAsia="Times New Roman" w:hAnsi="Times New Roman"/>
          <w:i/>
          <w:iCs/>
          <w:sz w:val="24"/>
          <w:szCs w:val="24"/>
        </w:rPr>
        <w:t xml:space="preserve">Keywords: </w:t>
      </w:r>
      <w:r>
        <w:rPr>
          <w:rFonts w:ascii="Times New Roman" w:cs="Times New Roman" w:eastAsia="Times New Roman" w:hAnsi="Times New Roman"/>
          <w:sz w:val="24"/>
          <w:szCs w:val="24"/>
        </w:rPr>
        <w:t xml:space="preserve">air pollution; land surface temperature; Sentinel-5P TROPOMI; MODIS; Google Earth Engine; geographically weighted regression; urban heat island; Bangladesh</w:t>
      </w:r>
    </w:p>
    <w:p>
      <w:pPr>
        <w:pStyle w:val="Heading1"/>
        <w:keepNext/>
        <w:spacing w:after="140" w:before="280" w:line="360"/>
      </w:pPr>
      <w:r>
        <w:rPr>
          <w:rFonts w:ascii="Times New Roman" w:cs="Times New Roman" w:eastAsia="Times New Roman" w:hAnsi="Times New Roman"/>
          <w:b/>
          <w:bCs/>
          <w:color w:val="000000"/>
          <w:sz w:val="26"/>
          <w:szCs w:val="26"/>
        </w:rPr>
        <w:t xml:space="preserve">1. Introduction</w:t>
      </w:r>
    </w:p>
    <w:p>
      <w:pPr>
        <w:spacing w:after="160" w:line="360"/>
        <w:jc w:val="both"/>
      </w:pPr>
      <w:r>
        <w:rPr>
          <w:rFonts w:ascii="Times New Roman" w:cs="Times New Roman" w:eastAsia="Times New Roman" w:hAnsi="Times New Roman"/>
          <w:sz w:val="24"/>
          <w:szCs w:val="24"/>
        </w:rPr>
        <w:t xml:space="preserve">Ambient air pollution is one of the leading environmental risks to human health worldwide (GBD 2019 Risk Factors Collaborators, 2020; Lelieveld et al., 2015). The burden is particularly heavy in South Asia, and Bangladesh has repeatedly been ranked among the most polluted countries in the world. Raza et al. (2022) reported that Bangladesh was ranked the most polluted country between 2018 and 2021 and that air pollution was the second-largest risk factor for death and disability in the country in 2019. In 2024 the national annual mean PM</w:t>
      </w:r>
      <w:r>
        <w:rPr>
          <w:rFonts w:ascii="Times New Roman" w:cs="Times New Roman" w:eastAsia="Times New Roman" w:hAnsi="Times New Roman"/>
          <w:sz w:val="24"/>
          <w:szCs w:val="24"/>
          <w:vertAlign w:val="subscript"/>
        </w:rPr>
        <w:t xml:space="preserve">2.5</w:t>
      </w:r>
      <w:r>
        <w:rPr>
          <w:rFonts w:ascii="Times New Roman" w:cs="Times New Roman" w:eastAsia="Times New Roman" w:hAnsi="Times New Roman"/>
          <w:sz w:val="24"/>
          <w:szCs w:val="24"/>
        </w:rPr>
        <w:t xml:space="preserve"> concentration was 78 µg m</w:t>
      </w:r>
      <w:r>
        <w:rPr>
          <w:rFonts w:ascii="Times New Roman" w:cs="Times New Roman" w:eastAsia="Times New Roman" w:hAnsi="Times New Roman"/>
          <w:sz w:val="24"/>
          <w:szCs w:val="24"/>
          <w:vertAlign w:val="superscript"/>
        </w:rPr>
        <w:t xml:space="preserve">−3</w:t>
      </w:r>
      <w:r>
        <w:rPr>
          <w:rFonts w:ascii="Times New Roman" w:cs="Times New Roman" w:eastAsia="Times New Roman" w:hAnsi="Times New Roman"/>
          <w:sz w:val="24"/>
          <w:szCs w:val="24"/>
        </w:rPr>
        <w:t xml:space="preserve">, the second highest in the world and more than 15 times the World Health Organization (WHO) annual guideline of 5 µg m</w:t>
      </w:r>
      <w:r>
        <w:rPr>
          <w:rFonts w:ascii="Times New Roman" w:cs="Times New Roman" w:eastAsia="Times New Roman" w:hAnsi="Times New Roman"/>
          <w:sz w:val="24"/>
          <w:szCs w:val="24"/>
          <w:vertAlign w:val="superscript"/>
        </w:rPr>
        <w:t xml:space="preserve">−3</w:t>
      </w:r>
      <w:r>
        <w:rPr>
          <w:rFonts w:ascii="Times New Roman" w:cs="Times New Roman" w:eastAsia="Times New Roman" w:hAnsi="Times New Roman"/>
          <w:sz w:val="24"/>
          <w:szCs w:val="24"/>
        </w:rPr>
        <w:t xml:space="preserve"> (IQAir, 2025; World Health Organization, 2021). More than 235,000 deaths in Bangladesh were attributed to air pollution in 2021 (Health Effects Institute, 2024). With a population of about 170 million (Bangladesh Bureau of Statistics, 2023), a very large number of people are therefore exposed to air that does not meet either international guidelines or national standards.</w:t>
      </w:r>
    </w:p>
    <w:p>
      <w:pPr>
        <w:spacing w:after="160" w:line="360"/>
        <w:jc w:val="both"/>
      </w:pPr>
      <w:r>
        <w:rPr>
          <w:rFonts w:ascii="Times New Roman" w:cs="Times New Roman" w:eastAsia="Times New Roman" w:hAnsi="Times New Roman"/>
          <w:sz w:val="24"/>
          <w:szCs w:val="24"/>
        </w:rPr>
        <w:t xml:space="preserve">The sources of this pollution are diverse. Particulate matter in and around Dhaka originates from brick kilns, vehicles, road and construction dust, industry and biomass burning (Begum et al., 2013; Guttikunda et al., 2013), and concentrations exceed national standards for about half of the year, with a peak in the dry months (Khan et al., 2023). Local emissions are compounded by regional transport: fine particulate matter builds up across the Indo-Gangetic Plain towards winter under stagnant conditions, a shallow boundary layer and weak winds (Ojha et al., 2020), and aerosol optical depth over Bangladesh is highest in the west and declines towards the south-east (Zaman et al., 2021), with a significant increase between 2003 and 2020 (Ali et al., 2022). Bangladesh is also an important source region for methane, where rice cultivation and monsoon flooding make a large contribution (Subramanian et al., 2026; Zhang et al., 2020).</w:t>
      </w:r>
    </w:p>
    <w:p>
      <w:pPr>
        <w:spacing w:after="160" w:line="360"/>
        <w:jc w:val="both"/>
      </w:pPr>
      <w:r>
        <w:rPr>
          <w:rFonts w:ascii="Times New Roman" w:cs="Times New Roman" w:eastAsia="Times New Roman" w:hAnsi="Times New Roman"/>
          <w:sz w:val="24"/>
          <w:szCs w:val="24"/>
        </w:rPr>
        <w:t xml:space="preserve">Routine monitoring cannot capture this variability. The Department of Environment (DoE) operates a limited number of continuous air monitoring stations, almost all of them in cities, which leaves most of the country unobserved. Satellite remote sensing offers a consistent alternative. The TROPOspheric Monitoring Instrument (TROPOMI) on board Sentinel-5 Precursor (Sentinel-5P) provides daily global observations of trace gases and aerosol indices at a spatial resolution of a few kilometres (Veefkind et al., 2012), the MODIS Multi-Angle Implementation of Atmospheric Correction (MAIAC) algorithm delivers aerosol optical depth (AOD) at 1 km (Lyapustin et al., 2018), and MODIS land surface temperature (LST) products describe the thermal state of the surface by day and by night (Wan, 2014). Cloud platforms such as Google Earth Engine (GEE) make it practical to process these archives at national scale (Gorelick et al., 2017; Tamiminia et al., 2020).</w:t>
      </w:r>
    </w:p>
    <w:p>
      <w:pPr>
        <w:spacing w:after="160" w:line="360"/>
        <w:jc w:val="both"/>
      </w:pPr>
      <w:r>
        <w:rPr>
          <w:rFonts w:ascii="Times New Roman" w:cs="Times New Roman" w:eastAsia="Times New Roman" w:hAnsi="Times New Roman"/>
          <w:sz w:val="24"/>
          <w:szCs w:val="24"/>
        </w:rPr>
        <w:t xml:space="preserve">Several recent studies have used Sentinel-5P data in Bangladesh. Shobnom et al. (2023) mapped NO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over Dhaka and its surroundings and linked high columns to population density and built-up land. Rahman et al. (2025) analysed CO, NO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SO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and O</w:t>
      </w:r>
      <w:r>
        <w:rPr>
          <w:rFonts w:ascii="Times New Roman" w:cs="Times New Roman" w:eastAsia="Times New Roman" w:hAnsi="Times New Roman"/>
          <w:sz w:val="24"/>
          <w:szCs w:val="24"/>
          <w:vertAlign w:val="subscript"/>
        </w:rPr>
        <w:t xml:space="preserve">3</w:t>
      </w:r>
      <w:r>
        <w:rPr>
          <w:rFonts w:ascii="Times New Roman" w:cs="Times New Roman" w:eastAsia="Times New Roman" w:hAnsi="Times New Roman"/>
          <w:sz w:val="24"/>
          <w:szCs w:val="24"/>
        </w:rPr>
        <w:t xml:space="preserve"> over Dhaka for 2020–2024 and found that CO, NO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and SO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peaked in the cooler, drier months. Acharjee et al. (2026) profiled five pollutants across all 64 districts for 2020–2024 and identified a Dhaka–Gazipur–Munshiganj–Narayanganj cluster with the highest NO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and CH</w:t>
      </w:r>
      <w:r>
        <w:rPr>
          <w:rFonts w:ascii="Times New Roman" w:cs="Times New Roman" w:eastAsia="Times New Roman" w:hAnsi="Times New Roman"/>
          <w:sz w:val="24"/>
          <w:szCs w:val="24"/>
          <w:vertAlign w:val="subscript"/>
        </w:rPr>
        <w:t xml:space="preserve">4</w:t>
      </w:r>
      <w:r>
        <w:rPr>
          <w:rFonts w:ascii="Times New Roman" w:cs="Times New Roman" w:eastAsia="Times New Roman" w:hAnsi="Times New Roman"/>
          <w:sz w:val="24"/>
          <w:szCs w:val="24"/>
        </w:rPr>
        <w:t xml:space="preserve"> levels. These studies describe pollutant distributions, but they do not relate them to the thermal environment of the surface.</w:t>
      </w:r>
    </w:p>
    <w:p>
      <w:pPr>
        <w:spacing w:after="160" w:line="360"/>
        <w:jc w:val="both"/>
      </w:pPr>
      <w:r>
        <w:rPr>
          <w:rFonts w:ascii="Times New Roman" w:cs="Times New Roman" w:eastAsia="Times New Roman" w:hAnsi="Times New Roman"/>
          <w:sz w:val="24"/>
          <w:szCs w:val="24"/>
        </w:rPr>
        <w:t xml:space="preserve">Air pollution and surface temperature are physically linked. Urban and industrial areas are both emission sources and heat sources, so pollutants and the surface urban heat island (UHI) tend to coincide (Peng et al., 2012; Voogt &amp; Oke, 2003; Zhou et al., 2019). Aerosols also modify the surface energy balance: they reduce incoming solar radiation during the day (Ramanathan et al., 2001) and increase downward longwave radiation at night, which strengthens the nocturnal UHI (Cao et al., 2016). In Bangladesh, the daytime surface UHI of Dhaka averaged 2.74 °C over 2000–2019 and has been increasing (Dewan et al., 2021), and UHI intensity has risen in most major districts (Rahman et al., 2022). The joint behaviour of LST and pollutants has been examined with Sentinel-5P and MODIS data in Egypt (Sameh et al., 2026), Pakistan (Munawar et al., 2026), Iran (Asghari Beirami et al., 2025), the Philippines (Broqueza et al., 2024) and Kenya (Mwangi, 2024). These studies cover a single city or province, and most rely on global correlation or regression, which assumes that one relationship holds everywhere.</w:t>
      </w:r>
    </w:p>
    <w:p>
      <w:pPr>
        <w:spacing w:after="160" w:line="360"/>
        <w:jc w:val="both"/>
      </w:pPr>
      <w:r>
        <w:rPr>
          <w:rFonts w:ascii="Times New Roman" w:cs="Times New Roman" w:eastAsia="Times New Roman" w:hAnsi="Times New Roman"/>
          <w:sz w:val="24"/>
          <w:szCs w:val="24"/>
        </w:rPr>
        <w:t xml:space="preserve">Three gaps remain. First, to our knowledge, no study has examined the relationship between satellite-observed pollutants and LST for the whole of Bangladesh. Second, the monsoon climate causes long periods of cloud cover and a strong seasonal cycle in both pollution and temperature, so relationships estimated from annual means may hide opposing seasonal behaviour. Third, satellite column quantities are rarely compared with the ground measurements that are available in the country. This study addresses these gaps by adapting the framework of Sameh et al. (2026) to the national scale of Bangladesh for 2025, extending it with additional pollutants, seasonal analysis and a comparison with ground stations. The specific objectives are to: (a) produce quality-controlled monthly, seasonal and annual maps of eight atmospheric variables and of day and night LST; (b) quantify surface UHI intensity; (c) characterise seasonal and daily variability; (d) evaluate the relationships between LST and pollutants using correlation, regression and principal component analysis (PCA) at annual and seasonal scales; (e) identify spatially varying relationships with geographically weighted regression (GWR); and (f) compare the satellite observations with DoE station measurements and with air quality standards.</w:t>
      </w:r>
    </w:p>
    <w:p>
      <w:pPr>
        <w:pStyle w:val="Heading1"/>
        <w:keepNext/>
        <w:spacing w:after="140" w:before="280" w:line="360"/>
      </w:pPr>
      <w:r>
        <w:rPr>
          <w:rFonts w:ascii="Times New Roman" w:cs="Times New Roman" w:eastAsia="Times New Roman" w:hAnsi="Times New Roman"/>
          <w:b/>
          <w:bCs/>
          <w:color w:val="000000"/>
          <w:sz w:val="26"/>
          <w:szCs w:val="26"/>
        </w:rPr>
        <w:t xml:space="preserve">2. Study Area</w:t>
      </w:r>
    </w:p>
    <w:p>
      <w:pPr>
        <w:spacing w:after="160" w:line="360"/>
        <w:jc w:val="both"/>
      </w:pPr>
      <w:r>
        <w:rPr>
          <w:rFonts w:ascii="Times New Roman" w:cs="Times New Roman" w:eastAsia="Times New Roman" w:hAnsi="Times New Roman"/>
          <w:sz w:val="24"/>
          <w:szCs w:val="24"/>
        </w:rPr>
        <w:t xml:space="preserve">Bangladesh lies between approximately 20.6° and 26.6° N and 88.0° and 92.7° E and covers about 147,570 km</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of the Ganges–Brahmaputra–Meghna delta, bordered by India, Myanmar and the Bay of Bengal (Figure 1). Most of the country is a low-lying alluvial plain. The main exceptions are the forested Chittagong Hill Tracts in the south-east, the low hills of Sylhet in the north-east and the Sundarbans mangrove forest in the south-west. The climate is tropical monsoonal and is conventionally divided into four seasons: a cool, dry winter (December–February), a hot pre-monsoon season (March–May), the south-west monsoon (June–September), which brings most of the annual rainfall, and a short post-monsoon transition (October–November) (Shahid, 2010). The country has a population of about 170 million (Bangladesh Bureau of Statistics, 2023). The Dhaka conurbation, including the adjoining industrial districts of Gazipur and Narayanganj, is by far the largest urban and industrial centre, followed by the port city of Chattogram.</w:t>
      </w:r>
    </w:p>
    <w:p>
      <w:pPr>
        <w:keepNext/>
        <w:spacing w:after="80" w:before="120"/>
        <w:jc w:val="center"/>
      </w:pPr>
      <w:r>
        <w:drawing>
          <wp:inline distT="0" distB="0" distL="0" distR="0">
            <wp:extent cx="4124325" cy="5229225"/>
            <wp:effectExtent t="0" r="0" b="0" l="0"/>
            <wp:docPr id="1" name="Figure 1" descr="Study area. Bangladesh with its administrative divisions and divisional headquarters (Dhaka is shown as a star) and its location in South Asia (inset)."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24325" cy="5229225"/>
                    </a:xfrm>
                    <a:prstGeom prst="rect">
                      <a:avLst/>
                    </a:prstGeom>
                  </pic:spPr>
                </pic:pic>
              </a:graphicData>
            </a:graphic>
          </wp:inline>
        </w:drawing>
      </w:r>
    </w:p>
    <w:p>
      <w:pPr>
        <w:keepLines/>
        <w:spacing w:after="240" w:line="276"/>
        <w:jc w:val="both"/>
      </w:pPr>
      <w:r>
        <w:rPr>
          <w:rFonts w:ascii="Times New Roman" w:cs="Times New Roman" w:eastAsia="Times New Roman" w:hAnsi="Times New Roman"/>
          <w:b/>
          <w:bCs/>
          <w:sz w:val="22"/>
          <w:szCs w:val="22"/>
        </w:rPr>
        <w:t xml:space="preserve">Figure 1. </w:t>
      </w:r>
      <w:r>
        <w:rPr>
          <w:rFonts w:ascii="Times New Roman" w:cs="Times New Roman" w:eastAsia="Times New Roman" w:hAnsi="Times New Roman"/>
          <w:sz w:val="22"/>
          <w:szCs w:val="22"/>
        </w:rPr>
        <w:t xml:space="preserve">Study area. Bangladesh with its administrative divisions and divisional headquarters (Dhaka is shown as a star) and its location in South Asia (inset).</w:t>
      </w:r>
    </w:p>
    <w:p>
      <w:pPr>
        <w:pStyle w:val="Heading1"/>
        <w:keepNext/>
        <w:spacing w:after="140" w:before="280" w:line="360"/>
      </w:pPr>
      <w:r>
        <w:rPr>
          <w:rFonts w:ascii="Times New Roman" w:cs="Times New Roman" w:eastAsia="Times New Roman" w:hAnsi="Times New Roman"/>
          <w:b/>
          <w:bCs/>
          <w:color w:val="000000"/>
          <w:sz w:val="26"/>
          <w:szCs w:val="26"/>
        </w:rPr>
        <w:t xml:space="preserve">3. Data and Methods</w:t>
      </w:r>
    </w:p>
    <w:p>
      <w:pPr>
        <w:spacing w:after="160" w:line="360"/>
        <w:jc w:val="both"/>
      </w:pPr>
      <w:r>
        <w:rPr>
          <w:rFonts w:ascii="Times New Roman" w:cs="Times New Roman" w:eastAsia="Times New Roman" w:hAnsi="Times New Roman"/>
          <w:sz w:val="24"/>
          <w:szCs w:val="24"/>
        </w:rPr>
        <w:t xml:space="preserve">The workflow is summarised in Figure 2. Satellite data were processed in GEE (Gorelick et al., 2017), and mapping and statistical analyses were carried out in Python using the rasterio, geopandas, pandas, SciPy, matplotlib and mgwr libraries (Oshan et al., 2019). All data refer to the period from 1 January to 31 December 2025.</w:t>
      </w:r>
    </w:p>
    <w:p>
      <w:pPr>
        <w:pStyle w:val="Heading2"/>
        <w:keepNext/>
        <w:spacing w:after="120" w:before="200" w:line="360"/>
      </w:pPr>
      <w:r>
        <w:rPr>
          <w:rFonts w:ascii="Times New Roman" w:cs="Times New Roman" w:eastAsia="Times New Roman" w:hAnsi="Times New Roman"/>
          <w:b/>
          <w:bCs/>
          <w:i/>
          <w:iCs/>
          <w:color w:val="000000"/>
          <w:sz w:val="24"/>
          <w:szCs w:val="24"/>
        </w:rPr>
        <w:t xml:space="preserve">3.1 Satellite Data</w:t>
      </w:r>
    </w:p>
    <w:p>
      <w:pPr>
        <w:spacing w:after="160" w:line="360"/>
        <w:jc w:val="both"/>
      </w:pPr>
      <w:r>
        <w:rPr>
          <w:rFonts w:ascii="Times New Roman" w:cs="Times New Roman" w:eastAsia="Times New Roman" w:hAnsi="Times New Roman"/>
          <w:sz w:val="24"/>
          <w:szCs w:val="24"/>
        </w:rPr>
        <w:t xml:space="preserve">Table 1 lists the datasets.</w:t>
      </w:r>
    </w:p>
    <w:p>
      <w:pPr>
        <w:keepNext/>
        <w:spacing w:after="80" w:before="120"/>
        <w:jc w:val="center"/>
      </w:pPr>
      <w:r>
        <w:drawing>
          <wp:inline distT="0" distB="0" distL="0" distR="0">
            <wp:extent cx="5724525" cy="4019550"/>
            <wp:effectExtent t="0" r="0" b="0" l="0"/>
            <wp:docPr id="1" name="Figure 2" descr="Workflow of the study, from data acquisition and pre-processing in Google Earth Engine to the spatio-temporal analysis, the statistical analysis and the comparison with ground station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24525" cy="4019550"/>
                    </a:xfrm>
                    <a:prstGeom prst="rect">
                      <a:avLst/>
                    </a:prstGeom>
                  </pic:spPr>
                </pic:pic>
              </a:graphicData>
            </a:graphic>
          </wp:inline>
        </w:drawing>
      </w:r>
    </w:p>
    <w:p>
      <w:pPr>
        <w:keepLines/>
        <w:spacing w:after="240" w:line="276"/>
        <w:jc w:val="both"/>
      </w:pPr>
      <w:r>
        <w:rPr>
          <w:rFonts w:ascii="Times New Roman" w:cs="Times New Roman" w:eastAsia="Times New Roman" w:hAnsi="Times New Roman"/>
          <w:b/>
          <w:bCs/>
          <w:sz w:val="22"/>
          <w:szCs w:val="22"/>
        </w:rPr>
        <w:t xml:space="preserve">Figure 2. </w:t>
      </w:r>
      <w:r>
        <w:rPr>
          <w:rFonts w:ascii="Times New Roman" w:cs="Times New Roman" w:eastAsia="Times New Roman" w:hAnsi="Times New Roman"/>
          <w:sz w:val="22"/>
          <w:szCs w:val="22"/>
        </w:rPr>
        <w:t xml:space="preserve">Workflow of the study, from data acquisition and pre-processing in Google Earth Engine to the spatio-temporal analysis, the statistical analysis and the comparison with ground stations.</w:t>
      </w:r>
    </w:p>
    <w:p>
      <w:pPr>
        <w:spacing w:after="160" w:line="360"/>
        <w:jc w:val="both"/>
      </w:pPr>
      <w:r>
        <w:rPr>
          <w:rFonts w:ascii="Times New Roman" w:cs="Times New Roman" w:eastAsia="Times New Roman" w:hAnsi="Times New Roman"/>
          <w:sz w:val="24"/>
          <w:szCs w:val="24"/>
        </w:rPr>
        <w:t xml:space="preserve">Seven Sentinel-5P TROPOMI offline (OFFL) Level-3 products were used as provided in the GEE catalogue: the column-averaged dry-air mixing ratio of CH</w:t>
      </w:r>
      <w:r>
        <w:rPr>
          <w:rFonts w:ascii="Times New Roman" w:cs="Times New Roman" w:eastAsia="Times New Roman" w:hAnsi="Times New Roman"/>
          <w:sz w:val="24"/>
          <w:szCs w:val="24"/>
          <w:vertAlign w:val="subscript"/>
        </w:rPr>
        <w:t xml:space="preserve">4</w:t>
      </w:r>
      <w:r>
        <w:rPr>
          <w:rFonts w:ascii="Times New Roman" w:cs="Times New Roman" w:eastAsia="Times New Roman" w:hAnsi="Times New Roman"/>
          <w:sz w:val="24"/>
          <w:szCs w:val="24"/>
        </w:rPr>
        <w:t xml:space="preserve"> (Lorente et al., 2021), the tropospheric column of HCHO (De Smedt et al., 2018), the total column of O</w:t>
      </w:r>
      <w:r>
        <w:rPr>
          <w:rFonts w:ascii="Times New Roman" w:cs="Times New Roman" w:eastAsia="Times New Roman" w:hAnsi="Times New Roman"/>
          <w:sz w:val="24"/>
          <w:szCs w:val="24"/>
          <w:vertAlign w:val="subscript"/>
        </w:rPr>
        <w:t xml:space="preserve">3</w:t>
      </w:r>
      <w:r>
        <w:rPr>
          <w:rFonts w:ascii="Times New Roman" w:cs="Times New Roman" w:eastAsia="Times New Roman" w:hAnsi="Times New Roman"/>
          <w:sz w:val="24"/>
          <w:szCs w:val="24"/>
        </w:rPr>
        <w:t xml:space="preserve"> (Garane et al., 2019), the UV aerosol index (UVAI; Torres et al., 1998), the tropospheric column of NO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(van Geffen et al., 2022), the total column of CO (Landgraf et al., 2016) and the total column of SO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(Theys et al., 2017). The GEE Level-3 products are already filtered with the quality thresholds recommended for each species. AOD at 550 nm was taken from the MODIS MCD19A2 Collection 6.1 product (Lyapustin et al., 2018), which has been evaluated over South Asia (Mhawish et al., 2019). Daytime and nighttime LST were taken from the MODIS Terra MOD11A1 Collection 6.1 product (Wan, 2014). The MODIS MCD12Q1 land cover product (Sulla-Menashe et al., 2019) was used to identify urban land and water.</w:t>
      </w:r>
    </w:p>
    <w:p>
      <w:pPr>
        <w:pStyle w:val="Heading2"/>
        <w:keepNext/>
        <w:spacing w:after="120" w:before="200" w:line="360"/>
      </w:pPr>
      <w:r>
        <w:rPr>
          <w:rFonts w:ascii="Times New Roman" w:cs="Times New Roman" w:eastAsia="Times New Roman" w:hAnsi="Times New Roman"/>
          <w:b/>
          <w:bCs/>
          <w:i/>
          <w:iCs/>
          <w:color w:val="000000"/>
          <w:sz w:val="24"/>
          <w:szCs w:val="24"/>
        </w:rPr>
        <w:t xml:space="preserve">3.2 Ground-Based Data</w:t>
      </w:r>
    </w:p>
    <w:p>
      <w:pPr>
        <w:spacing w:after="160" w:line="360"/>
        <w:jc w:val="both"/>
      </w:pPr>
      <w:r>
        <w:rPr>
          <w:rFonts w:ascii="Times New Roman" w:cs="Times New Roman" w:eastAsia="Times New Roman" w:hAnsi="Times New Roman"/>
          <w:sz w:val="24"/>
          <w:szCs w:val="24"/>
        </w:rPr>
        <w:t xml:space="preserve">Monthly air quality statistics were extracted from the monthly monitoring reports of the DoE for 2025 (Department of Environment, 2025). The reports give, for 16 continuous air monitoring stations (CAMS), the monthly mean concentration and the percentage of valid data (data capture) for PM</w:t>
      </w:r>
      <w:r>
        <w:rPr>
          <w:rFonts w:ascii="Times New Roman" w:cs="Times New Roman" w:eastAsia="Times New Roman" w:hAnsi="Times New Roman"/>
          <w:sz w:val="24"/>
          <w:szCs w:val="24"/>
          <w:vertAlign w:val="subscript"/>
        </w:rPr>
        <w:t xml:space="preserve">2.5</w:t>
      </w:r>
      <w:r>
        <w:rPr>
          <w:rFonts w:ascii="Times New Roman" w:cs="Times New Roman" w:eastAsia="Times New Roman" w:hAnsi="Times New Roman"/>
          <w:sz w:val="24"/>
          <w:szCs w:val="24"/>
        </w:rPr>
        <w:t xml:space="preserve">, PM</w:t>
      </w:r>
      <w:r>
        <w:rPr>
          <w:rFonts w:ascii="Times New Roman" w:cs="Times New Roman" w:eastAsia="Times New Roman" w:hAnsi="Times New Roman"/>
          <w:sz w:val="24"/>
          <w:szCs w:val="24"/>
          <w:vertAlign w:val="subscript"/>
        </w:rPr>
        <w:t xml:space="preserve">10</w:t>
      </w:r>
      <w:r>
        <w:rPr>
          <w:rFonts w:ascii="Times New Roman" w:cs="Times New Roman" w:eastAsia="Times New Roman" w:hAnsi="Times New Roman"/>
          <w:sz w:val="24"/>
          <w:szCs w:val="24"/>
        </w:rPr>
        <w:t xml:space="preserve">, NO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SO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CO and O</w:t>
      </w:r>
      <w:r>
        <w:rPr>
          <w:rFonts w:ascii="Times New Roman" w:cs="Times New Roman" w:eastAsia="Times New Roman" w:hAnsi="Times New Roman"/>
          <w:sz w:val="24"/>
          <w:szCs w:val="24"/>
          <w:vertAlign w:val="subscript"/>
        </w:rPr>
        <w:t xml:space="preserve">3</w:t>
      </w:r>
      <w:r>
        <w:rPr>
          <w:rFonts w:ascii="Times New Roman" w:cs="Times New Roman" w:eastAsia="Times New Roman" w:hAnsi="Times New Roman"/>
          <w:sz w:val="24"/>
          <w:szCs w:val="24"/>
        </w:rPr>
        <w:t xml:space="preserve">. Reports were available for 11 months; the report for May could not be obtained.</w:t>
      </w:r>
    </w:p>
    <w:p>
      <w:pPr>
        <w:keepNext/>
        <w:spacing w:after="100" w:before="240" w:line="276"/>
        <w:jc w:val="left"/>
      </w:pPr>
      <w:r>
        <w:rPr>
          <w:rFonts w:ascii="Times New Roman" w:cs="Times New Roman" w:eastAsia="Times New Roman" w:hAnsi="Times New Roman"/>
          <w:b/>
          <w:bCs/>
          <w:sz w:val="22"/>
          <w:szCs w:val="22"/>
        </w:rPr>
        <w:t xml:space="preserve">Table 1. </w:t>
      </w:r>
      <w:r>
        <w:rPr>
          <w:rFonts w:ascii="Times New Roman" w:cs="Times New Roman" w:eastAsia="Times New Roman" w:hAnsi="Times New Roman"/>
          <w:sz w:val="22"/>
          <w:szCs w:val="22"/>
        </w:rPr>
        <w:t xml:space="preserve">Satellite and ground-based datasets used in the study (1 January to 31 December 2025).</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100"/>
        <w:gridCol w:w="2700"/>
        <w:gridCol w:w="1300"/>
        <w:gridCol w:w="1000"/>
        <w:gridCol w:w="1926"/>
      </w:tblGrid>
      <w:tr>
        <w:trPr>
          <w:cantSplit/>
          <w:tblHeader/>
        </w:trPr>
        <w:tc>
          <w:tcPr>
            <w:tcW w:type="dxa" w:w="2100"/>
            <w:gridSpan w:val="1"/>
            <w:tcBorders>
              <w:top w:val="single" w:color="000000" w:sz="12"/>
              <w:left w:val="none" w:color="FFFFFF" w:sz="0"/>
              <w:bottom w:val="single" w:color="000000" w:sz="6"/>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sz w:val="19"/>
                <w:szCs w:val="19"/>
              </w:rPr>
              <w:t xml:space="preserve">Product</w:t>
            </w:r>
          </w:p>
        </w:tc>
        <w:tc>
          <w:tcPr>
            <w:tcW w:type="dxa" w:w="2700"/>
            <w:gridSpan w:val="1"/>
            <w:tcBorders>
              <w:top w:val="single" w:color="000000" w:sz="12"/>
              <w:left w:val="none" w:color="FFFFFF" w:sz="0"/>
              <w:bottom w:val="single" w:color="000000" w:sz="6"/>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sz w:val="19"/>
                <w:szCs w:val="19"/>
              </w:rPr>
              <w:t xml:space="preserve">Variable (unit)</w:t>
            </w:r>
          </w:p>
        </w:tc>
        <w:tc>
          <w:tcPr>
            <w:tcW w:type="dxa" w:w="1300"/>
            <w:gridSpan w:val="1"/>
            <w:tcBorders>
              <w:top w:val="single" w:color="000000" w:sz="12"/>
              <w:left w:val="none" w:color="FFFFFF" w:sz="0"/>
              <w:bottom w:val="single" w:color="000000" w:sz="6"/>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sz w:val="19"/>
                <w:szCs w:val="19"/>
              </w:rPr>
              <w:t xml:space="preserve">Native resolution</w:t>
            </w:r>
          </w:p>
        </w:tc>
        <w:tc>
          <w:tcPr>
            <w:tcW w:type="dxa" w:w="1000"/>
            <w:gridSpan w:val="1"/>
            <w:tcBorders>
              <w:top w:val="single" w:color="000000" w:sz="12"/>
              <w:left w:val="none" w:color="FFFFFF" w:sz="0"/>
              <w:bottom w:val="single" w:color="000000" w:sz="6"/>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sz w:val="19"/>
                <w:szCs w:val="19"/>
              </w:rPr>
              <w:t xml:space="preserve">Composite</w:t>
            </w:r>
          </w:p>
        </w:tc>
        <w:tc>
          <w:tcPr>
            <w:tcW w:type="dxa" w:w="1926"/>
            <w:gridSpan w:val="1"/>
            <w:tcBorders>
              <w:top w:val="single" w:color="000000" w:sz="12"/>
              <w:left w:val="none" w:color="FFFFFF" w:sz="0"/>
              <w:bottom w:val="single" w:color="000000" w:sz="6"/>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sz w:val="19"/>
                <w:szCs w:val="19"/>
              </w:rPr>
              <w:t xml:space="preserve">Reference</w:t>
            </w:r>
          </w:p>
        </w:tc>
      </w:tr>
      <w:tr>
        <w:trPr>
          <w:cantSplit/>
        </w:trPr>
        <w:tc>
          <w:tcPr>
            <w:tcW w:type="dxa" w:w="21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19"/>
                <w:szCs w:val="19"/>
              </w:rPr>
              <w:t xml:space="preserve">Sentinel-5P TROPOMI OFFL L3</w:t>
            </w:r>
          </w:p>
        </w:tc>
        <w:tc>
          <w:tcPr>
            <w:tcW w:type="dxa" w:w="27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19"/>
                <w:szCs w:val="19"/>
              </w:rPr>
              <w:t xml:space="preserve">CH</w:t>
            </w:r>
            <w:r>
              <w:rPr>
                <w:rFonts w:ascii="Times New Roman" w:cs="Times New Roman" w:eastAsia="Times New Roman" w:hAnsi="Times New Roman"/>
                <w:b w:val="false"/>
                <w:bCs w:val="false"/>
                <w:sz w:val="19"/>
                <w:szCs w:val="19"/>
                <w:vertAlign w:val="subscript"/>
              </w:rPr>
              <w:t xml:space="preserve">4</w:t>
            </w:r>
            <w:r>
              <w:rPr>
                <w:rFonts w:ascii="Times New Roman" w:cs="Times New Roman" w:eastAsia="Times New Roman" w:hAnsi="Times New Roman"/>
                <w:b w:val="false"/>
                <w:bCs w:val="false"/>
                <w:sz w:val="19"/>
                <w:szCs w:val="19"/>
              </w:rPr>
              <w:t xml:space="preserve">, column-averaged dry-air mixing ratio (ppb)</w:t>
            </w:r>
          </w:p>
        </w:tc>
        <w:tc>
          <w:tcPr>
            <w:tcW w:type="dxa" w:w="13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5.5 × 7 km</w:t>
            </w:r>
          </w:p>
        </w:tc>
        <w:tc>
          <w:tcPr>
            <w:tcW w:type="dxa" w:w="10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Mean</w:t>
            </w:r>
          </w:p>
        </w:tc>
        <w:tc>
          <w:tcPr>
            <w:tcW w:type="dxa" w:w="19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19"/>
                <w:szCs w:val="19"/>
              </w:rPr>
              <w:t xml:space="preserve">Lorente et al. (2021)</w:t>
            </w:r>
          </w:p>
        </w:tc>
      </w:tr>
      <w:tr>
        <w:trPr>
          <w:cantSplit/>
        </w:trPr>
        <w:tc>
          <w:tcPr>
            <w:tcW w:type="dxa" w:w="21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19"/>
                <w:szCs w:val="19"/>
              </w:rPr>
              <w:t xml:space="preserve">Sentinel-5P TROPOMI OFFL L3</w:t>
            </w:r>
          </w:p>
        </w:tc>
        <w:tc>
          <w:tcPr>
            <w:tcW w:type="dxa" w:w="27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19"/>
                <w:szCs w:val="19"/>
              </w:rPr>
              <w:t xml:space="preserve">HCHO, tropospheric column (mol m</w:t>
            </w:r>
            <w:r>
              <w:rPr>
                <w:rFonts w:ascii="Times New Roman" w:cs="Times New Roman" w:eastAsia="Times New Roman" w:hAnsi="Times New Roman"/>
                <w:b w:val="false"/>
                <w:bCs w:val="false"/>
                <w:sz w:val="19"/>
                <w:szCs w:val="19"/>
                <w:vertAlign w:val="superscript"/>
              </w:rPr>
              <w:t xml:space="preserve">−2</w:t>
            </w:r>
            <w:r>
              <w:rPr>
                <w:rFonts w:ascii="Times New Roman" w:cs="Times New Roman" w:eastAsia="Times New Roman" w:hAnsi="Times New Roman"/>
                <w:b w:val="false"/>
                <w:bCs w:val="false"/>
                <w:sz w:val="19"/>
                <w:szCs w:val="19"/>
              </w:rPr>
              <w:t xml:space="preserve">)</w:t>
            </w:r>
          </w:p>
        </w:tc>
        <w:tc>
          <w:tcPr>
            <w:tcW w:type="dxa" w:w="13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5.5 × 3.5 km</w:t>
            </w:r>
          </w:p>
        </w:tc>
        <w:tc>
          <w:tcPr>
            <w:tcW w:type="dxa" w:w="10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Mean</w:t>
            </w:r>
          </w:p>
        </w:tc>
        <w:tc>
          <w:tcPr>
            <w:tcW w:type="dxa" w:w="19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19"/>
                <w:szCs w:val="19"/>
              </w:rPr>
              <w:t xml:space="preserve">De Smedt et al. (2018)</w:t>
            </w:r>
          </w:p>
        </w:tc>
      </w:tr>
      <w:tr>
        <w:trPr>
          <w:cantSplit/>
        </w:trPr>
        <w:tc>
          <w:tcPr>
            <w:tcW w:type="dxa" w:w="21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19"/>
                <w:szCs w:val="19"/>
              </w:rPr>
              <w:t xml:space="preserve">Sentinel-5P TROPOMI OFFL L3</w:t>
            </w:r>
          </w:p>
        </w:tc>
        <w:tc>
          <w:tcPr>
            <w:tcW w:type="dxa" w:w="27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19"/>
                <w:szCs w:val="19"/>
              </w:rPr>
              <w:t xml:space="preserve">O</w:t>
            </w:r>
            <w:r>
              <w:rPr>
                <w:rFonts w:ascii="Times New Roman" w:cs="Times New Roman" w:eastAsia="Times New Roman" w:hAnsi="Times New Roman"/>
                <w:b w:val="false"/>
                <w:bCs w:val="false"/>
                <w:sz w:val="19"/>
                <w:szCs w:val="19"/>
                <w:vertAlign w:val="subscript"/>
              </w:rPr>
              <w:t xml:space="preserve">3</w:t>
            </w:r>
            <w:r>
              <w:rPr>
                <w:rFonts w:ascii="Times New Roman" w:cs="Times New Roman" w:eastAsia="Times New Roman" w:hAnsi="Times New Roman"/>
                <w:b w:val="false"/>
                <w:bCs w:val="false"/>
                <w:sz w:val="19"/>
                <w:szCs w:val="19"/>
              </w:rPr>
              <w:t xml:space="preserve">, total column (DU)</w:t>
            </w:r>
          </w:p>
        </w:tc>
        <w:tc>
          <w:tcPr>
            <w:tcW w:type="dxa" w:w="13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5.5 × 3.5 km</w:t>
            </w:r>
          </w:p>
        </w:tc>
        <w:tc>
          <w:tcPr>
            <w:tcW w:type="dxa" w:w="10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Mean</w:t>
            </w:r>
          </w:p>
        </w:tc>
        <w:tc>
          <w:tcPr>
            <w:tcW w:type="dxa" w:w="19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19"/>
                <w:szCs w:val="19"/>
              </w:rPr>
              <w:t xml:space="preserve">Garane et al. (2019)</w:t>
            </w:r>
          </w:p>
        </w:tc>
      </w:tr>
      <w:tr>
        <w:trPr>
          <w:cantSplit/>
        </w:trPr>
        <w:tc>
          <w:tcPr>
            <w:tcW w:type="dxa" w:w="21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19"/>
                <w:szCs w:val="19"/>
              </w:rPr>
              <w:t xml:space="preserve">Sentinel-5P TROPOMI OFFL L3</w:t>
            </w:r>
          </w:p>
        </w:tc>
        <w:tc>
          <w:tcPr>
            <w:tcW w:type="dxa" w:w="27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19"/>
                <w:szCs w:val="19"/>
              </w:rPr>
              <w:t xml:space="preserve">UV aerosol index (unitless)</w:t>
            </w:r>
          </w:p>
        </w:tc>
        <w:tc>
          <w:tcPr>
            <w:tcW w:type="dxa" w:w="13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5.5 × 3.5 km</w:t>
            </w:r>
          </w:p>
        </w:tc>
        <w:tc>
          <w:tcPr>
            <w:tcW w:type="dxa" w:w="10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Mean</w:t>
            </w:r>
          </w:p>
        </w:tc>
        <w:tc>
          <w:tcPr>
            <w:tcW w:type="dxa" w:w="19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19"/>
                <w:szCs w:val="19"/>
              </w:rPr>
              <w:t xml:space="preserve">Torres et al. (1998)</w:t>
            </w:r>
          </w:p>
        </w:tc>
      </w:tr>
      <w:tr>
        <w:trPr>
          <w:cantSplit/>
        </w:trPr>
        <w:tc>
          <w:tcPr>
            <w:tcW w:type="dxa" w:w="21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19"/>
                <w:szCs w:val="19"/>
              </w:rPr>
              <w:t xml:space="preserve">Sentinel-5P TROPOMI OFFL L3</w:t>
            </w:r>
          </w:p>
        </w:tc>
        <w:tc>
          <w:tcPr>
            <w:tcW w:type="dxa" w:w="27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19"/>
                <w:szCs w:val="19"/>
              </w:rPr>
              <w:t xml:space="preserve">NO</w:t>
            </w:r>
            <w:r>
              <w:rPr>
                <w:rFonts w:ascii="Times New Roman" w:cs="Times New Roman" w:eastAsia="Times New Roman" w:hAnsi="Times New Roman"/>
                <w:b w:val="false"/>
                <w:bCs w:val="false"/>
                <w:sz w:val="19"/>
                <w:szCs w:val="19"/>
                <w:vertAlign w:val="subscript"/>
              </w:rPr>
              <w:t xml:space="preserve">2</w:t>
            </w:r>
            <w:r>
              <w:rPr>
                <w:rFonts w:ascii="Times New Roman" w:cs="Times New Roman" w:eastAsia="Times New Roman" w:hAnsi="Times New Roman"/>
                <w:b w:val="false"/>
                <w:bCs w:val="false"/>
                <w:sz w:val="19"/>
                <w:szCs w:val="19"/>
              </w:rPr>
              <w:t xml:space="preserve">, tropospheric column (µmol m</w:t>
            </w:r>
            <w:r>
              <w:rPr>
                <w:rFonts w:ascii="Times New Roman" w:cs="Times New Roman" w:eastAsia="Times New Roman" w:hAnsi="Times New Roman"/>
                <w:b w:val="false"/>
                <w:bCs w:val="false"/>
                <w:sz w:val="19"/>
                <w:szCs w:val="19"/>
                <w:vertAlign w:val="superscript"/>
              </w:rPr>
              <w:t xml:space="preserve">−2</w:t>
            </w:r>
            <w:r>
              <w:rPr>
                <w:rFonts w:ascii="Times New Roman" w:cs="Times New Roman" w:eastAsia="Times New Roman" w:hAnsi="Times New Roman"/>
                <w:b w:val="false"/>
                <w:bCs w:val="false"/>
                <w:sz w:val="19"/>
                <w:szCs w:val="19"/>
              </w:rPr>
              <w:t xml:space="preserve">)</w:t>
            </w:r>
          </w:p>
        </w:tc>
        <w:tc>
          <w:tcPr>
            <w:tcW w:type="dxa" w:w="13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5.5 × 3.5 km</w:t>
            </w:r>
          </w:p>
        </w:tc>
        <w:tc>
          <w:tcPr>
            <w:tcW w:type="dxa" w:w="10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Mean</w:t>
            </w:r>
          </w:p>
        </w:tc>
        <w:tc>
          <w:tcPr>
            <w:tcW w:type="dxa" w:w="19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19"/>
                <w:szCs w:val="19"/>
              </w:rPr>
              <w:t xml:space="preserve">van Geffen et al. (2022)</w:t>
            </w:r>
          </w:p>
        </w:tc>
      </w:tr>
      <w:tr>
        <w:trPr>
          <w:cantSplit/>
        </w:trPr>
        <w:tc>
          <w:tcPr>
            <w:tcW w:type="dxa" w:w="21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19"/>
                <w:szCs w:val="19"/>
              </w:rPr>
              <w:t xml:space="preserve">Sentinel-5P TROPOMI OFFL L3</w:t>
            </w:r>
          </w:p>
        </w:tc>
        <w:tc>
          <w:tcPr>
            <w:tcW w:type="dxa" w:w="27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19"/>
                <w:szCs w:val="19"/>
              </w:rPr>
              <w:t xml:space="preserve">CO, total column (mol m</w:t>
            </w:r>
            <w:r>
              <w:rPr>
                <w:rFonts w:ascii="Times New Roman" w:cs="Times New Roman" w:eastAsia="Times New Roman" w:hAnsi="Times New Roman"/>
                <w:b w:val="false"/>
                <w:bCs w:val="false"/>
                <w:sz w:val="19"/>
                <w:szCs w:val="19"/>
                <w:vertAlign w:val="superscript"/>
              </w:rPr>
              <w:t xml:space="preserve">−2</w:t>
            </w:r>
            <w:r>
              <w:rPr>
                <w:rFonts w:ascii="Times New Roman" w:cs="Times New Roman" w:eastAsia="Times New Roman" w:hAnsi="Times New Roman"/>
                <w:b w:val="false"/>
                <w:bCs w:val="false"/>
                <w:sz w:val="19"/>
                <w:szCs w:val="19"/>
              </w:rPr>
              <w:t xml:space="preserve">)</w:t>
            </w:r>
          </w:p>
        </w:tc>
        <w:tc>
          <w:tcPr>
            <w:tcW w:type="dxa" w:w="13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5.5 × 7 km</w:t>
            </w:r>
          </w:p>
        </w:tc>
        <w:tc>
          <w:tcPr>
            <w:tcW w:type="dxa" w:w="10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Mean</w:t>
            </w:r>
          </w:p>
        </w:tc>
        <w:tc>
          <w:tcPr>
            <w:tcW w:type="dxa" w:w="19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19"/>
                <w:szCs w:val="19"/>
              </w:rPr>
              <w:t xml:space="preserve">Landgraf et al. (2016)</w:t>
            </w:r>
          </w:p>
        </w:tc>
      </w:tr>
      <w:tr>
        <w:trPr>
          <w:cantSplit/>
        </w:trPr>
        <w:tc>
          <w:tcPr>
            <w:tcW w:type="dxa" w:w="21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19"/>
                <w:szCs w:val="19"/>
              </w:rPr>
              <w:t xml:space="preserve">Sentinel-5P TROPOMI OFFL L3</w:t>
            </w:r>
          </w:p>
        </w:tc>
        <w:tc>
          <w:tcPr>
            <w:tcW w:type="dxa" w:w="27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19"/>
                <w:szCs w:val="19"/>
              </w:rPr>
              <w:t xml:space="preserve">SO</w:t>
            </w:r>
            <w:r>
              <w:rPr>
                <w:rFonts w:ascii="Times New Roman" w:cs="Times New Roman" w:eastAsia="Times New Roman" w:hAnsi="Times New Roman"/>
                <w:b w:val="false"/>
                <w:bCs w:val="false"/>
                <w:sz w:val="19"/>
                <w:szCs w:val="19"/>
                <w:vertAlign w:val="subscript"/>
              </w:rPr>
              <w:t xml:space="preserve">2</w:t>
            </w:r>
            <w:r>
              <w:rPr>
                <w:rFonts w:ascii="Times New Roman" w:cs="Times New Roman" w:eastAsia="Times New Roman" w:hAnsi="Times New Roman"/>
                <w:b w:val="false"/>
                <w:bCs w:val="false"/>
                <w:sz w:val="19"/>
                <w:szCs w:val="19"/>
              </w:rPr>
              <w:t xml:space="preserve">, total column (µmol m</w:t>
            </w:r>
            <w:r>
              <w:rPr>
                <w:rFonts w:ascii="Times New Roman" w:cs="Times New Roman" w:eastAsia="Times New Roman" w:hAnsi="Times New Roman"/>
                <w:b w:val="false"/>
                <w:bCs w:val="false"/>
                <w:sz w:val="19"/>
                <w:szCs w:val="19"/>
                <w:vertAlign w:val="superscript"/>
              </w:rPr>
              <w:t xml:space="preserve">−2</w:t>
            </w:r>
            <w:r>
              <w:rPr>
                <w:rFonts w:ascii="Times New Roman" w:cs="Times New Roman" w:eastAsia="Times New Roman" w:hAnsi="Times New Roman"/>
                <w:b w:val="false"/>
                <w:bCs w:val="false"/>
                <w:sz w:val="19"/>
                <w:szCs w:val="19"/>
              </w:rPr>
              <w:t xml:space="preserve">)</w:t>
            </w:r>
          </w:p>
        </w:tc>
        <w:tc>
          <w:tcPr>
            <w:tcW w:type="dxa" w:w="13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5.5 × 3.5 km</w:t>
            </w:r>
          </w:p>
        </w:tc>
        <w:tc>
          <w:tcPr>
            <w:tcW w:type="dxa" w:w="10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Mean</w:t>
            </w:r>
          </w:p>
        </w:tc>
        <w:tc>
          <w:tcPr>
            <w:tcW w:type="dxa" w:w="19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19"/>
                <w:szCs w:val="19"/>
              </w:rPr>
              <w:t xml:space="preserve">Theys et al. (2017)</w:t>
            </w:r>
          </w:p>
        </w:tc>
      </w:tr>
      <w:tr>
        <w:trPr>
          <w:cantSplit/>
        </w:trPr>
        <w:tc>
          <w:tcPr>
            <w:tcW w:type="dxa" w:w="21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19"/>
                <w:szCs w:val="19"/>
              </w:rPr>
              <w:t xml:space="preserve">MODIS MCD19A2 (MAIAC), C6.1</w:t>
            </w:r>
          </w:p>
        </w:tc>
        <w:tc>
          <w:tcPr>
            <w:tcW w:type="dxa" w:w="27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19"/>
                <w:szCs w:val="19"/>
              </w:rPr>
              <w:t xml:space="preserve">AOD at 550 nm (unitless)</w:t>
            </w:r>
          </w:p>
        </w:tc>
        <w:tc>
          <w:tcPr>
            <w:tcW w:type="dxa" w:w="13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1 km</w:t>
            </w:r>
          </w:p>
        </w:tc>
        <w:tc>
          <w:tcPr>
            <w:tcW w:type="dxa" w:w="10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Median</w:t>
            </w:r>
          </w:p>
        </w:tc>
        <w:tc>
          <w:tcPr>
            <w:tcW w:type="dxa" w:w="19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19"/>
                <w:szCs w:val="19"/>
              </w:rPr>
              <w:t xml:space="preserve">Lyapustin et al. (2018)</w:t>
            </w:r>
          </w:p>
        </w:tc>
      </w:tr>
      <w:tr>
        <w:trPr>
          <w:cantSplit/>
        </w:trPr>
        <w:tc>
          <w:tcPr>
            <w:tcW w:type="dxa" w:w="21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19"/>
                <w:szCs w:val="19"/>
              </w:rPr>
              <w:t xml:space="preserve">MODIS MOD11A1, C6.1</w:t>
            </w:r>
          </w:p>
        </w:tc>
        <w:tc>
          <w:tcPr>
            <w:tcW w:type="dxa" w:w="27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19"/>
                <w:szCs w:val="19"/>
              </w:rPr>
              <w:t xml:space="preserve">LST, day and night (°C)</w:t>
            </w:r>
          </w:p>
        </w:tc>
        <w:tc>
          <w:tcPr>
            <w:tcW w:type="dxa" w:w="13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1 km</w:t>
            </w:r>
          </w:p>
        </w:tc>
        <w:tc>
          <w:tcPr>
            <w:tcW w:type="dxa" w:w="10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Mean</w:t>
            </w:r>
          </w:p>
        </w:tc>
        <w:tc>
          <w:tcPr>
            <w:tcW w:type="dxa" w:w="19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19"/>
                <w:szCs w:val="19"/>
              </w:rPr>
              <w:t xml:space="preserve">Wan (2014)</w:t>
            </w:r>
          </w:p>
        </w:tc>
      </w:tr>
      <w:tr>
        <w:trPr>
          <w:cantSplit/>
        </w:trPr>
        <w:tc>
          <w:tcPr>
            <w:tcW w:type="dxa" w:w="21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19"/>
                <w:szCs w:val="19"/>
              </w:rPr>
              <w:t xml:space="preserve">MODIS MCD12Q1</w:t>
            </w:r>
          </w:p>
        </w:tc>
        <w:tc>
          <w:tcPr>
            <w:tcW w:type="dxa" w:w="27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19"/>
                <w:szCs w:val="19"/>
              </w:rPr>
              <w:t xml:space="preserve">Land cover (urban and water classes)</w:t>
            </w:r>
          </w:p>
        </w:tc>
        <w:tc>
          <w:tcPr>
            <w:tcW w:type="dxa" w:w="13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500 m</w:t>
            </w:r>
          </w:p>
        </w:tc>
        <w:tc>
          <w:tcPr>
            <w:tcW w:type="dxa" w:w="10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w:t>
            </w:r>
          </w:p>
        </w:tc>
        <w:tc>
          <w:tcPr>
            <w:tcW w:type="dxa" w:w="19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19"/>
                <w:szCs w:val="19"/>
              </w:rPr>
              <w:t xml:space="preserve">Sulla-Menashe et al. (2019)</w:t>
            </w:r>
          </w:p>
        </w:tc>
      </w:tr>
      <w:tr>
        <w:trPr>
          <w:cantSplit/>
        </w:trPr>
        <w:tc>
          <w:tcPr>
            <w:tcW w:type="dxa" w:w="2100"/>
            <w:gridSpan w:val="1"/>
            <w:tcBorders>
              <w:top w:val="none" w:color="FFFFFF" w:sz="0"/>
              <w:left w:val="none" w:color="FFFFFF" w:sz="0"/>
              <w:bottom w:val="single" w:color="000000" w:sz="12"/>
              <w:right w:val="none" w:color="FFFFFF" w:sz="0"/>
            </w:tcBorders>
            <w:tcMar>
              <w:top w:type="dxa" w:w="40"/>
              <w:left w:type="dxa" w:w="60"/>
              <w:bottom w:type="dxa" w:w="40"/>
              <w:right w:type="dxa" w:w="60"/>
            </w:tcMar>
            <w:vAlign w:val="center"/>
          </w:tcPr>
          <w:p>
            <w:pPr>
              <w:keepNext w:val="false"/>
              <w:spacing w:after="0" w:line="240"/>
              <w:jc w:val="left"/>
            </w:pPr>
            <w:r>
              <w:rPr>
                <w:rFonts w:ascii="Times New Roman" w:cs="Times New Roman" w:eastAsia="Times New Roman" w:hAnsi="Times New Roman"/>
                <w:b w:val="false"/>
                <w:bCs w:val="false"/>
                <w:sz w:val="19"/>
                <w:szCs w:val="19"/>
              </w:rPr>
              <w:t xml:space="preserve">DoE monthly reports</w:t>
            </w:r>
          </w:p>
        </w:tc>
        <w:tc>
          <w:tcPr>
            <w:tcW w:type="dxa" w:w="2700"/>
            <w:gridSpan w:val="1"/>
            <w:tcBorders>
              <w:top w:val="none" w:color="FFFFFF" w:sz="0"/>
              <w:left w:val="none" w:color="FFFFFF" w:sz="0"/>
              <w:bottom w:val="single" w:color="000000" w:sz="12"/>
              <w:right w:val="none" w:color="FFFFFF" w:sz="0"/>
            </w:tcBorders>
            <w:tcMar>
              <w:top w:type="dxa" w:w="40"/>
              <w:left w:type="dxa" w:w="60"/>
              <w:bottom w:type="dxa" w:w="40"/>
              <w:right w:type="dxa" w:w="60"/>
            </w:tcMar>
            <w:vAlign w:val="center"/>
          </w:tcPr>
          <w:p>
            <w:pPr>
              <w:keepNext w:val="false"/>
              <w:spacing w:after="0" w:line="240"/>
              <w:jc w:val="left"/>
            </w:pPr>
            <w:r>
              <w:rPr>
                <w:rFonts w:ascii="Times New Roman" w:cs="Times New Roman" w:eastAsia="Times New Roman" w:hAnsi="Times New Roman"/>
                <w:b w:val="false"/>
                <w:bCs w:val="false"/>
                <w:sz w:val="19"/>
                <w:szCs w:val="19"/>
              </w:rPr>
              <w:t xml:space="preserve">PM</w:t>
            </w:r>
            <w:r>
              <w:rPr>
                <w:rFonts w:ascii="Times New Roman" w:cs="Times New Roman" w:eastAsia="Times New Roman" w:hAnsi="Times New Roman"/>
                <w:b w:val="false"/>
                <w:bCs w:val="false"/>
                <w:sz w:val="19"/>
                <w:szCs w:val="19"/>
                <w:vertAlign w:val="subscript"/>
              </w:rPr>
              <w:t xml:space="preserve">2.5</w:t>
            </w:r>
            <w:r>
              <w:rPr>
                <w:rFonts w:ascii="Times New Roman" w:cs="Times New Roman" w:eastAsia="Times New Roman" w:hAnsi="Times New Roman"/>
                <w:b w:val="false"/>
                <w:bCs w:val="false"/>
                <w:sz w:val="19"/>
                <w:szCs w:val="19"/>
              </w:rPr>
              <w:t xml:space="preserve">, PM</w:t>
            </w:r>
            <w:r>
              <w:rPr>
                <w:rFonts w:ascii="Times New Roman" w:cs="Times New Roman" w:eastAsia="Times New Roman" w:hAnsi="Times New Roman"/>
                <w:b w:val="false"/>
                <w:bCs w:val="false"/>
                <w:sz w:val="19"/>
                <w:szCs w:val="19"/>
                <w:vertAlign w:val="subscript"/>
              </w:rPr>
              <w:t xml:space="preserve">10</w:t>
            </w:r>
            <w:r>
              <w:rPr>
                <w:rFonts w:ascii="Times New Roman" w:cs="Times New Roman" w:eastAsia="Times New Roman" w:hAnsi="Times New Roman"/>
                <w:b w:val="false"/>
                <w:bCs w:val="false"/>
                <w:sz w:val="19"/>
                <w:szCs w:val="19"/>
              </w:rPr>
              <w:t xml:space="preserve">, NO</w:t>
            </w:r>
            <w:r>
              <w:rPr>
                <w:rFonts w:ascii="Times New Roman" w:cs="Times New Roman" w:eastAsia="Times New Roman" w:hAnsi="Times New Roman"/>
                <w:b w:val="false"/>
                <w:bCs w:val="false"/>
                <w:sz w:val="19"/>
                <w:szCs w:val="19"/>
                <w:vertAlign w:val="subscript"/>
              </w:rPr>
              <w:t xml:space="preserve">2</w:t>
            </w:r>
            <w:r>
              <w:rPr>
                <w:rFonts w:ascii="Times New Roman" w:cs="Times New Roman" w:eastAsia="Times New Roman" w:hAnsi="Times New Roman"/>
                <w:b w:val="false"/>
                <w:bCs w:val="false"/>
                <w:sz w:val="19"/>
                <w:szCs w:val="19"/>
              </w:rPr>
              <w:t xml:space="preserve">, SO</w:t>
            </w:r>
            <w:r>
              <w:rPr>
                <w:rFonts w:ascii="Times New Roman" w:cs="Times New Roman" w:eastAsia="Times New Roman" w:hAnsi="Times New Roman"/>
                <w:b w:val="false"/>
                <w:bCs w:val="false"/>
                <w:sz w:val="19"/>
                <w:szCs w:val="19"/>
                <w:vertAlign w:val="subscript"/>
              </w:rPr>
              <w:t xml:space="preserve">2</w:t>
            </w:r>
            <w:r>
              <w:rPr>
                <w:rFonts w:ascii="Times New Roman" w:cs="Times New Roman" w:eastAsia="Times New Roman" w:hAnsi="Times New Roman"/>
                <w:b w:val="false"/>
                <w:bCs w:val="false"/>
                <w:sz w:val="19"/>
                <w:szCs w:val="19"/>
              </w:rPr>
              <w:t xml:space="preserve">, CO and O</w:t>
            </w:r>
            <w:r>
              <w:rPr>
                <w:rFonts w:ascii="Times New Roman" w:cs="Times New Roman" w:eastAsia="Times New Roman" w:hAnsi="Times New Roman"/>
                <w:b w:val="false"/>
                <w:bCs w:val="false"/>
                <w:sz w:val="19"/>
                <w:szCs w:val="19"/>
                <w:vertAlign w:val="subscript"/>
              </w:rPr>
              <w:t xml:space="preserve">3</w:t>
            </w:r>
            <w:r>
              <w:rPr>
                <w:rFonts w:ascii="Times New Roman" w:cs="Times New Roman" w:eastAsia="Times New Roman" w:hAnsi="Times New Roman"/>
                <w:b w:val="false"/>
                <w:bCs w:val="false"/>
                <w:sz w:val="19"/>
                <w:szCs w:val="19"/>
              </w:rPr>
              <w:t xml:space="preserve"> at 16 stations</w:t>
            </w:r>
          </w:p>
        </w:tc>
        <w:tc>
          <w:tcPr>
            <w:tcW w:type="dxa" w:w="1300"/>
            <w:gridSpan w:val="1"/>
            <w:tcBorders>
              <w:top w:val="none" w:color="FFFFFF" w:sz="0"/>
              <w:left w:val="none" w:color="FFFFFF" w:sz="0"/>
              <w:bottom w:val="single" w:color="000000" w:sz="12"/>
              <w:right w:val="none" w:color="FFFFFF" w:sz="0"/>
            </w:tcBorders>
            <w:tcMar>
              <w:top w:type="dxa" w:w="40"/>
              <w:left w:type="dxa" w:w="60"/>
              <w:bottom w:type="dxa" w:w="40"/>
              <w:right w:type="dxa" w:w="60"/>
            </w:tcMar>
            <w:vAlign w:val="center"/>
          </w:tcPr>
          <w:p>
            <w:pPr>
              <w:keepNext w:val="false"/>
              <w:spacing w:after="0" w:line="240"/>
              <w:jc w:val="center"/>
            </w:pPr>
            <w:r>
              <w:rPr>
                <w:rFonts w:ascii="Times New Roman" w:cs="Times New Roman" w:eastAsia="Times New Roman" w:hAnsi="Times New Roman"/>
                <w:b w:val="false"/>
                <w:bCs w:val="false"/>
                <w:sz w:val="19"/>
                <w:szCs w:val="19"/>
              </w:rPr>
              <w:t xml:space="preserve">Point</w:t>
            </w:r>
          </w:p>
        </w:tc>
        <w:tc>
          <w:tcPr>
            <w:tcW w:type="dxa" w:w="1000"/>
            <w:gridSpan w:val="1"/>
            <w:tcBorders>
              <w:top w:val="none" w:color="FFFFFF" w:sz="0"/>
              <w:left w:val="none" w:color="FFFFFF" w:sz="0"/>
              <w:bottom w:val="single" w:color="000000" w:sz="12"/>
              <w:right w:val="none" w:color="FFFFFF" w:sz="0"/>
            </w:tcBorders>
            <w:tcMar>
              <w:top w:type="dxa" w:w="40"/>
              <w:left w:type="dxa" w:w="60"/>
              <w:bottom w:type="dxa" w:w="40"/>
              <w:right w:type="dxa" w:w="60"/>
            </w:tcMar>
            <w:vAlign w:val="center"/>
          </w:tcPr>
          <w:p>
            <w:pPr>
              <w:keepNext w:val="false"/>
              <w:spacing w:after="0" w:line="240"/>
              <w:jc w:val="center"/>
            </w:pPr>
            <w:r>
              <w:rPr>
                <w:rFonts w:ascii="Times New Roman" w:cs="Times New Roman" w:eastAsia="Times New Roman" w:hAnsi="Times New Roman"/>
                <w:b w:val="false"/>
                <w:bCs w:val="false"/>
                <w:sz w:val="19"/>
                <w:szCs w:val="19"/>
              </w:rPr>
              <w:t xml:space="preserve">Monthly mean</w:t>
            </w:r>
          </w:p>
        </w:tc>
        <w:tc>
          <w:tcPr>
            <w:tcW w:type="dxa" w:w="1926"/>
            <w:gridSpan w:val="1"/>
            <w:tcBorders>
              <w:top w:val="none" w:color="FFFFFF" w:sz="0"/>
              <w:left w:val="none" w:color="FFFFFF" w:sz="0"/>
              <w:bottom w:val="single" w:color="000000" w:sz="12"/>
              <w:right w:val="none" w:color="FFFFFF" w:sz="0"/>
            </w:tcBorders>
            <w:tcMar>
              <w:top w:type="dxa" w:w="40"/>
              <w:left w:type="dxa" w:w="60"/>
              <w:bottom w:type="dxa" w:w="40"/>
              <w:right w:type="dxa" w:w="60"/>
            </w:tcMar>
            <w:vAlign w:val="center"/>
          </w:tcPr>
          <w:p>
            <w:pPr>
              <w:keepNext w:val="false"/>
              <w:spacing w:after="0" w:line="240"/>
              <w:jc w:val="left"/>
            </w:pPr>
            <w:r>
              <w:rPr>
                <w:rFonts w:ascii="Times New Roman" w:cs="Times New Roman" w:eastAsia="Times New Roman" w:hAnsi="Times New Roman"/>
                <w:b w:val="false"/>
                <w:bCs w:val="false"/>
                <w:sz w:val="19"/>
                <w:szCs w:val="19"/>
              </w:rPr>
              <w:t xml:space="preserve">Department of Environment (2025)</w:t>
            </w:r>
          </w:p>
        </w:tc>
      </w:tr>
    </w:tbl>
    <w:p>
      <w:pPr>
        <w:spacing w:after="260" w:before="80" w:line="252"/>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TROPOMI resolutions are given at nadir. OFFL = offline processing stream; L3 = Level 3; C6.1 = Collection 6.1; DoE = Department of Environment.</w:t>
      </w:r>
    </w:p>
    <w:p>
      <w:pPr>
        <w:spacing w:after="160" w:line="360"/>
        <w:jc w:val="both"/>
      </w:pPr>
      <w:r>
        <w:rPr>
          <w:rFonts w:ascii="Times New Roman" w:cs="Times New Roman" w:eastAsia="Times New Roman" w:hAnsi="Times New Roman"/>
          <w:sz w:val="24"/>
          <w:szCs w:val="24"/>
        </w:rPr>
        <w:t xml:space="preserve">Three stations are located in Dhaka, two in Chattogram and one each in Gazipur, Narayanganj, Savar, Narsingdi, Mymensingh, Cumilla, Sylhet, Khulna, Rajshahi, Barishal and Rangpur. Only station-months with at least 50% data capture were used.</w:t>
      </w:r>
    </w:p>
    <w:p>
      <w:pPr>
        <w:pStyle w:val="Heading2"/>
        <w:keepNext/>
        <w:spacing w:after="120" w:before="200" w:line="360"/>
      </w:pPr>
      <w:r>
        <w:rPr>
          <w:rFonts w:ascii="Times New Roman" w:cs="Times New Roman" w:eastAsia="Times New Roman" w:hAnsi="Times New Roman"/>
          <w:b/>
          <w:bCs/>
          <w:i/>
          <w:iCs/>
          <w:color w:val="000000"/>
          <w:sz w:val="24"/>
          <w:szCs w:val="24"/>
        </w:rPr>
        <w:t xml:space="preserve">3.3 Pre-Processing and Quality Control</w:t>
      </w:r>
    </w:p>
    <w:p>
      <w:pPr>
        <w:spacing w:after="160" w:line="360"/>
        <w:jc w:val="both"/>
      </w:pPr>
      <w:r>
        <w:rPr>
          <w:rFonts w:ascii="Times New Roman" w:cs="Times New Roman" w:eastAsia="Times New Roman" w:hAnsi="Times New Roman"/>
          <w:sz w:val="24"/>
          <w:szCs w:val="24"/>
        </w:rPr>
        <w:t xml:space="preserve">All products were clipped to the national boundary and composited to monthly and annual values. TROPOMI variables were averaged over all valid observations in each period. For SO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values below −0.001 mol m</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were removed before averaging, because strongly negative columns represent retrieval noise. For AOD, non-positive values were removed, a pixel was retained in a month only if it had at least two valid observations, and the median was used instead of the mean to limit the influence of residual cloud contamination. Because MAIAC retrievals over inland water are unreliable, pixels classified as water in MCD12Q1 were masked. For LST, only observations flagged as good quality, or as other quality with an LST error of 2 K or less, were retained, and values were converted to degrees Celsius. All rasters were exported in geographic coordinates (EPSG:4326) at approximately 1 km resolution.</w:t>
      </w:r>
    </w:p>
    <w:p>
      <w:pPr>
        <w:spacing w:after="160" w:line="360"/>
        <w:jc w:val="both"/>
      </w:pPr>
      <w:r>
        <w:rPr>
          <w:rFonts w:ascii="Times New Roman" w:cs="Times New Roman" w:eastAsia="Times New Roman" w:hAnsi="Times New Roman"/>
          <w:sz w:val="24"/>
          <w:szCs w:val="24"/>
        </w:rPr>
        <w:t xml:space="preserve">Monsoon cloud removes a large share of the optical and thermal observations. All monthly maps were retained, but the spatial coverage of each month was computed as the percentage of pixels with a valid value among all pixels observed at least once during the year, and months with less than 50% coverage were flagged as having insufficient data. O</w:t>
      </w:r>
      <w:r>
        <w:rPr>
          <w:rFonts w:ascii="Times New Roman" w:cs="Times New Roman" w:eastAsia="Times New Roman" w:hAnsi="Times New Roman"/>
          <w:sz w:val="24"/>
          <w:szCs w:val="24"/>
          <w:vertAlign w:val="subscript"/>
        </w:rPr>
        <w:t xml:space="preserve">3</w:t>
      </w:r>
      <w:r>
        <w:rPr>
          <w:rFonts w:ascii="Times New Roman" w:cs="Times New Roman" w:eastAsia="Times New Roman" w:hAnsi="Times New Roman"/>
          <w:sz w:val="24"/>
          <w:szCs w:val="24"/>
        </w:rPr>
        <w:t xml:space="preserve"> was converted from mol m</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to Dobson units (1 DU = 4.4615 × 10</w:t>
      </w:r>
      <w:r>
        <w:rPr>
          <w:rFonts w:ascii="Times New Roman" w:cs="Times New Roman" w:eastAsia="Times New Roman" w:hAnsi="Times New Roman"/>
          <w:sz w:val="24"/>
          <w:szCs w:val="24"/>
          <w:vertAlign w:val="superscript"/>
        </w:rPr>
        <w:t xml:space="preserve">−4</w:t>
      </w:r>
      <w:r>
        <w:rPr>
          <w:rFonts w:ascii="Times New Roman" w:cs="Times New Roman" w:eastAsia="Times New Roman" w:hAnsi="Times New Roman"/>
          <w:sz w:val="24"/>
          <w:szCs w:val="24"/>
        </w:rPr>
        <w:t xml:space="preserve"> mol m</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and NO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and SO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are reported in µmol m</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w:t>
      </w:r>
    </w:p>
    <w:p>
      <w:pPr>
        <w:spacing w:after="160" w:line="360"/>
        <w:jc w:val="both"/>
      </w:pPr>
      <w:r>
        <w:rPr>
          <w:rFonts w:ascii="Times New Roman" w:cs="Times New Roman" w:eastAsia="Times New Roman" w:hAnsi="Times New Roman"/>
          <w:sz w:val="24"/>
          <w:szCs w:val="24"/>
        </w:rPr>
        <w:t xml:space="preserve">Particulate matter was not estimated from AOD. The reference study derived PM</w:t>
      </w:r>
      <w:r>
        <w:rPr>
          <w:rFonts w:ascii="Times New Roman" w:cs="Times New Roman" w:eastAsia="Times New Roman" w:hAnsi="Times New Roman"/>
          <w:sz w:val="24"/>
          <w:szCs w:val="24"/>
          <w:vertAlign w:val="subscript"/>
        </w:rPr>
        <w:t xml:space="preserve">2.5</w:t>
      </w:r>
      <w:r>
        <w:rPr>
          <w:rFonts w:ascii="Times New Roman" w:cs="Times New Roman" w:eastAsia="Times New Roman" w:hAnsi="Times New Roman"/>
          <w:sz w:val="24"/>
          <w:szCs w:val="24"/>
        </w:rPr>
        <w:t xml:space="preserve"> and PM</w:t>
      </w:r>
      <w:r>
        <w:rPr>
          <w:rFonts w:ascii="Times New Roman" w:cs="Times New Roman" w:eastAsia="Times New Roman" w:hAnsi="Times New Roman"/>
          <w:sz w:val="24"/>
          <w:szCs w:val="24"/>
          <w:vertAlign w:val="subscript"/>
        </w:rPr>
        <w:t xml:space="preserve">10</w:t>
      </w:r>
      <w:r>
        <w:rPr>
          <w:rFonts w:ascii="Times New Roman" w:cs="Times New Roman" w:eastAsia="Times New Roman" w:hAnsi="Times New Roman"/>
          <w:sz w:val="24"/>
          <w:szCs w:val="24"/>
        </w:rPr>
        <w:t xml:space="preserve"> from AOD using empirical relationships calibrated in other regions (Sameh et al., 2026). Such relationships depend on aerosol type, humidity and the vertical distribution of aerosols and cannot be transferred to Bangladesh without local calibration. AOD and UVAI were therefore analysed directly as indicators of the aerosol load, and their relationship with measured PM was examined separately (Section 3.7).</w:t>
      </w:r>
    </w:p>
    <w:p>
      <w:pPr>
        <w:pStyle w:val="Heading2"/>
        <w:keepNext/>
        <w:spacing w:after="120" w:before="200" w:line="360"/>
      </w:pPr>
      <w:r>
        <w:rPr>
          <w:rFonts w:ascii="Times New Roman" w:cs="Times New Roman" w:eastAsia="Times New Roman" w:hAnsi="Times New Roman"/>
          <w:b/>
          <w:bCs/>
          <w:i/>
          <w:iCs/>
          <w:color w:val="000000"/>
          <w:sz w:val="24"/>
          <w:szCs w:val="24"/>
        </w:rPr>
        <w:t xml:space="preserve">3.4 Urban Heat Island Intensity</w:t>
      </w:r>
    </w:p>
    <w:p>
      <w:pPr>
        <w:spacing w:after="160" w:line="360"/>
        <w:jc w:val="both"/>
      </w:pPr>
      <w:r>
        <w:rPr>
          <w:rFonts w:ascii="Times New Roman" w:cs="Times New Roman" w:eastAsia="Times New Roman" w:hAnsi="Times New Roman"/>
          <w:sz w:val="24"/>
          <w:szCs w:val="24"/>
        </w:rPr>
        <w:t xml:space="preserve">Surface UHI intensity was calculated from the annual daytime LST composite as the difference between the LST of each pixel and the mean LST of the rural pixels within a 10 km radius, where rural pixels are those classified neither as urban nor as water in MCD12Q1. This follows the urban–rural contrast that is widely used in surface UHI studies (Peng et al., 2012; Zhou et al., 2019), but uses a local rural reference so that regional temperature gradients across the country do not appear as heat islands. Water pixels were masked.</w:t>
      </w:r>
    </w:p>
    <w:p>
      <w:pPr>
        <w:pStyle w:val="Heading2"/>
        <w:keepNext/>
        <w:spacing w:after="120" w:before="200" w:line="360"/>
      </w:pPr>
      <w:r>
        <w:rPr>
          <w:rFonts w:ascii="Times New Roman" w:cs="Times New Roman" w:eastAsia="Times New Roman" w:hAnsi="Times New Roman"/>
          <w:b/>
          <w:bCs/>
          <w:i/>
          <w:iCs/>
          <w:color w:val="000000"/>
          <w:sz w:val="24"/>
          <w:szCs w:val="24"/>
        </w:rPr>
        <w:t xml:space="preserve">3.5 Temporal and Seasonal Analysis</w:t>
      </w:r>
    </w:p>
    <w:p>
      <w:pPr>
        <w:spacing w:after="160" w:line="360"/>
        <w:jc w:val="both"/>
      </w:pPr>
      <w:r>
        <w:rPr>
          <w:rFonts w:ascii="Times New Roman" w:cs="Times New Roman" w:eastAsia="Times New Roman" w:hAnsi="Times New Roman"/>
          <w:sz w:val="24"/>
          <w:szCs w:val="24"/>
        </w:rPr>
        <w:t xml:space="preserve">Daily national means were computed for every variable. For AOD, NO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CO and SO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days on which less than 50% of the country was observed were excluded, because national means based on a few cloud-free pixels are not representative. Days deviating by more than three robust standard deviations (1.4826 times the median absolute deviation) from a 15-day running median were removed as outliers, a filter of the Hampel type (Hampel, 1974), and the 15-day running median was used as the smoothed series. Seasonal composites were calculated for each pixel as the mean of the monthly composites of the season, for winter (January, February and December 2025), pre-monsoon (March–May), monsoon (June–September) and post-monsoon (October–November). National seasonal means and standard deviations were derived from these composites.</w:t>
      </w:r>
    </w:p>
    <w:p>
      <w:pPr>
        <w:pStyle w:val="Heading2"/>
        <w:keepNext/>
        <w:spacing w:after="120" w:before="200" w:line="360"/>
      </w:pPr>
      <w:r>
        <w:rPr>
          <w:rFonts w:ascii="Times New Roman" w:cs="Times New Roman" w:eastAsia="Times New Roman" w:hAnsi="Times New Roman"/>
          <w:b/>
          <w:bCs/>
          <w:i/>
          <w:iCs/>
          <w:color w:val="000000"/>
          <w:sz w:val="24"/>
          <w:szCs w:val="24"/>
        </w:rPr>
        <w:t xml:space="preserve">3.6 Statistical Analysis</w:t>
      </w:r>
    </w:p>
    <w:p>
      <w:pPr>
        <w:spacing w:after="160" w:line="360"/>
        <w:jc w:val="both"/>
      </w:pPr>
      <w:r>
        <w:rPr>
          <w:rFonts w:ascii="Times New Roman" w:cs="Times New Roman" w:eastAsia="Times New Roman" w:hAnsi="Times New Roman"/>
          <w:sz w:val="24"/>
          <w:szCs w:val="24"/>
        </w:rPr>
        <w:t xml:space="preserve">The variables have different native resolutions, so all rasters were aggregated by averaging onto a common grid of 0.05° (about 5.5 km), which is close to the TROPOMI footprint. Water was removed from the MODIS variables before aggregation, and only cells with at least 50% land were retained. Cells with valid annual values for all variables formed the analysis sample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4,901).</w:t>
      </w:r>
    </w:p>
    <w:p>
      <w:pPr>
        <w:spacing w:after="160" w:line="360"/>
        <w:jc w:val="both"/>
      </w:pPr>
      <w:r>
        <w:rPr>
          <w:rFonts w:ascii="Times New Roman" w:cs="Times New Roman" w:eastAsia="Times New Roman" w:hAnsi="Times New Roman"/>
          <w:sz w:val="24"/>
          <w:szCs w:val="24"/>
        </w:rPr>
        <w:t xml:space="preserve">Pearson and Spearman correlation coefficients were calculated among LST Day, LST Night, UHI and the eight atmospheric variables. Because the observations are spatially autocorrelated, the effective sample size is much smaller than the number of cells and significance levels are overstated (Clifford et al., 1989);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values are reported for completeness, but the interpretation is based on the size of the coefficients. Following Sameh et al. (2026), simple ordinary least squares (OLS) regressions of LST Day and LST Night on each pollutant were fitted. The correlation analysis was repeated for each season using the seasonal composites, with cells retained pairwise.</w:t>
      </w:r>
    </w:p>
    <w:p>
      <w:pPr>
        <w:spacing w:after="160" w:line="360"/>
        <w:jc w:val="both"/>
      </w:pPr>
      <w:r>
        <w:rPr>
          <w:rFonts w:ascii="Times New Roman" w:cs="Times New Roman" w:eastAsia="Times New Roman" w:hAnsi="Times New Roman"/>
          <w:sz w:val="24"/>
          <w:szCs w:val="24"/>
        </w:rPr>
        <w:t xml:space="preserve">PCA was applied to the correlation matrix of ten standardised variables. UHI was excluded because it is derived from LST Day. Components with an eigenvalue greater than one were retained (Jolliffe &amp; Cadima, 2016; Kaiser, 1960).</w:t>
      </w:r>
    </w:p>
    <w:p>
      <w:pPr>
        <w:spacing w:after="160" w:line="360"/>
        <w:jc w:val="both"/>
      </w:pPr>
      <w:r>
        <w:rPr>
          <w:rFonts w:ascii="Times New Roman" w:cs="Times New Roman" w:eastAsia="Times New Roman" w:hAnsi="Times New Roman"/>
          <w:sz w:val="24"/>
          <w:szCs w:val="24"/>
        </w:rPr>
        <w:t xml:space="preserve">Global regression assumes that the relationship between LST and the pollutants is the same everywhere. GWR relaxes this assumption by fitting a separate regression at each location, weighting neighbouring observations by distance (Fotheringham et al., 2002). LST Day and LST Night were modelled as functions of standardised AOD, CH</w:t>
      </w:r>
      <w:r>
        <w:rPr>
          <w:rFonts w:ascii="Times New Roman" w:cs="Times New Roman" w:eastAsia="Times New Roman" w:hAnsi="Times New Roman"/>
          <w:sz w:val="24"/>
          <w:szCs w:val="24"/>
          <w:vertAlign w:val="subscript"/>
        </w:rPr>
        <w:t xml:space="preserve">4</w:t>
      </w:r>
      <w:r>
        <w:rPr>
          <w:rFonts w:ascii="Times New Roman" w:cs="Times New Roman" w:eastAsia="Times New Roman" w:hAnsi="Times New Roman"/>
          <w:sz w:val="24"/>
          <w:szCs w:val="24"/>
        </w:rPr>
        <w:t xml:space="preserve">, HCHO, NO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and CO, using an adaptive bi-square kernel, great-circle distances and a bandwidth selected by minimising the corrected Akaike information criterion (AICc) (Oshan et al., 2019). UVAI was excluded because it overlaps with AOD, total-column O</w:t>
      </w:r>
      <w:r>
        <w:rPr>
          <w:rFonts w:ascii="Times New Roman" w:cs="Times New Roman" w:eastAsia="Times New Roman" w:hAnsi="Times New Roman"/>
          <w:sz w:val="24"/>
          <w:szCs w:val="24"/>
          <w:vertAlign w:val="subscript"/>
        </w:rPr>
        <w:t xml:space="preserve">3</w:t>
      </w:r>
      <w:r>
        <w:rPr>
          <w:rFonts w:ascii="Times New Roman" w:cs="Times New Roman" w:eastAsia="Times New Roman" w:hAnsi="Times New Roman"/>
          <w:sz w:val="24"/>
          <w:szCs w:val="24"/>
        </w:rPr>
        <w:t xml:space="preserve"> because it is dominated by the stratosphere, and SO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because of its low signal-to-noise ratio. The variance inflation factors (VIF) of the predictors ranged from 2.0 to 3.6, below the commonly used threshold of 5 (O’Brien, 2007). The significance of local coefficients was assessed with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values corrected for multiple testing (da Silva &amp; Fotheringham, 2016). To test the sensitivity of the results to the choice of aerosol indicator, a second model was fitted with UVAI in place of AOD.</w:t>
      </w:r>
    </w:p>
    <w:p>
      <w:pPr>
        <w:pStyle w:val="Heading2"/>
        <w:keepNext/>
        <w:spacing w:after="120" w:before="200" w:line="360"/>
      </w:pPr>
      <w:r>
        <w:rPr>
          <w:rFonts w:ascii="Times New Roman" w:cs="Times New Roman" w:eastAsia="Times New Roman" w:hAnsi="Times New Roman"/>
          <w:b/>
          <w:bCs/>
          <w:i/>
          <w:iCs/>
          <w:color w:val="000000"/>
          <w:sz w:val="24"/>
          <w:szCs w:val="24"/>
        </w:rPr>
        <w:t xml:space="preserve">3.7 Comparison With Ground Stations</w:t>
      </w:r>
    </w:p>
    <w:p>
      <w:pPr>
        <w:spacing w:after="160" w:line="360"/>
        <w:jc w:val="both"/>
      </w:pPr>
      <w:r>
        <w:rPr>
          <w:rFonts w:ascii="Times New Roman" w:cs="Times New Roman" w:eastAsia="Times New Roman" w:hAnsi="Times New Roman"/>
          <w:sz w:val="24"/>
          <w:szCs w:val="24"/>
        </w:rPr>
        <w:t xml:space="preserve">For each station, the satellite value of each month was taken as the mean of the 3 × 3 pixels of the monthly composite centred on the station. Station PM</w:t>
      </w:r>
      <w:r>
        <w:rPr>
          <w:rFonts w:ascii="Times New Roman" w:cs="Times New Roman" w:eastAsia="Times New Roman" w:hAnsi="Times New Roman"/>
          <w:sz w:val="24"/>
          <w:szCs w:val="24"/>
          <w:vertAlign w:val="subscript"/>
        </w:rPr>
        <w:t xml:space="preserve">2.5</w:t>
      </w:r>
      <w:r>
        <w:rPr>
          <w:rFonts w:ascii="Times New Roman" w:cs="Times New Roman" w:eastAsia="Times New Roman" w:hAnsi="Times New Roman"/>
          <w:sz w:val="24"/>
          <w:szCs w:val="24"/>
        </w:rPr>
        <w:t xml:space="preserve"> and PM</w:t>
      </w:r>
      <w:r>
        <w:rPr>
          <w:rFonts w:ascii="Times New Roman" w:cs="Times New Roman" w:eastAsia="Times New Roman" w:hAnsi="Times New Roman"/>
          <w:sz w:val="24"/>
          <w:szCs w:val="24"/>
          <w:vertAlign w:val="subscript"/>
        </w:rPr>
        <w:t xml:space="preserve">10</w:t>
      </w:r>
      <w:r>
        <w:rPr>
          <w:rFonts w:ascii="Times New Roman" w:cs="Times New Roman" w:eastAsia="Times New Roman" w:hAnsi="Times New Roman"/>
          <w:sz w:val="24"/>
          <w:szCs w:val="24"/>
        </w:rPr>
        <w:t xml:space="preserve"> were compared with AOD, station PM</w:t>
      </w:r>
      <w:r>
        <w:rPr>
          <w:rFonts w:ascii="Times New Roman" w:cs="Times New Roman" w:eastAsia="Times New Roman" w:hAnsi="Times New Roman"/>
          <w:sz w:val="24"/>
          <w:szCs w:val="24"/>
          <w:vertAlign w:val="subscript"/>
        </w:rPr>
        <w:t xml:space="preserve">2.5</w:t>
      </w:r>
      <w:r>
        <w:rPr>
          <w:rFonts w:ascii="Times New Roman" w:cs="Times New Roman" w:eastAsia="Times New Roman" w:hAnsi="Times New Roman"/>
          <w:sz w:val="24"/>
          <w:szCs w:val="24"/>
        </w:rPr>
        <w:t xml:space="preserve"> with UVAI, and station NO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SO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CO and O</w:t>
      </w:r>
      <w:r>
        <w:rPr>
          <w:rFonts w:ascii="Times New Roman" w:cs="Times New Roman" w:eastAsia="Times New Roman" w:hAnsi="Times New Roman"/>
          <w:sz w:val="24"/>
          <w:szCs w:val="24"/>
          <w:vertAlign w:val="subscript"/>
        </w:rPr>
        <w:t xml:space="preserve">3</w:t>
      </w:r>
      <w:r>
        <w:rPr>
          <w:rFonts w:ascii="Times New Roman" w:cs="Times New Roman" w:eastAsia="Times New Roman" w:hAnsi="Times New Roman"/>
          <w:sz w:val="24"/>
          <w:szCs w:val="24"/>
        </w:rPr>
        <w:t xml:space="preserve"> with the corresponding TROPOMI columns. Agreement was measured with Pearson and Spearman coefficients at two levels: across all station-months, which reflects mainly the shared seasonal cycle, and across station means, which reflects spatial agreement. The mean PM</w:t>
      </w:r>
      <w:r>
        <w:rPr>
          <w:rFonts w:ascii="Times New Roman" w:cs="Times New Roman" w:eastAsia="Times New Roman" w:hAnsi="Times New Roman"/>
          <w:sz w:val="24"/>
          <w:szCs w:val="24"/>
          <w:vertAlign w:val="subscript"/>
        </w:rPr>
        <w:t xml:space="preserve">2.5</w:t>
      </w:r>
      <w:r>
        <w:rPr>
          <w:rFonts w:ascii="Times New Roman" w:cs="Times New Roman" w:eastAsia="Times New Roman" w:hAnsi="Times New Roman"/>
          <w:sz w:val="24"/>
          <w:szCs w:val="24"/>
        </w:rPr>
        <w:t xml:space="preserve"> and PM</w:t>
      </w:r>
      <w:r>
        <w:rPr>
          <w:rFonts w:ascii="Times New Roman" w:cs="Times New Roman" w:eastAsia="Times New Roman" w:hAnsi="Times New Roman"/>
          <w:sz w:val="24"/>
          <w:szCs w:val="24"/>
          <w:vertAlign w:val="subscript"/>
        </w:rPr>
        <w:t xml:space="preserve">10</w:t>
      </w:r>
      <w:r>
        <w:rPr>
          <w:rFonts w:ascii="Times New Roman" w:cs="Times New Roman" w:eastAsia="Times New Roman" w:hAnsi="Times New Roman"/>
          <w:sz w:val="24"/>
          <w:szCs w:val="24"/>
        </w:rPr>
        <w:t xml:space="preserve"> concentrations of each station were compared with the annual WHO air quality guideline levels of 5 and 15 µg m</w:t>
      </w:r>
      <w:r>
        <w:rPr>
          <w:rFonts w:ascii="Times New Roman" w:cs="Times New Roman" w:eastAsia="Times New Roman" w:hAnsi="Times New Roman"/>
          <w:sz w:val="24"/>
          <w:szCs w:val="24"/>
          <w:vertAlign w:val="superscript"/>
        </w:rPr>
        <w:t xml:space="preserve">−3</w:t>
      </w:r>
      <w:r>
        <w:rPr>
          <w:rFonts w:ascii="Times New Roman" w:cs="Times New Roman" w:eastAsia="Times New Roman" w:hAnsi="Times New Roman"/>
          <w:sz w:val="24"/>
          <w:szCs w:val="24"/>
        </w:rPr>
        <w:t xml:space="preserve"> (World Health Organization, 2021) and with the annual national standards of 35 and 50 µg m</w:t>
      </w:r>
      <w:r>
        <w:rPr>
          <w:rFonts w:ascii="Times New Roman" w:cs="Times New Roman" w:eastAsia="Times New Roman" w:hAnsi="Times New Roman"/>
          <w:sz w:val="24"/>
          <w:szCs w:val="24"/>
          <w:vertAlign w:val="superscript"/>
        </w:rPr>
        <w:t xml:space="preserve">−3</w:t>
      </w:r>
      <w:r>
        <w:rPr>
          <w:rFonts w:ascii="Times New Roman" w:cs="Times New Roman" w:eastAsia="Times New Roman" w:hAnsi="Times New Roman"/>
          <w:sz w:val="24"/>
          <w:szCs w:val="24"/>
        </w:rPr>
        <w:t xml:space="preserve"> (Ministry of Environment, Forest and Climate Change, 2022). Satellite columns were not compared with these limits, because the guidelines apply to surface concentrations.</w:t>
      </w:r>
    </w:p>
    <w:p>
      <w:pPr>
        <w:pStyle w:val="Heading1"/>
        <w:keepNext/>
        <w:spacing w:after="140" w:before="280" w:line="360"/>
      </w:pPr>
      <w:r>
        <w:rPr>
          <w:rFonts w:ascii="Times New Roman" w:cs="Times New Roman" w:eastAsia="Times New Roman" w:hAnsi="Times New Roman"/>
          <w:b/>
          <w:bCs/>
          <w:color w:val="000000"/>
          <w:sz w:val="26"/>
          <w:szCs w:val="26"/>
        </w:rPr>
        <w:t xml:space="preserve">4. Results</w:t>
      </w:r>
    </w:p>
    <w:p>
      <w:pPr>
        <w:pStyle w:val="Heading2"/>
        <w:keepNext/>
        <w:spacing w:after="120" w:before="200" w:line="360"/>
      </w:pPr>
      <w:r>
        <w:rPr>
          <w:rFonts w:ascii="Times New Roman" w:cs="Times New Roman" w:eastAsia="Times New Roman" w:hAnsi="Times New Roman"/>
          <w:b/>
          <w:bCs/>
          <w:i/>
          <w:iCs/>
          <w:color w:val="000000"/>
          <w:sz w:val="24"/>
          <w:szCs w:val="24"/>
        </w:rPr>
        <w:t xml:space="preserve">4.1 Data Availability</w:t>
      </w:r>
    </w:p>
    <w:p>
      <w:pPr>
        <w:spacing w:after="160" w:line="360"/>
        <w:jc w:val="both"/>
      </w:pPr>
      <w:r>
        <w:rPr>
          <w:rFonts w:ascii="Times New Roman" w:cs="Times New Roman" w:eastAsia="Times New Roman" w:hAnsi="Times New Roman"/>
          <w:sz w:val="24"/>
          <w:szCs w:val="24"/>
        </w:rPr>
        <w:t xml:space="preserve">UVAI, NO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SO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CO, HCHO and O</w:t>
      </w:r>
      <w:r>
        <w:rPr>
          <w:rFonts w:ascii="Times New Roman" w:cs="Times New Roman" w:eastAsia="Times New Roman" w:hAnsi="Times New Roman"/>
          <w:sz w:val="24"/>
          <w:szCs w:val="24"/>
          <w:vertAlign w:val="subscript"/>
        </w:rPr>
        <w:t xml:space="preserve">3</w:t>
      </w:r>
      <w:r>
        <w:rPr>
          <w:rFonts w:ascii="Times New Roman" w:cs="Times New Roman" w:eastAsia="Times New Roman" w:hAnsi="Times New Roman"/>
          <w:sz w:val="24"/>
          <w:szCs w:val="24"/>
        </w:rPr>
        <w:t xml:space="preserve"> had almost complete coverage in every month (Table 2). CH</w:t>
      </w:r>
      <w:r>
        <w:rPr>
          <w:rFonts w:ascii="Times New Roman" w:cs="Times New Roman" w:eastAsia="Times New Roman" w:hAnsi="Times New Roman"/>
          <w:sz w:val="24"/>
          <w:szCs w:val="24"/>
          <w:vertAlign w:val="subscript"/>
        </w:rPr>
        <w:t xml:space="preserve">4</w:t>
      </w:r>
      <w:r>
        <w:rPr>
          <w:rFonts w:ascii="Times New Roman" w:cs="Times New Roman" w:eastAsia="Times New Roman" w:hAnsi="Times New Roman"/>
          <w:sz w:val="24"/>
          <w:szCs w:val="24"/>
        </w:rPr>
        <w:t xml:space="preserve">, AOD and LST were strongly affected by monsoon cloud. CH</w:t>
      </w:r>
      <w:r>
        <w:rPr>
          <w:rFonts w:ascii="Times New Roman" w:cs="Times New Roman" w:eastAsia="Times New Roman" w:hAnsi="Times New Roman"/>
          <w:sz w:val="24"/>
          <w:szCs w:val="24"/>
          <w:vertAlign w:val="subscript"/>
        </w:rPr>
        <w:t xml:space="preserve">4</w:t>
      </w:r>
      <w:r>
        <w:rPr>
          <w:rFonts w:ascii="Times New Roman" w:cs="Times New Roman" w:eastAsia="Times New Roman" w:hAnsi="Times New Roman"/>
          <w:sz w:val="24"/>
          <w:szCs w:val="24"/>
        </w:rPr>
        <w:t xml:space="preserve"> coverage fell to 15% in June, was close to zero in July and August and recovered to only 25% in September. AOD coverage dropped to 11% in July and 25% in August, daytime LST to 32% and 47%, and nighttime LST to 30% and 15%. These months are flagged in all figures and tables, and their national means should be read with caution, because the pixels that were observed are spatially clustered.</w:t>
      </w:r>
    </w:p>
    <w:p>
      <w:pPr>
        <w:keepNext/>
        <w:spacing w:after="100" w:before="240" w:line="276"/>
        <w:jc w:val="left"/>
      </w:pPr>
      <w:r>
        <w:rPr>
          <w:rFonts w:ascii="Times New Roman" w:cs="Times New Roman" w:eastAsia="Times New Roman" w:hAnsi="Times New Roman"/>
          <w:b/>
          <w:bCs/>
          <w:sz w:val="22"/>
          <w:szCs w:val="22"/>
        </w:rPr>
        <w:t xml:space="preserve">Table 2. </w:t>
      </w:r>
      <w:r>
        <w:rPr>
          <w:rFonts w:ascii="Times New Roman" w:cs="Times New Roman" w:eastAsia="Times New Roman" w:hAnsi="Times New Roman"/>
          <w:sz w:val="22"/>
          <w:szCs w:val="22"/>
        </w:rPr>
        <w:t xml:space="preserve">Monthly spatial coverage of each variable in 2025 (%).</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26"/>
        <w:gridCol w:w="820"/>
        <w:gridCol w:w="820"/>
        <w:gridCol w:w="820"/>
        <w:gridCol w:w="820"/>
        <w:gridCol w:w="820"/>
        <w:gridCol w:w="820"/>
        <w:gridCol w:w="820"/>
        <w:gridCol w:w="820"/>
        <w:gridCol w:w="820"/>
        <w:gridCol w:w="820"/>
      </w:tblGrid>
      <w:tr>
        <w:trPr>
          <w:cantSplit/>
          <w:tblHeader/>
        </w:trPr>
        <w:tc>
          <w:tcPr>
            <w:tcW w:type="dxa" w:w="826"/>
            <w:gridSpan w:val="1"/>
            <w:tcBorders>
              <w:top w:val="single" w:color="000000" w:sz="12"/>
              <w:left w:val="none" w:color="FFFFFF" w:sz="0"/>
              <w:bottom w:val="single" w:color="000000" w:sz="6"/>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sz w:val="20"/>
                <w:szCs w:val="20"/>
              </w:rPr>
              <w:t xml:space="preserve">Month</w:t>
            </w:r>
          </w:p>
        </w:tc>
        <w:tc>
          <w:tcPr>
            <w:tcW w:type="dxa" w:w="820"/>
            <w:gridSpan w:val="1"/>
            <w:tcBorders>
              <w:top w:val="single" w:color="000000" w:sz="12"/>
              <w:left w:val="none" w:color="FFFFFF" w:sz="0"/>
              <w:bottom w:val="single" w:color="000000" w:sz="6"/>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sz w:val="20"/>
                <w:szCs w:val="20"/>
              </w:rPr>
              <w:t xml:space="preserve">AOD</w:t>
            </w:r>
          </w:p>
        </w:tc>
        <w:tc>
          <w:tcPr>
            <w:tcW w:type="dxa" w:w="820"/>
            <w:gridSpan w:val="1"/>
            <w:tcBorders>
              <w:top w:val="single" w:color="000000" w:sz="12"/>
              <w:left w:val="none" w:color="FFFFFF" w:sz="0"/>
              <w:bottom w:val="single" w:color="000000" w:sz="6"/>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sz w:val="20"/>
                <w:szCs w:val="20"/>
              </w:rPr>
              <w:t xml:space="preserve">UVAI</w:t>
            </w:r>
          </w:p>
        </w:tc>
        <w:tc>
          <w:tcPr>
            <w:tcW w:type="dxa" w:w="820"/>
            <w:gridSpan w:val="1"/>
            <w:tcBorders>
              <w:top w:val="single" w:color="000000" w:sz="12"/>
              <w:left w:val="none" w:color="FFFFFF" w:sz="0"/>
              <w:bottom w:val="single" w:color="000000" w:sz="6"/>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sz w:val="20"/>
                <w:szCs w:val="20"/>
              </w:rPr>
              <w:t xml:space="preserve">NO</w:t>
            </w:r>
            <w:r>
              <w:rPr>
                <w:rFonts w:ascii="Times New Roman" w:cs="Times New Roman" w:eastAsia="Times New Roman" w:hAnsi="Times New Roman"/>
                <w:sz w:val="20"/>
                <w:szCs w:val="20"/>
                <w:vertAlign w:val="subscript"/>
              </w:rPr>
              <w:t xml:space="preserve">2</w:t>
            </w:r>
          </w:p>
        </w:tc>
        <w:tc>
          <w:tcPr>
            <w:tcW w:type="dxa" w:w="820"/>
            <w:gridSpan w:val="1"/>
            <w:tcBorders>
              <w:top w:val="single" w:color="000000" w:sz="12"/>
              <w:left w:val="none" w:color="FFFFFF" w:sz="0"/>
              <w:bottom w:val="single" w:color="000000" w:sz="6"/>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sz w:val="20"/>
                <w:szCs w:val="20"/>
              </w:rPr>
              <w:t xml:space="preserve">SO</w:t>
            </w:r>
            <w:r>
              <w:rPr>
                <w:rFonts w:ascii="Times New Roman" w:cs="Times New Roman" w:eastAsia="Times New Roman" w:hAnsi="Times New Roman"/>
                <w:sz w:val="20"/>
                <w:szCs w:val="20"/>
                <w:vertAlign w:val="subscript"/>
              </w:rPr>
              <w:t xml:space="preserve">2</w:t>
            </w:r>
          </w:p>
        </w:tc>
        <w:tc>
          <w:tcPr>
            <w:tcW w:type="dxa" w:w="820"/>
            <w:gridSpan w:val="1"/>
            <w:tcBorders>
              <w:top w:val="single" w:color="000000" w:sz="12"/>
              <w:left w:val="none" w:color="FFFFFF" w:sz="0"/>
              <w:bottom w:val="single" w:color="000000" w:sz="6"/>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sz w:val="20"/>
                <w:szCs w:val="20"/>
              </w:rPr>
              <w:t xml:space="preserve">CO</w:t>
            </w:r>
          </w:p>
        </w:tc>
        <w:tc>
          <w:tcPr>
            <w:tcW w:type="dxa" w:w="820"/>
            <w:gridSpan w:val="1"/>
            <w:tcBorders>
              <w:top w:val="single" w:color="000000" w:sz="12"/>
              <w:left w:val="none" w:color="FFFFFF" w:sz="0"/>
              <w:bottom w:val="single" w:color="000000" w:sz="6"/>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sz w:val="20"/>
                <w:szCs w:val="20"/>
              </w:rPr>
              <w:t xml:space="preserve">CH</w:t>
            </w:r>
            <w:r>
              <w:rPr>
                <w:rFonts w:ascii="Times New Roman" w:cs="Times New Roman" w:eastAsia="Times New Roman" w:hAnsi="Times New Roman"/>
                <w:sz w:val="20"/>
                <w:szCs w:val="20"/>
                <w:vertAlign w:val="subscript"/>
              </w:rPr>
              <w:t xml:space="preserve">4</w:t>
            </w:r>
          </w:p>
        </w:tc>
        <w:tc>
          <w:tcPr>
            <w:tcW w:type="dxa" w:w="820"/>
            <w:gridSpan w:val="1"/>
            <w:tcBorders>
              <w:top w:val="single" w:color="000000" w:sz="12"/>
              <w:left w:val="none" w:color="FFFFFF" w:sz="0"/>
              <w:bottom w:val="single" w:color="000000" w:sz="6"/>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sz w:val="20"/>
                <w:szCs w:val="20"/>
              </w:rPr>
              <w:t xml:space="preserve">HCHO</w:t>
            </w:r>
          </w:p>
        </w:tc>
        <w:tc>
          <w:tcPr>
            <w:tcW w:type="dxa" w:w="820"/>
            <w:gridSpan w:val="1"/>
            <w:tcBorders>
              <w:top w:val="single" w:color="000000" w:sz="12"/>
              <w:left w:val="none" w:color="FFFFFF" w:sz="0"/>
              <w:bottom w:val="single" w:color="000000" w:sz="6"/>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sz w:val="20"/>
                <w:szCs w:val="20"/>
              </w:rPr>
              <w:t xml:space="preserve">O</w:t>
            </w:r>
            <w:r>
              <w:rPr>
                <w:rFonts w:ascii="Times New Roman" w:cs="Times New Roman" w:eastAsia="Times New Roman" w:hAnsi="Times New Roman"/>
                <w:sz w:val="20"/>
                <w:szCs w:val="20"/>
                <w:vertAlign w:val="subscript"/>
              </w:rPr>
              <w:t xml:space="preserve">3</w:t>
            </w:r>
          </w:p>
        </w:tc>
        <w:tc>
          <w:tcPr>
            <w:tcW w:type="dxa" w:w="820"/>
            <w:gridSpan w:val="1"/>
            <w:tcBorders>
              <w:top w:val="single" w:color="000000" w:sz="12"/>
              <w:left w:val="none" w:color="FFFFFF" w:sz="0"/>
              <w:bottom w:val="single" w:color="000000" w:sz="6"/>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sz w:val="20"/>
                <w:szCs w:val="20"/>
              </w:rPr>
              <w:t xml:space="preserve">LST Day</w:t>
            </w:r>
          </w:p>
        </w:tc>
        <w:tc>
          <w:tcPr>
            <w:tcW w:type="dxa" w:w="820"/>
            <w:gridSpan w:val="1"/>
            <w:tcBorders>
              <w:top w:val="single" w:color="000000" w:sz="12"/>
              <w:left w:val="none" w:color="FFFFFF" w:sz="0"/>
              <w:bottom w:val="single" w:color="000000" w:sz="6"/>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sz w:val="20"/>
                <w:szCs w:val="20"/>
              </w:rPr>
              <w:t xml:space="preserve">LST Night</w:t>
            </w:r>
          </w:p>
        </w:tc>
      </w:tr>
      <w:tr>
        <w:trPr>
          <w:cantSplit/>
        </w:trPr>
        <w:tc>
          <w:tcPr>
            <w:tcW w:type="dxa" w:w="8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Jan</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100</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100</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100</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100</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100</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99</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100</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100</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100</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100</w:t>
            </w:r>
          </w:p>
        </w:tc>
      </w:tr>
      <w:tr>
        <w:trPr>
          <w:cantSplit/>
        </w:trPr>
        <w:tc>
          <w:tcPr>
            <w:tcW w:type="dxa" w:w="8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Feb</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100</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100</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100</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100</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100</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100</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100</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100</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100</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100</w:t>
            </w:r>
          </w:p>
        </w:tc>
      </w:tr>
      <w:tr>
        <w:trPr>
          <w:cantSplit/>
        </w:trPr>
        <w:tc>
          <w:tcPr>
            <w:tcW w:type="dxa" w:w="8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Mar</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100</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100</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100</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100</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100</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99</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100</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100</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100</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100</w:t>
            </w:r>
          </w:p>
        </w:tc>
      </w:tr>
      <w:tr>
        <w:trPr>
          <w:cantSplit/>
        </w:trPr>
        <w:tc>
          <w:tcPr>
            <w:tcW w:type="dxa" w:w="8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Apr</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99</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100</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100</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100</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100</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95</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100</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100</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100</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100</w:t>
            </w:r>
          </w:p>
        </w:tc>
      </w:tr>
      <w:tr>
        <w:trPr>
          <w:cantSplit/>
        </w:trPr>
        <w:tc>
          <w:tcPr>
            <w:tcW w:type="dxa" w:w="8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May</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93</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100</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100</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100</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100</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53</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100</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100</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100</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100</w:t>
            </w:r>
          </w:p>
        </w:tc>
      </w:tr>
      <w:tr>
        <w:trPr>
          <w:cantSplit/>
        </w:trPr>
        <w:tc>
          <w:tcPr>
            <w:tcW w:type="dxa" w:w="8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Jun</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62</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100</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100</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100</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100</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15*</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100</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100</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96</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90</w:t>
            </w:r>
          </w:p>
        </w:tc>
      </w:tr>
      <w:tr>
        <w:trPr>
          <w:cantSplit/>
        </w:trPr>
        <w:tc>
          <w:tcPr>
            <w:tcW w:type="dxa" w:w="8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Jul</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11*</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100</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99</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99</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100</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99</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100</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32*</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30*</w:t>
            </w:r>
          </w:p>
        </w:tc>
      </w:tr>
      <w:tr>
        <w:trPr>
          <w:cantSplit/>
        </w:trPr>
        <w:tc>
          <w:tcPr>
            <w:tcW w:type="dxa" w:w="8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Aug</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25*</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100</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100</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100</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100</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100</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100</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47*</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15*</w:t>
            </w:r>
          </w:p>
        </w:tc>
      </w:tr>
      <w:tr>
        <w:trPr>
          <w:cantSplit/>
        </w:trPr>
        <w:tc>
          <w:tcPr>
            <w:tcW w:type="dxa" w:w="8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Sep</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89</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100</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100</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100</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100</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25*</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100</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100</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99</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89</w:t>
            </w:r>
          </w:p>
        </w:tc>
      </w:tr>
      <w:tr>
        <w:trPr>
          <w:cantSplit/>
        </w:trPr>
        <w:tc>
          <w:tcPr>
            <w:tcW w:type="dxa" w:w="8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Oct</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100</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100</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100</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100</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100</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90</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100</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100</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100</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100</w:t>
            </w:r>
          </w:p>
        </w:tc>
      </w:tr>
      <w:tr>
        <w:trPr>
          <w:cantSplit/>
        </w:trPr>
        <w:tc>
          <w:tcPr>
            <w:tcW w:type="dxa" w:w="8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Nov</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100</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100</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100</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100</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100</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99</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100</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100</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100</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100</w:t>
            </w:r>
          </w:p>
        </w:tc>
      </w:tr>
      <w:tr>
        <w:trPr>
          <w:cantSplit/>
        </w:trPr>
        <w:tc>
          <w:tcPr>
            <w:tcW w:type="dxa" w:w="826"/>
            <w:gridSpan w:val="1"/>
            <w:tcBorders>
              <w:top w:val="none" w:color="FFFFFF" w:sz="0"/>
              <w:left w:val="none" w:color="FFFFFF" w:sz="0"/>
              <w:bottom w:val="single" w:color="000000" w:sz="12"/>
              <w:right w:val="none" w:color="FFFFFF" w:sz="0"/>
            </w:tcBorders>
            <w:tcMar>
              <w:top w:type="dxa" w:w="40"/>
              <w:left w:type="dxa" w:w="60"/>
              <w:bottom w:type="dxa" w:w="40"/>
              <w:right w:type="dxa" w:w="60"/>
            </w:tcMar>
            <w:vAlign w:val="center"/>
          </w:tcPr>
          <w:p>
            <w:pPr>
              <w:keepNext w:val="false"/>
              <w:spacing w:after="0" w:line="240"/>
              <w:jc w:val="left"/>
            </w:pPr>
            <w:r>
              <w:rPr>
                <w:rFonts w:ascii="Times New Roman" w:cs="Times New Roman" w:eastAsia="Times New Roman" w:hAnsi="Times New Roman"/>
                <w:b w:val="false"/>
                <w:bCs w:val="false"/>
                <w:sz w:val="20"/>
                <w:szCs w:val="20"/>
              </w:rPr>
              <w:t xml:space="preserve">Dec</w:t>
            </w:r>
          </w:p>
        </w:tc>
        <w:tc>
          <w:tcPr>
            <w:tcW w:type="dxa" w:w="820"/>
            <w:gridSpan w:val="1"/>
            <w:tcBorders>
              <w:top w:val="none" w:color="FFFFFF" w:sz="0"/>
              <w:left w:val="none" w:color="FFFFFF" w:sz="0"/>
              <w:bottom w:val="single" w:color="000000" w:sz="12"/>
              <w:right w:val="none" w:color="FFFFFF" w:sz="0"/>
            </w:tcBorders>
            <w:tcMar>
              <w:top w:type="dxa" w:w="40"/>
              <w:left w:type="dxa" w:w="60"/>
              <w:bottom w:type="dxa" w:w="40"/>
              <w:right w:type="dxa" w:w="60"/>
            </w:tcMar>
            <w:vAlign w:val="center"/>
          </w:tcPr>
          <w:p>
            <w:pPr>
              <w:keepNext w:val="false"/>
              <w:spacing w:after="0" w:line="240"/>
              <w:jc w:val="center"/>
            </w:pPr>
            <w:r>
              <w:rPr>
                <w:rFonts w:ascii="Times New Roman" w:cs="Times New Roman" w:eastAsia="Times New Roman" w:hAnsi="Times New Roman"/>
                <w:b w:val="false"/>
                <w:bCs w:val="false"/>
                <w:sz w:val="20"/>
                <w:szCs w:val="20"/>
              </w:rPr>
              <w:t xml:space="preserve">100</w:t>
            </w:r>
          </w:p>
        </w:tc>
        <w:tc>
          <w:tcPr>
            <w:tcW w:type="dxa" w:w="820"/>
            <w:gridSpan w:val="1"/>
            <w:tcBorders>
              <w:top w:val="none" w:color="FFFFFF" w:sz="0"/>
              <w:left w:val="none" w:color="FFFFFF" w:sz="0"/>
              <w:bottom w:val="single" w:color="000000" w:sz="12"/>
              <w:right w:val="none" w:color="FFFFFF" w:sz="0"/>
            </w:tcBorders>
            <w:tcMar>
              <w:top w:type="dxa" w:w="40"/>
              <w:left w:type="dxa" w:w="60"/>
              <w:bottom w:type="dxa" w:w="40"/>
              <w:right w:type="dxa" w:w="60"/>
            </w:tcMar>
            <w:vAlign w:val="center"/>
          </w:tcPr>
          <w:p>
            <w:pPr>
              <w:keepNext w:val="false"/>
              <w:spacing w:after="0" w:line="240"/>
              <w:jc w:val="center"/>
            </w:pPr>
            <w:r>
              <w:rPr>
                <w:rFonts w:ascii="Times New Roman" w:cs="Times New Roman" w:eastAsia="Times New Roman" w:hAnsi="Times New Roman"/>
                <w:b w:val="false"/>
                <w:bCs w:val="false"/>
                <w:sz w:val="20"/>
                <w:szCs w:val="20"/>
              </w:rPr>
              <w:t xml:space="preserve">100</w:t>
            </w:r>
          </w:p>
        </w:tc>
        <w:tc>
          <w:tcPr>
            <w:tcW w:type="dxa" w:w="820"/>
            <w:gridSpan w:val="1"/>
            <w:tcBorders>
              <w:top w:val="none" w:color="FFFFFF" w:sz="0"/>
              <w:left w:val="none" w:color="FFFFFF" w:sz="0"/>
              <w:bottom w:val="single" w:color="000000" w:sz="12"/>
              <w:right w:val="none" w:color="FFFFFF" w:sz="0"/>
            </w:tcBorders>
            <w:tcMar>
              <w:top w:type="dxa" w:w="40"/>
              <w:left w:type="dxa" w:w="60"/>
              <w:bottom w:type="dxa" w:w="40"/>
              <w:right w:type="dxa" w:w="60"/>
            </w:tcMar>
            <w:vAlign w:val="center"/>
          </w:tcPr>
          <w:p>
            <w:pPr>
              <w:keepNext w:val="false"/>
              <w:spacing w:after="0" w:line="240"/>
              <w:jc w:val="center"/>
            </w:pPr>
            <w:r>
              <w:rPr>
                <w:rFonts w:ascii="Times New Roman" w:cs="Times New Roman" w:eastAsia="Times New Roman" w:hAnsi="Times New Roman"/>
                <w:b w:val="false"/>
                <w:bCs w:val="false"/>
                <w:sz w:val="20"/>
                <w:szCs w:val="20"/>
              </w:rPr>
              <w:t xml:space="preserve">100</w:t>
            </w:r>
          </w:p>
        </w:tc>
        <w:tc>
          <w:tcPr>
            <w:tcW w:type="dxa" w:w="820"/>
            <w:gridSpan w:val="1"/>
            <w:tcBorders>
              <w:top w:val="none" w:color="FFFFFF" w:sz="0"/>
              <w:left w:val="none" w:color="FFFFFF" w:sz="0"/>
              <w:bottom w:val="single" w:color="000000" w:sz="12"/>
              <w:right w:val="none" w:color="FFFFFF" w:sz="0"/>
            </w:tcBorders>
            <w:tcMar>
              <w:top w:type="dxa" w:w="40"/>
              <w:left w:type="dxa" w:w="60"/>
              <w:bottom w:type="dxa" w:w="40"/>
              <w:right w:type="dxa" w:w="60"/>
            </w:tcMar>
            <w:vAlign w:val="center"/>
          </w:tcPr>
          <w:p>
            <w:pPr>
              <w:keepNext w:val="false"/>
              <w:spacing w:after="0" w:line="240"/>
              <w:jc w:val="center"/>
            </w:pPr>
            <w:r>
              <w:rPr>
                <w:rFonts w:ascii="Times New Roman" w:cs="Times New Roman" w:eastAsia="Times New Roman" w:hAnsi="Times New Roman"/>
                <w:b w:val="false"/>
                <w:bCs w:val="false"/>
                <w:sz w:val="20"/>
                <w:szCs w:val="20"/>
              </w:rPr>
              <w:t xml:space="preserve">100</w:t>
            </w:r>
          </w:p>
        </w:tc>
        <w:tc>
          <w:tcPr>
            <w:tcW w:type="dxa" w:w="820"/>
            <w:gridSpan w:val="1"/>
            <w:tcBorders>
              <w:top w:val="none" w:color="FFFFFF" w:sz="0"/>
              <w:left w:val="none" w:color="FFFFFF" w:sz="0"/>
              <w:bottom w:val="single" w:color="000000" w:sz="12"/>
              <w:right w:val="none" w:color="FFFFFF" w:sz="0"/>
            </w:tcBorders>
            <w:tcMar>
              <w:top w:type="dxa" w:w="40"/>
              <w:left w:type="dxa" w:w="60"/>
              <w:bottom w:type="dxa" w:w="40"/>
              <w:right w:type="dxa" w:w="60"/>
            </w:tcMar>
            <w:vAlign w:val="center"/>
          </w:tcPr>
          <w:p>
            <w:pPr>
              <w:keepNext w:val="false"/>
              <w:spacing w:after="0" w:line="240"/>
              <w:jc w:val="center"/>
            </w:pPr>
            <w:r>
              <w:rPr>
                <w:rFonts w:ascii="Times New Roman" w:cs="Times New Roman" w:eastAsia="Times New Roman" w:hAnsi="Times New Roman"/>
                <w:b w:val="false"/>
                <w:bCs w:val="false"/>
                <w:sz w:val="20"/>
                <w:szCs w:val="20"/>
              </w:rPr>
              <w:t xml:space="preserve">100</w:t>
            </w:r>
          </w:p>
        </w:tc>
        <w:tc>
          <w:tcPr>
            <w:tcW w:type="dxa" w:w="820"/>
            <w:gridSpan w:val="1"/>
            <w:tcBorders>
              <w:top w:val="none" w:color="FFFFFF" w:sz="0"/>
              <w:left w:val="none" w:color="FFFFFF" w:sz="0"/>
              <w:bottom w:val="single" w:color="000000" w:sz="12"/>
              <w:right w:val="none" w:color="FFFFFF" w:sz="0"/>
            </w:tcBorders>
            <w:tcMar>
              <w:top w:type="dxa" w:w="40"/>
              <w:left w:type="dxa" w:w="60"/>
              <w:bottom w:type="dxa" w:w="40"/>
              <w:right w:type="dxa" w:w="60"/>
            </w:tcMar>
            <w:vAlign w:val="center"/>
          </w:tcPr>
          <w:p>
            <w:pPr>
              <w:keepNext w:val="false"/>
              <w:spacing w:after="0" w:line="240"/>
              <w:jc w:val="center"/>
            </w:pPr>
            <w:r>
              <w:rPr>
                <w:rFonts w:ascii="Times New Roman" w:cs="Times New Roman" w:eastAsia="Times New Roman" w:hAnsi="Times New Roman"/>
                <w:b w:val="false"/>
                <w:bCs w:val="false"/>
                <w:sz w:val="20"/>
                <w:szCs w:val="20"/>
              </w:rPr>
              <w:t xml:space="preserve">99</w:t>
            </w:r>
          </w:p>
        </w:tc>
        <w:tc>
          <w:tcPr>
            <w:tcW w:type="dxa" w:w="820"/>
            <w:gridSpan w:val="1"/>
            <w:tcBorders>
              <w:top w:val="none" w:color="FFFFFF" w:sz="0"/>
              <w:left w:val="none" w:color="FFFFFF" w:sz="0"/>
              <w:bottom w:val="single" w:color="000000" w:sz="12"/>
              <w:right w:val="none" w:color="FFFFFF" w:sz="0"/>
            </w:tcBorders>
            <w:tcMar>
              <w:top w:type="dxa" w:w="40"/>
              <w:left w:type="dxa" w:w="60"/>
              <w:bottom w:type="dxa" w:w="40"/>
              <w:right w:type="dxa" w:w="60"/>
            </w:tcMar>
            <w:vAlign w:val="center"/>
          </w:tcPr>
          <w:p>
            <w:pPr>
              <w:keepNext w:val="false"/>
              <w:spacing w:after="0" w:line="240"/>
              <w:jc w:val="center"/>
            </w:pPr>
            <w:r>
              <w:rPr>
                <w:rFonts w:ascii="Times New Roman" w:cs="Times New Roman" w:eastAsia="Times New Roman" w:hAnsi="Times New Roman"/>
                <w:b w:val="false"/>
                <w:bCs w:val="false"/>
                <w:sz w:val="20"/>
                <w:szCs w:val="20"/>
              </w:rPr>
              <w:t xml:space="preserve">100</w:t>
            </w:r>
          </w:p>
        </w:tc>
        <w:tc>
          <w:tcPr>
            <w:tcW w:type="dxa" w:w="820"/>
            <w:gridSpan w:val="1"/>
            <w:tcBorders>
              <w:top w:val="none" w:color="FFFFFF" w:sz="0"/>
              <w:left w:val="none" w:color="FFFFFF" w:sz="0"/>
              <w:bottom w:val="single" w:color="000000" w:sz="12"/>
              <w:right w:val="none" w:color="FFFFFF" w:sz="0"/>
            </w:tcBorders>
            <w:tcMar>
              <w:top w:type="dxa" w:w="40"/>
              <w:left w:type="dxa" w:w="60"/>
              <w:bottom w:type="dxa" w:w="40"/>
              <w:right w:type="dxa" w:w="60"/>
            </w:tcMar>
            <w:vAlign w:val="center"/>
          </w:tcPr>
          <w:p>
            <w:pPr>
              <w:keepNext w:val="false"/>
              <w:spacing w:after="0" w:line="240"/>
              <w:jc w:val="center"/>
            </w:pPr>
            <w:r>
              <w:rPr>
                <w:rFonts w:ascii="Times New Roman" w:cs="Times New Roman" w:eastAsia="Times New Roman" w:hAnsi="Times New Roman"/>
                <w:b w:val="false"/>
                <w:bCs w:val="false"/>
                <w:sz w:val="20"/>
                <w:szCs w:val="20"/>
              </w:rPr>
              <w:t xml:space="preserve">100</w:t>
            </w:r>
          </w:p>
        </w:tc>
        <w:tc>
          <w:tcPr>
            <w:tcW w:type="dxa" w:w="820"/>
            <w:gridSpan w:val="1"/>
            <w:tcBorders>
              <w:top w:val="none" w:color="FFFFFF" w:sz="0"/>
              <w:left w:val="none" w:color="FFFFFF" w:sz="0"/>
              <w:bottom w:val="single" w:color="000000" w:sz="12"/>
              <w:right w:val="none" w:color="FFFFFF" w:sz="0"/>
            </w:tcBorders>
            <w:tcMar>
              <w:top w:type="dxa" w:w="40"/>
              <w:left w:type="dxa" w:w="60"/>
              <w:bottom w:type="dxa" w:w="40"/>
              <w:right w:type="dxa" w:w="60"/>
            </w:tcMar>
            <w:vAlign w:val="center"/>
          </w:tcPr>
          <w:p>
            <w:pPr>
              <w:keepNext w:val="false"/>
              <w:spacing w:after="0" w:line="240"/>
              <w:jc w:val="center"/>
            </w:pPr>
            <w:r>
              <w:rPr>
                <w:rFonts w:ascii="Times New Roman" w:cs="Times New Roman" w:eastAsia="Times New Roman" w:hAnsi="Times New Roman"/>
                <w:b w:val="false"/>
                <w:bCs w:val="false"/>
                <w:sz w:val="20"/>
                <w:szCs w:val="20"/>
              </w:rPr>
              <w:t xml:space="preserve">100</w:t>
            </w:r>
          </w:p>
        </w:tc>
        <w:tc>
          <w:tcPr>
            <w:tcW w:type="dxa" w:w="820"/>
            <w:gridSpan w:val="1"/>
            <w:tcBorders>
              <w:top w:val="none" w:color="FFFFFF" w:sz="0"/>
              <w:left w:val="none" w:color="FFFFFF" w:sz="0"/>
              <w:bottom w:val="single" w:color="000000" w:sz="12"/>
              <w:right w:val="none" w:color="FFFFFF" w:sz="0"/>
            </w:tcBorders>
            <w:tcMar>
              <w:top w:type="dxa" w:w="40"/>
              <w:left w:type="dxa" w:w="60"/>
              <w:bottom w:type="dxa" w:w="40"/>
              <w:right w:type="dxa" w:w="60"/>
            </w:tcMar>
            <w:vAlign w:val="center"/>
          </w:tcPr>
          <w:p>
            <w:pPr>
              <w:keepNext w:val="false"/>
              <w:spacing w:after="0" w:line="240"/>
              <w:jc w:val="center"/>
            </w:pPr>
            <w:r>
              <w:rPr>
                <w:rFonts w:ascii="Times New Roman" w:cs="Times New Roman" w:eastAsia="Times New Roman" w:hAnsi="Times New Roman"/>
                <w:b w:val="false"/>
                <w:bCs w:val="false"/>
                <w:sz w:val="20"/>
                <w:szCs w:val="20"/>
              </w:rPr>
              <w:t xml:space="preserve">100</w:t>
            </w:r>
          </w:p>
        </w:tc>
      </w:tr>
    </w:tbl>
    <w:p>
      <w:pPr>
        <w:spacing w:after="260" w:before="80" w:line="252"/>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Coverage is the percentage of pixels with a valid value among all pixels observed at least once in 2025. * Coverage below 50% (flagged as insufficient data).</w:t>
      </w:r>
    </w:p>
    <w:p>
      <w:pPr>
        <w:pStyle w:val="Heading2"/>
        <w:keepNext/>
        <w:spacing w:after="120" w:before="200" w:line="360"/>
      </w:pPr>
      <w:r>
        <w:rPr>
          <w:rFonts w:ascii="Times New Roman" w:cs="Times New Roman" w:eastAsia="Times New Roman" w:hAnsi="Times New Roman"/>
          <w:b/>
          <w:bCs/>
          <w:i/>
          <w:iCs/>
          <w:color w:val="000000"/>
          <w:sz w:val="24"/>
          <w:szCs w:val="24"/>
        </w:rPr>
        <w:t xml:space="preserve">4.2 Annual Spatial Patterns</w:t>
      </w:r>
    </w:p>
    <w:p>
      <w:pPr>
        <w:spacing w:after="160" w:line="360"/>
        <w:jc w:val="both"/>
      </w:pPr>
      <w:r>
        <w:rPr>
          <w:rFonts w:ascii="Times New Roman" w:cs="Times New Roman" w:eastAsia="Times New Roman" w:hAnsi="Times New Roman"/>
          <w:sz w:val="24"/>
          <w:szCs w:val="24"/>
        </w:rPr>
        <w:t xml:space="preserve">The annual statistics of all variables on the analysis grid are summarised in Table 3, and the annual maps of the aerosol indicators, NO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and SO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are shown in Figure 3. Median AOD had a marked west–east gradient (Figure 3a). The highest values, about 0.55–0.67, occurred in the north-western and western districts that adjoin the Indo-Gangetic Plain, and the lowest, about 0.16–0.29, in the Sylhet region and the Chittagong Hill Tracts. On the analysis grid, mean AOD was 0.58 west of 89.5° E and 0.24 east of 91° E. A faint straight diagonal discontinuity crossing central Bangladesh was traced to the MAIAC product and is treated as a retrieval artefact. UVAI was negative everywhere on the annual scale (Figure 3b), with the least negative values over Dhaka, in the north-west and along the Jamuna and Padma rivers. The river signal most likely reflects bright sandbars and water surfaces and not absorbing aerosols.</w:t>
      </w:r>
    </w:p>
    <w:p>
      <w:pPr>
        <w:keepNext/>
        <w:spacing w:after="100" w:before="240" w:line="276"/>
        <w:jc w:val="left"/>
      </w:pPr>
      <w:r>
        <w:rPr>
          <w:rFonts w:ascii="Times New Roman" w:cs="Times New Roman" w:eastAsia="Times New Roman" w:hAnsi="Times New Roman"/>
          <w:b/>
          <w:bCs/>
          <w:sz w:val="22"/>
          <w:szCs w:val="22"/>
        </w:rPr>
        <w:t xml:space="preserve">Table 3. </w:t>
      </w:r>
      <w:r>
        <w:rPr>
          <w:rFonts w:ascii="Times New Roman" w:cs="Times New Roman" w:eastAsia="Times New Roman" w:hAnsi="Times New Roman"/>
          <w:sz w:val="22"/>
          <w:szCs w:val="22"/>
        </w:rPr>
        <w:t xml:space="preserve">Descriptive statistics of the annual values on the 0.05° analysis grid (</w:t>
      </w:r>
      <w:r>
        <w:rPr>
          <w:rFonts w:ascii="Times New Roman" w:cs="Times New Roman" w:eastAsia="Times New Roman" w:hAnsi="Times New Roman"/>
          <w:i/>
          <w:iCs/>
          <w:sz w:val="22"/>
          <w:szCs w:val="22"/>
        </w:rPr>
        <w:t xml:space="preserve">n</w:t>
      </w:r>
      <w:r>
        <w:rPr>
          <w:rFonts w:ascii="Times New Roman" w:cs="Times New Roman" w:eastAsia="Times New Roman" w:hAnsi="Times New Roman"/>
          <w:sz w:val="22"/>
          <w:szCs w:val="22"/>
        </w:rPr>
        <w:t xml:space="preserve"> = 4,901 land cells).</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2126"/>
        <w:gridCol w:w="1300"/>
        <w:gridCol w:w="1300"/>
        <w:gridCol w:w="1300"/>
        <w:gridCol w:w="1300"/>
      </w:tblGrid>
      <w:tr>
        <w:trPr>
          <w:cantSplit/>
          <w:tblHeader/>
        </w:trPr>
        <w:tc>
          <w:tcPr>
            <w:tcW w:type="dxa" w:w="1700"/>
            <w:gridSpan w:val="1"/>
            <w:tcBorders>
              <w:top w:val="single" w:color="000000" w:sz="12"/>
              <w:left w:val="none" w:color="FFFFFF" w:sz="0"/>
              <w:bottom w:val="single" w:color="000000" w:sz="6"/>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sz w:val="20"/>
                <w:szCs w:val="20"/>
              </w:rPr>
              <w:t xml:space="preserve">Variable</w:t>
            </w:r>
          </w:p>
        </w:tc>
        <w:tc>
          <w:tcPr>
            <w:tcW w:type="dxa" w:w="2126"/>
            <w:gridSpan w:val="1"/>
            <w:tcBorders>
              <w:top w:val="single" w:color="000000" w:sz="12"/>
              <w:left w:val="none" w:color="FFFFFF" w:sz="0"/>
              <w:bottom w:val="single" w:color="000000" w:sz="6"/>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sz w:val="20"/>
                <w:szCs w:val="20"/>
              </w:rPr>
              <w:t xml:space="preserve">Unit</w:t>
            </w:r>
          </w:p>
        </w:tc>
        <w:tc>
          <w:tcPr>
            <w:tcW w:type="dxa" w:w="1300"/>
            <w:gridSpan w:val="1"/>
            <w:tcBorders>
              <w:top w:val="single" w:color="000000" w:sz="12"/>
              <w:left w:val="none" w:color="FFFFFF" w:sz="0"/>
              <w:bottom w:val="single" w:color="000000" w:sz="6"/>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i/>
                <w:iCs/>
                <w:sz w:val="20"/>
                <w:szCs w:val="20"/>
              </w:rPr>
              <w:t xml:space="preserve">M</w:t>
            </w:r>
          </w:p>
        </w:tc>
        <w:tc>
          <w:tcPr>
            <w:tcW w:type="dxa" w:w="1300"/>
            <w:gridSpan w:val="1"/>
            <w:tcBorders>
              <w:top w:val="single" w:color="000000" w:sz="12"/>
              <w:left w:val="none" w:color="FFFFFF" w:sz="0"/>
              <w:bottom w:val="single" w:color="000000" w:sz="6"/>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i/>
                <w:iCs/>
                <w:sz w:val="20"/>
                <w:szCs w:val="20"/>
              </w:rPr>
              <w:t xml:space="preserve">SD</w:t>
            </w:r>
          </w:p>
        </w:tc>
        <w:tc>
          <w:tcPr>
            <w:tcW w:type="dxa" w:w="1300"/>
            <w:gridSpan w:val="1"/>
            <w:tcBorders>
              <w:top w:val="single" w:color="000000" w:sz="12"/>
              <w:left w:val="none" w:color="FFFFFF" w:sz="0"/>
              <w:bottom w:val="single" w:color="000000" w:sz="6"/>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sz w:val="20"/>
                <w:szCs w:val="20"/>
              </w:rPr>
              <w:t xml:space="preserve">Minimum</w:t>
            </w:r>
          </w:p>
        </w:tc>
        <w:tc>
          <w:tcPr>
            <w:tcW w:type="dxa" w:w="1300"/>
            <w:gridSpan w:val="1"/>
            <w:tcBorders>
              <w:top w:val="single" w:color="000000" w:sz="12"/>
              <w:left w:val="none" w:color="FFFFFF" w:sz="0"/>
              <w:bottom w:val="single" w:color="000000" w:sz="6"/>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sz w:val="20"/>
                <w:szCs w:val="20"/>
              </w:rPr>
              <w:t xml:space="preserve">Maximum</w:t>
            </w:r>
          </w:p>
        </w:tc>
      </w:tr>
      <w:tr>
        <w:trPr>
          <w:cantSplit/>
        </w:trPr>
        <w:tc>
          <w:tcPr>
            <w:tcW w:type="dxa" w:w="17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AOD</w:t>
            </w:r>
          </w:p>
        </w:tc>
        <w:tc>
          <w:tcPr>
            <w:tcW w:type="dxa" w:w="21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w:t>
            </w:r>
          </w:p>
        </w:tc>
        <w:tc>
          <w:tcPr>
            <w:tcW w:type="dxa" w:w="13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0.425</w:t>
            </w:r>
          </w:p>
        </w:tc>
        <w:tc>
          <w:tcPr>
            <w:tcW w:type="dxa" w:w="13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0.145</w:t>
            </w:r>
          </w:p>
        </w:tc>
        <w:tc>
          <w:tcPr>
            <w:tcW w:type="dxa" w:w="13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0.149</w:t>
            </w:r>
          </w:p>
        </w:tc>
        <w:tc>
          <w:tcPr>
            <w:tcW w:type="dxa" w:w="13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0.707</w:t>
            </w:r>
          </w:p>
        </w:tc>
      </w:tr>
      <w:tr>
        <w:trPr>
          <w:cantSplit/>
        </w:trPr>
        <w:tc>
          <w:tcPr>
            <w:tcW w:type="dxa" w:w="17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UVAI</w:t>
            </w:r>
          </w:p>
        </w:tc>
        <w:tc>
          <w:tcPr>
            <w:tcW w:type="dxa" w:w="21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index</w:t>
            </w:r>
          </w:p>
        </w:tc>
        <w:tc>
          <w:tcPr>
            <w:tcW w:type="dxa" w:w="13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−0.410</w:t>
            </w:r>
          </w:p>
        </w:tc>
        <w:tc>
          <w:tcPr>
            <w:tcW w:type="dxa" w:w="13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0.069</w:t>
            </w:r>
          </w:p>
        </w:tc>
        <w:tc>
          <w:tcPr>
            <w:tcW w:type="dxa" w:w="13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−0.598</w:t>
            </w:r>
          </w:p>
        </w:tc>
        <w:tc>
          <w:tcPr>
            <w:tcW w:type="dxa" w:w="13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−0.134</w:t>
            </w:r>
          </w:p>
        </w:tc>
      </w:tr>
      <w:tr>
        <w:trPr>
          <w:cantSplit/>
        </w:trPr>
        <w:tc>
          <w:tcPr>
            <w:tcW w:type="dxa" w:w="17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NO</w:t>
            </w:r>
            <w:r>
              <w:rPr>
                <w:rFonts w:ascii="Times New Roman" w:cs="Times New Roman" w:eastAsia="Times New Roman" w:hAnsi="Times New Roman"/>
                <w:b w:val="false"/>
                <w:bCs w:val="false"/>
                <w:sz w:val="20"/>
                <w:szCs w:val="20"/>
                <w:vertAlign w:val="subscript"/>
              </w:rPr>
              <w:t xml:space="preserve">2</w:t>
            </w:r>
          </w:p>
        </w:tc>
        <w:tc>
          <w:tcPr>
            <w:tcW w:type="dxa" w:w="21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µmol m</w:t>
            </w:r>
            <w:r>
              <w:rPr>
                <w:rFonts w:ascii="Times New Roman" w:cs="Times New Roman" w:eastAsia="Times New Roman" w:hAnsi="Times New Roman"/>
                <w:b w:val="false"/>
                <w:bCs w:val="false"/>
                <w:sz w:val="20"/>
                <w:szCs w:val="20"/>
                <w:vertAlign w:val="superscript"/>
              </w:rPr>
              <w:t xml:space="preserve">−2</w:t>
            </w:r>
          </w:p>
        </w:tc>
        <w:tc>
          <w:tcPr>
            <w:tcW w:type="dxa" w:w="13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36.6</w:t>
            </w:r>
          </w:p>
        </w:tc>
        <w:tc>
          <w:tcPr>
            <w:tcW w:type="dxa" w:w="13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18.9</w:t>
            </w:r>
          </w:p>
        </w:tc>
        <w:tc>
          <w:tcPr>
            <w:tcW w:type="dxa" w:w="13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16.4</w:t>
            </w:r>
          </w:p>
        </w:tc>
        <w:tc>
          <w:tcPr>
            <w:tcW w:type="dxa" w:w="13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188.6</w:t>
            </w:r>
          </w:p>
        </w:tc>
      </w:tr>
      <w:tr>
        <w:trPr>
          <w:cantSplit/>
        </w:trPr>
        <w:tc>
          <w:tcPr>
            <w:tcW w:type="dxa" w:w="17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SO</w:t>
            </w:r>
            <w:r>
              <w:rPr>
                <w:rFonts w:ascii="Times New Roman" w:cs="Times New Roman" w:eastAsia="Times New Roman" w:hAnsi="Times New Roman"/>
                <w:b w:val="false"/>
                <w:bCs w:val="false"/>
                <w:sz w:val="20"/>
                <w:szCs w:val="20"/>
                <w:vertAlign w:val="subscript"/>
              </w:rPr>
              <w:t xml:space="preserve">2</w:t>
            </w:r>
          </w:p>
        </w:tc>
        <w:tc>
          <w:tcPr>
            <w:tcW w:type="dxa" w:w="21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µmol m</w:t>
            </w:r>
            <w:r>
              <w:rPr>
                <w:rFonts w:ascii="Times New Roman" w:cs="Times New Roman" w:eastAsia="Times New Roman" w:hAnsi="Times New Roman"/>
                <w:b w:val="false"/>
                <w:bCs w:val="false"/>
                <w:sz w:val="20"/>
                <w:szCs w:val="20"/>
                <w:vertAlign w:val="superscript"/>
              </w:rPr>
              <w:t xml:space="preserve">−2</w:t>
            </w:r>
          </w:p>
        </w:tc>
        <w:tc>
          <w:tcPr>
            <w:tcW w:type="dxa" w:w="13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83.4</w:t>
            </w:r>
          </w:p>
        </w:tc>
        <w:tc>
          <w:tcPr>
            <w:tcW w:type="dxa" w:w="13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26.9</w:t>
            </w:r>
          </w:p>
        </w:tc>
        <w:tc>
          <w:tcPr>
            <w:tcW w:type="dxa" w:w="13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11.0</w:t>
            </w:r>
          </w:p>
        </w:tc>
        <w:tc>
          <w:tcPr>
            <w:tcW w:type="dxa" w:w="13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192.4</w:t>
            </w:r>
          </w:p>
        </w:tc>
      </w:tr>
      <w:tr>
        <w:trPr>
          <w:cantSplit/>
        </w:trPr>
        <w:tc>
          <w:tcPr>
            <w:tcW w:type="dxa" w:w="17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CO</w:t>
            </w:r>
          </w:p>
        </w:tc>
        <w:tc>
          <w:tcPr>
            <w:tcW w:type="dxa" w:w="21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mol m</w:t>
            </w:r>
            <w:r>
              <w:rPr>
                <w:rFonts w:ascii="Times New Roman" w:cs="Times New Roman" w:eastAsia="Times New Roman" w:hAnsi="Times New Roman"/>
                <w:b w:val="false"/>
                <w:bCs w:val="false"/>
                <w:sz w:val="20"/>
                <w:szCs w:val="20"/>
                <w:vertAlign w:val="superscript"/>
              </w:rPr>
              <w:t xml:space="preserve">−2</w:t>
            </w:r>
          </w:p>
        </w:tc>
        <w:tc>
          <w:tcPr>
            <w:tcW w:type="dxa" w:w="13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0.0423</w:t>
            </w:r>
          </w:p>
        </w:tc>
        <w:tc>
          <w:tcPr>
            <w:tcW w:type="dxa" w:w="13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0.0015</w:t>
            </w:r>
          </w:p>
        </w:tc>
        <w:tc>
          <w:tcPr>
            <w:tcW w:type="dxa" w:w="13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0.0363</w:t>
            </w:r>
          </w:p>
        </w:tc>
        <w:tc>
          <w:tcPr>
            <w:tcW w:type="dxa" w:w="13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0.0455</w:t>
            </w:r>
          </w:p>
        </w:tc>
      </w:tr>
      <w:tr>
        <w:trPr>
          <w:cantSplit/>
        </w:trPr>
        <w:tc>
          <w:tcPr>
            <w:tcW w:type="dxa" w:w="17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CH</w:t>
            </w:r>
            <w:r>
              <w:rPr>
                <w:rFonts w:ascii="Times New Roman" w:cs="Times New Roman" w:eastAsia="Times New Roman" w:hAnsi="Times New Roman"/>
                <w:b w:val="false"/>
                <w:bCs w:val="false"/>
                <w:sz w:val="20"/>
                <w:szCs w:val="20"/>
                <w:vertAlign w:val="subscript"/>
              </w:rPr>
              <w:t xml:space="preserve">4</w:t>
            </w:r>
          </w:p>
        </w:tc>
        <w:tc>
          <w:tcPr>
            <w:tcW w:type="dxa" w:w="21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ppb</w:t>
            </w:r>
          </w:p>
        </w:tc>
        <w:tc>
          <w:tcPr>
            <w:tcW w:type="dxa" w:w="13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1946.6</w:t>
            </w:r>
          </w:p>
        </w:tc>
        <w:tc>
          <w:tcPr>
            <w:tcW w:type="dxa" w:w="13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15.3</w:t>
            </w:r>
          </w:p>
        </w:tc>
        <w:tc>
          <w:tcPr>
            <w:tcW w:type="dxa" w:w="13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1877.3</w:t>
            </w:r>
          </w:p>
        </w:tc>
        <w:tc>
          <w:tcPr>
            <w:tcW w:type="dxa" w:w="13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2015.3</w:t>
            </w:r>
          </w:p>
        </w:tc>
      </w:tr>
      <w:tr>
        <w:trPr>
          <w:cantSplit/>
        </w:trPr>
        <w:tc>
          <w:tcPr>
            <w:tcW w:type="dxa" w:w="17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HCHO</w:t>
            </w:r>
          </w:p>
        </w:tc>
        <w:tc>
          <w:tcPr>
            <w:tcW w:type="dxa" w:w="21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×10</w:t>
            </w:r>
            <w:r>
              <w:rPr>
                <w:rFonts w:ascii="Times New Roman" w:cs="Times New Roman" w:eastAsia="Times New Roman" w:hAnsi="Times New Roman"/>
                <w:b w:val="false"/>
                <w:bCs w:val="false"/>
                <w:sz w:val="20"/>
                <w:szCs w:val="20"/>
                <w:vertAlign w:val="superscript"/>
              </w:rPr>
              <w:t xml:space="preserve">−4</w:t>
            </w:r>
            <w:r>
              <w:rPr>
                <w:rFonts w:ascii="Times New Roman" w:cs="Times New Roman" w:eastAsia="Times New Roman" w:hAnsi="Times New Roman"/>
                <w:b w:val="false"/>
                <w:bCs w:val="false"/>
                <w:sz w:val="20"/>
                <w:szCs w:val="20"/>
              </w:rPr>
              <w:t xml:space="preserve"> mol m</w:t>
            </w:r>
            <w:r>
              <w:rPr>
                <w:rFonts w:ascii="Times New Roman" w:cs="Times New Roman" w:eastAsia="Times New Roman" w:hAnsi="Times New Roman"/>
                <w:b w:val="false"/>
                <w:bCs w:val="false"/>
                <w:sz w:val="20"/>
                <w:szCs w:val="20"/>
                <w:vertAlign w:val="superscript"/>
              </w:rPr>
              <w:t xml:space="preserve">−2</w:t>
            </w:r>
          </w:p>
        </w:tc>
        <w:tc>
          <w:tcPr>
            <w:tcW w:type="dxa" w:w="13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2.04</w:t>
            </w:r>
          </w:p>
        </w:tc>
        <w:tc>
          <w:tcPr>
            <w:tcW w:type="dxa" w:w="13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0.19</w:t>
            </w:r>
          </w:p>
        </w:tc>
        <w:tc>
          <w:tcPr>
            <w:tcW w:type="dxa" w:w="13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1.51</w:t>
            </w:r>
          </w:p>
        </w:tc>
        <w:tc>
          <w:tcPr>
            <w:tcW w:type="dxa" w:w="13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2.66</w:t>
            </w:r>
          </w:p>
        </w:tc>
      </w:tr>
      <w:tr>
        <w:trPr>
          <w:cantSplit/>
        </w:trPr>
        <w:tc>
          <w:tcPr>
            <w:tcW w:type="dxa" w:w="17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O</w:t>
            </w:r>
            <w:r>
              <w:rPr>
                <w:rFonts w:ascii="Times New Roman" w:cs="Times New Roman" w:eastAsia="Times New Roman" w:hAnsi="Times New Roman"/>
                <w:b w:val="false"/>
                <w:bCs w:val="false"/>
                <w:sz w:val="20"/>
                <w:szCs w:val="20"/>
                <w:vertAlign w:val="subscript"/>
              </w:rPr>
              <w:t xml:space="preserve">3</w:t>
            </w:r>
          </w:p>
        </w:tc>
        <w:tc>
          <w:tcPr>
            <w:tcW w:type="dxa" w:w="21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DU</w:t>
            </w:r>
          </w:p>
        </w:tc>
        <w:tc>
          <w:tcPr>
            <w:tcW w:type="dxa" w:w="13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276.7</w:t>
            </w:r>
          </w:p>
        </w:tc>
        <w:tc>
          <w:tcPr>
            <w:tcW w:type="dxa" w:w="13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1.8</w:t>
            </w:r>
          </w:p>
        </w:tc>
        <w:tc>
          <w:tcPr>
            <w:tcW w:type="dxa" w:w="13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271.8</w:t>
            </w:r>
          </w:p>
        </w:tc>
        <w:tc>
          <w:tcPr>
            <w:tcW w:type="dxa" w:w="13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280.5</w:t>
            </w:r>
          </w:p>
        </w:tc>
      </w:tr>
      <w:tr>
        <w:trPr>
          <w:cantSplit/>
        </w:trPr>
        <w:tc>
          <w:tcPr>
            <w:tcW w:type="dxa" w:w="17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LST Day</w:t>
            </w:r>
          </w:p>
        </w:tc>
        <w:tc>
          <w:tcPr>
            <w:tcW w:type="dxa" w:w="21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°C</w:t>
            </w:r>
          </w:p>
        </w:tc>
        <w:tc>
          <w:tcPr>
            <w:tcW w:type="dxa" w:w="13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25.72</w:t>
            </w:r>
          </w:p>
        </w:tc>
        <w:tc>
          <w:tcPr>
            <w:tcW w:type="dxa" w:w="13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0.71</w:t>
            </w:r>
          </w:p>
        </w:tc>
        <w:tc>
          <w:tcPr>
            <w:tcW w:type="dxa" w:w="13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23.50</w:t>
            </w:r>
          </w:p>
        </w:tc>
        <w:tc>
          <w:tcPr>
            <w:tcW w:type="dxa" w:w="13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30.61</w:t>
            </w:r>
          </w:p>
        </w:tc>
      </w:tr>
      <w:tr>
        <w:trPr>
          <w:cantSplit/>
        </w:trPr>
        <w:tc>
          <w:tcPr>
            <w:tcW w:type="dxa" w:w="17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LST Night</w:t>
            </w:r>
          </w:p>
        </w:tc>
        <w:tc>
          <w:tcPr>
            <w:tcW w:type="dxa" w:w="21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°C</w:t>
            </w:r>
          </w:p>
        </w:tc>
        <w:tc>
          <w:tcPr>
            <w:tcW w:type="dxa" w:w="13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19.91</w:t>
            </w:r>
          </w:p>
        </w:tc>
        <w:tc>
          <w:tcPr>
            <w:tcW w:type="dxa" w:w="13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0.79</w:t>
            </w:r>
          </w:p>
        </w:tc>
        <w:tc>
          <w:tcPr>
            <w:tcW w:type="dxa" w:w="13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17.99</w:t>
            </w:r>
          </w:p>
        </w:tc>
        <w:tc>
          <w:tcPr>
            <w:tcW w:type="dxa" w:w="13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23.61</w:t>
            </w:r>
          </w:p>
        </w:tc>
      </w:tr>
      <w:tr>
        <w:trPr>
          <w:cantSplit/>
        </w:trPr>
        <w:tc>
          <w:tcPr>
            <w:tcW w:type="dxa" w:w="1700"/>
            <w:gridSpan w:val="1"/>
            <w:tcBorders>
              <w:top w:val="none" w:color="FFFFFF" w:sz="0"/>
              <w:left w:val="none" w:color="FFFFFF" w:sz="0"/>
              <w:bottom w:val="single" w:color="000000" w:sz="12"/>
              <w:right w:val="none" w:color="FFFFFF" w:sz="0"/>
            </w:tcBorders>
            <w:tcMar>
              <w:top w:type="dxa" w:w="40"/>
              <w:left w:type="dxa" w:w="60"/>
              <w:bottom w:type="dxa" w:w="40"/>
              <w:right w:type="dxa" w:w="60"/>
            </w:tcMar>
            <w:vAlign w:val="center"/>
          </w:tcPr>
          <w:p>
            <w:pPr>
              <w:keepNext w:val="false"/>
              <w:spacing w:after="0" w:line="240"/>
              <w:jc w:val="left"/>
            </w:pPr>
            <w:r>
              <w:rPr>
                <w:rFonts w:ascii="Times New Roman" w:cs="Times New Roman" w:eastAsia="Times New Roman" w:hAnsi="Times New Roman"/>
                <w:b w:val="false"/>
                <w:bCs w:val="false"/>
                <w:sz w:val="20"/>
                <w:szCs w:val="20"/>
              </w:rPr>
              <w:t xml:space="preserve">UHI</w:t>
            </w:r>
          </w:p>
        </w:tc>
        <w:tc>
          <w:tcPr>
            <w:tcW w:type="dxa" w:w="2126"/>
            <w:gridSpan w:val="1"/>
            <w:tcBorders>
              <w:top w:val="none" w:color="FFFFFF" w:sz="0"/>
              <w:left w:val="none" w:color="FFFFFF" w:sz="0"/>
              <w:bottom w:val="single" w:color="000000" w:sz="12"/>
              <w:right w:val="none" w:color="FFFFFF" w:sz="0"/>
            </w:tcBorders>
            <w:tcMar>
              <w:top w:type="dxa" w:w="40"/>
              <w:left w:type="dxa" w:w="60"/>
              <w:bottom w:type="dxa" w:w="40"/>
              <w:right w:type="dxa" w:w="60"/>
            </w:tcMar>
            <w:vAlign w:val="center"/>
          </w:tcPr>
          <w:p>
            <w:pPr>
              <w:keepNext w:val="false"/>
              <w:spacing w:after="0" w:line="240"/>
              <w:jc w:val="left"/>
            </w:pPr>
            <w:r>
              <w:rPr>
                <w:rFonts w:ascii="Times New Roman" w:cs="Times New Roman" w:eastAsia="Times New Roman" w:hAnsi="Times New Roman"/>
                <w:b w:val="false"/>
                <w:bCs w:val="false"/>
                <w:sz w:val="20"/>
                <w:szCs w:val="20"/>
              </w:rPr>
              <w:t xml:space="preserve">°C</w:t>
            </w:r>
          </w:p>
        </w:tc>
        <w:tc>
          <w:tcPr>
            <w:tcW w:type="dxa" w:w="1300"/>
            <w:gridSpan w:val="1"/>
            <w:tcBorders>
              <w:top w:val="none" w:color="FFFFFF" w:sz="0"/>
              <w:left w:val="none" w:color="FFFFFF" w:sz="0"/>
              <w:bottom w:val="single" w:color="000000" w:sz="12"/>
              <w:right w:val="none" w:color="FFFFFF" w:sz="0"/>
            </w:tcBorders>
            <w:tcMar>
              <w:top w:type="dxa" w:w="40"/>
              <w:left w:type="dxa" w:w="60"/>
              <w:bottom w:type="dxa" w:w="40"/>
              <w:right w:type="dxa" w:w="60"/>
            </w:tcMar>
            <w:vAlign w:val="center"/>
          </w:tcPr>
          <w:p>
            <w:pPr>
              <w:keepNext w:val="false"/>
              <w:spacing w:after="0" w:line="240"/>
              <w:jc w:val="center"/>
            </w:pPr>
            <w:r>
              <w:rPr>
                <w:rFonts w:ascii="Times New Roman" w:cs="Times New Roman" w:eastAsia="Times New Roman" w:hAnsi="Times New Roman"/>
                <w:b w:val="false"/>
                <w:bCs w:val="false"/>
                <w:sz w:val="20"/>
                <w:szCs w:val="20"/>
              </w:rPr>
              <w:t xml:space="preserve">0.01</w:t>
            </w:r>
          </w:p>
        </w:tc>
        <w:tc>
          <w:tcPr>
            <w:tcW w:type="dxa" w:w="1300"/>
            <w:gridSpan w:val="1"/>
            <w:tcBorders>
              <w:top w:val="none" w:color="FFFFFF" w:sz="0"/>
              <w:left w:val="none" w:color="FFFFFF" w:sz="0"/>
              <w:bottom w:val="single" w:color="000000" w:sz="12"/>
              <w:right w:val="none" w:color="FFFFFF" w:sz="0"/>
            </w:tcBorders>
            <w:tcMar>
              <w:top w:type="dxa" w:w="40"/>
              <w:left w:type="dxa" w:w="60"/>
              <w:bottom w:type="dxa" w:w="40"/>
              <w:right w:type="dxa" w:w="60"/>
            </w:tcMar>
            <w:vAlign w:val="center"/>
          </w:tcPr>
          <w:p>
            <w:pPr>
              <w:keepNext w:val="false"/>
              <w:spacing w:after="0" w:line="240"/>
              <w:jc w:val="center"/>
            </w:pPr>
            <w:r>
              <w:rPr>
                <w:rFonts w:ascii="Times New Roman" w:cs="Times New Roman" w:eastAsia="Times New Roman" w:hAnsi="Times New Roman"/>
                <w:b w:val="false"/>
                <w:bCs w:val="false"/>
                <w:sz w:val="20"/>
                <w:szCs w:val="20"/>
              </w:rPr>
              <w:t xml:space="preserve">0.28</w:t>
            </w:r>
          </w:p>
        </w:tc>
        <w:tc>
          <w:tcPr>
            <w:tcW w:type="dxa" w:w="1300"/>
            <w:gridSpan w:val="1"/>
            <w:tcBorders>
              <w:top w:val="none" w:color="FFFFFF" w:sz="0"/>
              <w:left w:val="none" w:color="FFFFFF" w:sz="0"/>
              <w:bottom w:val="single" w:color="000000" w:sz="12"/>
              <w:right w:val="none" w:color="FFFFFF" w:sz="0"/>
            </w:tcBorders>
            <w:tcMar>
              <w:top w:type="dxa" w:w="40"/>
              <w:left w:type="dxa" w:w="60"/>
              <w:bottom w:type="dxa" w:w="40"/>
              <w:right w:type="dxa" w:w="60"/>
            </w:tcMar>
            <w:vAlign w:val="center"/>
          </w:tcPr>
          <w:p>
            <w:pPr>
              <w:keepNext w:val="false"/>
              <w:spacing w:after="0" w:line="240"/>
              <w:jc w:val="center"/>
            </w:pPr>
            <w:r>
              <w:rPr>
                <w:rFonts w:ascii="Times New Roman" w:cs="Times New Roman" w:eastAsia="Times New Roman" w:hAnsi="Times New Roman"/>
                <w:b w:val="false"/>
                <w:bCs w:val="false"/>
                <w:sz w:val="20"/>
                <w:szCs w:val="20"/>
              </w:rPr>
              <w:t xml:space="preserve">−1.41</w:t>
            </w:r>
          </w:p>
        </w:tc>
        <w:tc>
          <w:tcPr>
            <w:tcW w:type="dxa" w:w="1300"/>
            <w:gridSpan w:val="1"/>
            <w:tcBorders>
              <w:top w:val="none" w:color="FFFFFF" w:sz="0"/>
              <w:left w:val="none" w:color="FFFFFF" w:sz="0"/>
              <w:bottom w:val="single" w:color="000000" w:sz="12"/>
              <w:right w:val="none" w:color="FFFFFF" w:sz="0"/>
            </w:tcBorders>
            <w:tcMar>
              <w:top w:type="dxa" w:w="40"/>
              <w:left w:type="dxa" w:w="60"/>
              <w:bottom w:type="dxa" w:w="40"/>
              <w:right w:type="dxa" w:w="60"/>
            </w:tcMar>
            <w:vAlign w:val="center"/>
          </w:tcPr>
          <w:p>
            <w:pPr>
              <w:keepNext w:val="false"/>
              <w:spacing w:after="0" w:line="240"/>
              <w:jc w:val="center"/>
            </w:pPr>
            <w:r>
              <w:rPr>
                <w:rFonts w:ascii="Times New Roman" w:cs="Times New Roman" w:eastAsia="Times New Roman" w:hAnsi="Times New Roman"/>
                <w:b w:val="false"/>
                <w:bCs w:val="false"/>
                <w:sz w:val="20"/>
                <w:szCs w:val="20"/>
              </w:rPr>
              <w:t xml:space="preserve">3.74</w:t>
            </w:r>
          </w:p>
        </w:tc>
      </w:tr>
    </w:tbl>
    <w:p>
      <w:pPr>
        <w:spacing w:after="260" w:before="80" w:line="252"/>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AOD is the annual median; all other variables are annual means. UHI = surface urban heat island intensity.</w:t>
      </w:r>
    </w:p>
    <w:p>
      <w:pPr>
        <w:spacing w:after="160" w:line="360"/>
        <w:jc w:val="both"/>
      </w:pPr>
      <w:r>
        <w:rPr>
          <w:rFonts w:ascii="Times New Roman" w:cs="Times New Roman" w:eastAsia="Times New Roman" w:hAnsi="Times New Roman"/>
          <w:sz w:val="24"/>
          <w:szCs w:val="24"/>
        </w:rPr>
        <w:t xml:space="preserve">NO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gave the clearest picture of anthropogenic emissions (Figure 3c). The tropospheric column over the Dhaka conurbation reached 189 µmol m</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on the analysis grid, about five times the national mean of 36.6 µmol m</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Secondary maxima were visible over Chattogram and several other cities, and along the western border near Chapainawabganj. SO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was noisy at the pixel scale, as expected for a weak absorber (Figure 3d), but the annual mean still showed elevated values in the south-west, where the highest cells reached about 190 µmol m</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around Dhaka and along the western border.</w:t>
      </w:r>
    </w:p>
    <w:p>
      <w:pPr>
        <w:spacing w:after="160" w:line="360"/>
        <w:jc w:val="both"/>
      </w:pPr>
      <w:r>
        <w:rPr>
          <w:rFonts w:ascii="Times New Roman" w:cs="Times New Roman" w:eastAsia="Times New Roman" w:hAnsi="Times New Roman"/>
          <w:sz w:val="24"/>
          <w:szCs w:val="24"/>
        </w:rPr>
        <w:t xml:space="preserve">CH</w:t>
      </w:r>
      <w:r>
        <w:rPr>
          <w:rFonts w:ascii="Times New Roman" w:cs="Times New Roman" w:eastAsia="Times New Roman" w:hAnsi="Times New Roman"/>
          <w:sz w:val="24"/>
          <w:szCs w:val="24"/>
          <w:vertAlign w:val="subscript"/>
        </w:rPr>
        <w:t xml:space="preserve">4</w:t>
      </w:r>
      <w:r>
        <w:rPr>
          <w:rFonts w:ascii="Times New Roman" w:cs="Times New Roman" w:eastAsia="Times New Roman" w:hAnsi="Times New Roman"/>
          <w:sz w:val="24"/>
          <w:szCs w:val="24"/>
        </w:rPr>
        <w:t xml:space="preserve"> and HCHO also peaked over Dhaka and its surroundings (Figures 4a and 4b). CH</w:t>
      </w:r>
      <w:r>
        <w:rPr>
          <w:rFonts w:ascii="Times New Roman" w:cs="Times New Roman" w:eastAsia="Times New Roman" w:hAnsi="Times New Roman"/>
          <w:sz w:val="24"/>
          <w:szCs w:val="24"/>
          <w:vertAlign w:val="subscript"/>
        </w:rPr>
        <w:t xml:space="preserve">4</w:t>
      </w:r>
      <w:r>
        <w:rPr>
          <w:rFonts w:ascii="Times New Roman" w:cs="Times New Roman" w:eastAsia="Times New Roman" w:hAnsi="Times New Roman"/>
          <w:sz w:val="24"/>
          <w:szCs w:val="24"/>
        </w:rPr>
        <w:t xml:space="preserve"> reached about 2,000 ppb there, against a national mean of 1,947 ppb, and was lowest over the Sundarbans and the Chittagong Hill Tracts. HCHO was additionally elevated along the western border. CO declined from west to east, with the highest columns along the south-western and western borders (Figure 4c). Narrow north–south bands in the CO map follow the satellite ground track and are a known feature of the TROPOMI CO product (Borsdorff et al., 2019). Total-column O</w:t>
      </w:r>
      <w:r>
        <w:rPr>
          <w:rFonts w:ascii="Times New Roman" w:cs="Times New Roman" w:eastAsia="Times New Roman" w:hAnsi="Times New Roman"/>
          <w:sz w:val="24"/>
          <w:szCs w:val="24"/>
          <w:vertAlign w:val="subscript"/>
        </w:rPr>
        <w:t xml:space="preserve">3</w:t>
      </w:r>
      <w:r>
        <w:rPr>
          <w:rFonts w:ascii="Times New Roman" w:cs="Times New Roman" w:eastAsia="Times New Roman" w:hAnsi="Times New Roman"/>
          <w:sz w:val="24"/>
          <w:szCs w:val="24"/>
        </w:rPr>
        <w:t xml:space="preserve"> varied by less than 9 DU across the country and followed a smooth north–south gradient (Figure 4d), which is consistent with a column dominated by the stratosphere (Garane et al., 2019).</w:t>
      </w:r>
    </w:p>
    <w:p>
      <w:pPr>
        <w:spacing w:after="160" w:line="360"/>
        <w:jc w:val="both"/>
      </w:pPr>
      <w:r>
        <w:rPr>
          <w:rFonts w:ascii="Times New Roman" w:cs="Times New Roman" w:eastAsia="Times New Roman" w:hAnsi="Times New Roman"/>
          <w:sz w:val="24"/>
          <w:szCs w:val="24"/>
        </w:rPr>
        <w:t xml:space="preserve">Daytime LST was highest across the west-central plains, in the Dhaka conurbation and on the south-central coastal islands, and lowest over the Sylhet wetlands, the Sundarbans and the Chittagong Hill Tracts (Figure 5a). The night pattern was different (Figure 5b): the south-west, Dhaka and the river corridors were warmest, and the north-west was coolest. Mean UHI intensity was close to zero by construction, but individual cells reached 3.7 °C in central Dhaka and 2.7 °C in Chattogram (Figure 5c). Within the Dhaka area (90.30–90.55° E, 23.65–23.95° N), the mean UHI intensity was 0.85 °C and the mean daytime LST was 27.5 °C, compared with a national mean of 25.7 °C.</w:t>
      </w:r>
    </w:p>
    <w:p>
      <w:pPr>
        <w:keepNext/>
        <w:spacing w:after="80" w:before="120"/>
        <w:jc w:val="center"/>
      </w:pPr>
      <w:r>
        <w:drawing>
          <wp:inline distT="0" distB="0" distL="0" distR="0">
            <wp:extent cx="5724525" cy="7362825"/>
            <wp:effectExtent t="0" r="0" b="0" l="0"/>
            <wp:docPr id="1" name="Figure 3" descr="Annual maps for 2025 of (a) median AOD at 550 nm (inland water masked), (b) mean UVAI, (c) mean tropospheric NO2 column and (d) mean SO2 column."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24525" cy="7362825"/>
                    </a:xfrm>
                    <a:prstGeom prst="rect">
                      <a:avLst/>
                    </a:prstGeom>
                  </pic:spPr>
                </pic:pic>
              </a:graphicData>
            </a:graphic>
          </wp:inline>
        </w:drawing>
      </w:r>
    </w:p>
    <w:p>
      <w:pPr>
        <w:keepLines/>
        <w:spacing w:after="240" w:line="276"/>
        <w:jc w:val="both"/>
      </w:pPr>
      <w:r>
        <w:rPr>
          <w:rFonts w:ascii="Times New Roman" w:cs="Times New Roman" w:eastAsia="Times New Roman" w:hAnsi="Times New Roman"/>
          <w:b/>
          <w:bCs/>
          <w:sz w:val="22"/>
          <w:szCs w:val="22"/>
        </w:rPr>
        <w:t xml:space="preserve">Figure 3. </w:t>
      </w:r>
      <w:r>
        <w:rPr>
          <w:rFonts w:ascii="Times New Roman" w:cs="Times New Roman" w:eastAsia="Times New Roman" w:hAnsi="Times New Roman"/>
          <w:sz w:val="22"/>
          <w:szCs w:val="22"/>
        </w:rPr>
        <w:t xml:space="preserve">Annual maps for 2025 of (a) median AOD at 550 nm (inland water masked), (b) mean UVAI, (c) mean tropospheric NO</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column and (d) mean SO</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column.</w:t>
      </w:r>
    </w:p>
    <w:p>
      <w:pPr>
        <w:pStyle w:val="Heading2"/>
        <w:keepNext/>
        <w:spacing w:after="120" w:before="200" w:line="360"/>
      </w:pPr>
      <w:r>
        <w:rPr>
          <w:rFonts w:ascii="Times New Roman" w:cs="Times New Roman" w:eastAsia="Times New Roman" w:hAnsi="Times New Roman"/>
          <w:b/>
          <w:bCs/>
          <w:i/>
          <w:iCs/>
          <w:color w:val="000000"/>
          <w:sz w:val="24"/>
          <w:szCs w:val="24"/>
        </w:rPr>
        <w:t xml:space="preserve">4.3 Seasonal and Temporal Variation</w:t>
      </w:r>
    </w:p>
    <w:p>
      <w:pPr>
        <w:spacing w:after="160" w:line="360"/>
        <w:jc w:val="both"/>
      </w:pPr>
      <w:r>
        <w:rPr>
          <w:rFonts w:ascii="Times New Roman" w:cs="Times New Roman" w:eastAsia="Times New Roman" w:hAnsi="Times New Roman"/>
          <w:sz w:val="24"/>
          <w:szCs w:val="24"/>
        </w:rPr>
        <w:t xml:space="preserve">All variables had a pronounced seasonal cycle (Table 4; Figure 6). NO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was highest in winter (42.6 µmol m</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and lowest in the monsoon (24.5 µmol m</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w:t>
      </w:r>
    </w:p>
    <w:p>
      <w:pPr>
        <w:keepNext/>
        <w:spacing w:after="80" w:before="120"/>
        <w:jc w:val="center"/>
      </w:pPr>
      <w:r>
        <w:drawing>
          <wp:inline distT="0" distB="0" distL="0" distR="0">
            <wp:extent cx="5724525" cy="7362825"/>
            <wp:effectExtent t="0" r="0" b="0" l="0"/>
            <wp:docPr id="1" name="Figure 4" descr="Annual maps for 2025 of (a) mean column-averaged CH4, (b) mean tropospheric HCHO column, (c) mean CO column and (d) mean total O3 column."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24525" cy="7362825"/>
                    </a:xfrm>
                    <a:prstGeom prst="rect">
                      <a:avLst/>
                    </a:prstGeom>
                  </pic:spPr>
                </pic:pic>
              </a:graphicData>
            </a:graphic>
          </wp:inline>
        </w:drawing>
      </w:r>
    </w:p>
    <w:p>
      <w:pPr>
        <w:keepLines/>
        <w:spacing w:after="240" w:line="276"/>
        <w:jc w:val="both"/>
      </w:pPr>
      <w:r>
        <w:rPr>
          <w:rFonts w:ascii="Times New Roman" w:cs="Times New Roman" w:eastAsia="Times New Roman" w:hAnsi="Times New Roman"/>
          <w:b/>
          <w:bCs/>
          <w:sz w:val="22"/>
          <w:szCs w:val="22"/>
        </w:rPr>
        <w:t xml:space="preserve">Figure 4. </w:t>
      </w:r>
      <w:r>
        <w:rPr>
          <w:rFonts w:ascii="Times New Roman" w:cs="Times New Roman" w:eastAsia="Times New Roman" w:hAnsi="Times New Roman"/>
          <w:sz w:val="22"/>
          <w:szCs w:val="22"/>
        </w:rPr>
        <w:t xml:space="preserve">Annual maps for 2025 of (a) mean column-averaged CH</w:t>
      </w:r>
      <w:r>
        <w:rPr>
          <w:rFonts w:ascii="Times New Roman" w:cs="Times New Roman" w:eastAsia="Times New Roman" w:hAnsi="Times New Roman"/>
          <w:sz w:val="22"/>
          <w:szCs w:val="22"/>
          <w:vertAlign w:val="subscript"/>
        </w:rPr>
        <w:t xml:space="preserve">4</w:t>
      </w:r>
      <w:r>
        <w:rPr>
          <w:rFonts w:ascii="Times New Roman" w:cs="Times New Roman" w:eastAsia="Times New Roman" w:hAnsi="Times New Roman"/>
          <w:sz w:val="22"/>
          <w:szCs w:val="22"/>
        </w:rPr>
        <w:t xml:space="preserve">, (b) mean tropospheric HCHO column, (c) mean CO column and (d) mean total O</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column.</w:t>
      </w:r>
    </w:p>
    <w:p>
      <w:pPr>
        <w:spacing w:after="160" w:line="360"/>
        <w:jc w:val="both"/>
      </w:pPr>
      <w:r>
        <w:rPr>
          <w:rFonts w:ascii="Times New Roman" w:cs="Times New Roman" w:eastAsia="Times New Roman" w:hAnsi="Times New Roman"/>
          <w:sz w:val="24"/>
          <w:szCs w:val="24"/>
        </w:rPr>
        <w:t xml:space="preserve">CO and SO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were highest in the pre-monsoon season and winter and fell sharply in the monsoon; the monsoon mean of CO was 27% lower than the pre-monsoon mean. AOD was highest in the pre-monsoon season (0.57) and winter (0.51) and lowest after the monsoon (0.29).</w:t>
      </w:r>
    </w:p>
    <w:p>
      <w:pPr>
        <w:keepNext/>
        <w:spacing w:after="80" w:before="120"/>
        <w:jc w:val="center"/>
      </w:pPr>
      <w:r>
        <w:drawing>
          <wp:inline distT="0" distB="0" distL="0" distR="0">
            <wp:extent cx="5724525" cy="7362825"/>
            <wp:effectExtent t="0" r="0" b="0" l="0"/>
            <wp:docPr id="1" name="Figure 5" descr="Annual maps for 2025 of (a) mean daytime LST, (b) mean nighttime LST and (c) surface UHI intensity, calculated as daytime LST minus the mean rural LST within 10 km (water masked)."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24525" cy="7362825"/>
                    </a:xfrm>
                    <a:prstGeom prst="rect">
                      <a:avLst/>
                    </a:prstGeom>
                  </pic:spPr>
                </pic:pic>
              </a:graphicData>
            </a:graphic>
          </wp:inline>
        </w:drawing>
      </w:r>
    </w:p>
    <w:p>
      <w:pPr>
        <w:keepLines/>
        <w:spacing w:after="240" w:line="276"/>
        <w:jc w:val="both"/>
      </w:pPr>
      <w:r>
        <w:rPr>
          <w:rFonts w:ascii="Times New Roman" w:cs="Times New Roman" w:eastAsia="Times New Roman" w:hAnsi="Times New Roman"/>
          <w:b/>
          <w:bCs/>
          <w:sz w:val="22"/>
          <w:szCs w:val="22"/>
        </w:rPr>
        <w:t xml:space="preserve">Figure 5. </w:t>
      </w:r>
      <w:r>
        <w:rPr>
          <w:rFonts w:ascii="Times New Roman" w:cs="Times New Roman" w:eastAsia="Times New Roman" w:hAnsi="Times New Roman"/>
          <w:sz w:val="22"/>
          <w:szCs w:val="22"/>
        </w:rPr>
        <w:t xml:space="preserve">Annual maps for 2025 of (a) mean daytime LST, (b) mean nighttime LST and (c) surface UHI intensity, calculated as daytime LST minus the mean rural LST within 10 km (water masked).</w:t>
      </w:r>
    </w:p>
    <w:p>
      <w:pPr>
        <w:spacing w:after="160" w:line="360"/>
        <w:jc w:val="both"/>
      </w:pPr>
      <w:r>
        <w:rPr>
          <w:rFonts w:ascii="Times New Roman" w:cs="Times New Roman" w:eastAsia="Times New Roman" w:hAnsi="Times New Roman"/>
          <w:sz w:val="24"/>
          <w:szCs w:val="24"/>
        </w:rPr>
        <w:t xml:space="preserve">UVAI was close to zero in winter and strongly negative during the monsoon (−0.78), when clouds strongly affect the index (Kooreman et al., 2020). HCHO peaked in the pre-monsoon season, and total-column O</w:t>
      </w:r>
      <w:r>
        <w:rPr>
          <w:rFonts w:ascii="Times New Roman" w:cs="Times New Roman" w:eastAsia="Times New Roman" w:hAnsi="Times New Roman"/>
          <w:sz w:val="24"/>
          <w:szCs w:val="24"/>
          <w:vertAlign w:val="subscript"/>
        </w:rPr>
        <w:t xml:space="preserve">3</w:t>
      </w:r>
      <w:r>
        <w:rPr>
          <w:rFonts w:ascii="Times New Roman" w:cs="Times New Roman" w:eastAsia="Times New Roman" w:hAnsi="Times New Roman"/>
          <w:sz w:val="24"/>
          <w:szCs w:val="24"/>
        </w:rPr>
        <w:t xml:space="preserve"> rose from 264 DU in winter to 292 DU in the pre-monsoon season. CH</w:t>
      </w:r>
      <w:r>
        <w:rPr>
          <w:rFonts w:ascii="Times New Roman" w:cs="Times New Roman" w:eastAsia="Times New Roman" w:hAnsi="Times New Roman"/>
          <w:sz w:val="24"/>
          <w:szCs w:val="24"/>
          <w:vertAlign w:val="subscript"/>
        </w:rPr>
        <w:t xml:space="preserve">4</w:t>
      </w:r>
      <w:r>
        <w:rPr>
          <w:rFonts w:ascii="Times New Roman" w:cs="Times New Roman" w:eastAsia="Times New Roman" w:hAnsi="Times New Roman"/>
          <w:sz w:val="24"/>
          <w:szCs w:val="24"/>
        </w:rPr>
        <w:t xml:space="preserve"> was highest in the monsoon and post-monsoon seasons, but the monsoon value is based on only 32% of the country.</w:t>
      </w:r>
    </w:p>
    <w:p>
      <w:pPr>
        <w:keepNext/>
        <w:spacing w:after="100" w:before="240" w:line="276"/>
        <w:jc w:val="left"/>
      </w:pPr>
      <w:r>
        <w:rPr>
          <w:rFonts w:ascii="Times New Roman" w:cs="Times New Roman" w:eastAsia="Times New Roman" w:hAnsi="Times New Roman"/>
          <w:b/>
          <w:bCs/>
          <w:sz w:val="22"/>
          <w:szCs w:val="22"/>
        </w:rPr>
        <w:t xml:space="preserve">Table 4. </w:t>
      </w:r>
      <w:r>
        <w:rPr>
          <w:rFonts w:ascii="Times New Roman" w:cs="Times New Roman" w:eastAsia="Times New Roman" w:hAnsi="Times New Roman"/>
          <w:sz w:val="22"/>
          <w:szCs w:val="22"/>
        </w:rPr>
        <w:t xml:space="preserve">Seasonal national means (± standard deviation across pixels) in 2025.</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50"/>
        <w:gridCol w:w="1876"/>
        <w:gridCol w:w="1500"/>
        <w:gridCol w:w="1500"/>
        <w:gridCol w:w="1500"/>
        <w:gridCol w:w="1500"/>
      </w:tblGrid>
      <w:tr>
        <w:trPr>
          <w:cantSplit/>
          <w:tblHeader/>
        </w:trPr>
        <w:tc>
          <w:tcPr>
            <w:tcW w:type="dxa" w:w="1150"/>
            <w:gridSpan w:val="1"/>
            <w:tcBorders>
              <w:top w:val="single" w:color="000000" w:sz="12"/>
              <w:left w:val="none" w:color="FFFFFF" w:sz="0"/>
              <w:bottom w:val="single" w:color="000000" w:sz="6"/>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sz w:val="20"/>
                <w:szCs w:val="20"/>
              </w:rPr>
              <w:t xml:space="preserve">Variable</w:t>
            </w:r>
          </w:p>
        </w:tc>
        <w:tc>
          <w:tcPr>
            <w:tcW w:type="dxa" w:w="1876"/>
            <w:gridSpan w:val="1"/>
            <w:tcBorders>
              <w:top w:val="single" w:color="000000" w:sz="12"/>
              <w:left w:val="none" w:color="FFFFFF" w:sz="0"/>
              <w:bottom w:val="single" w:color="000000" w:sz="6"/>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sz w:val="20"/>
                <w:szCs w:val="20"/>
              </w:rPr>
              <w:t xml:space="preserve">Unit</w:t>
            </w:r>
          </w:p>
        </w:tc>
        <w:tc>
          <w:tcPr>
            <w:tcW w:type="dxa" w:w="1500"/>
            <w:gridSpan w:val="1"/>
            <w:tcBorders>
              <w:top w:val="single" w:color="000000" w:sz="12"/>
              <w:left w:val="none" w:color="FFFFFF" w:sz="0"/>
              <w:bottom w:val="single" w:color="000000" w:sz="6"/>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sz w:val="20"/>
                <w:szCs w:val="20"/>
              </w:rPr>
              <w:t xml:space="preserve">Winter (Dec–Feb)</w:t>
            </w:r>
          </w:p>
        </w:tc>
        <w:tc>
          <w:tcPr>
            <w:tcW w:type="dxa" w:w="1500"/>
            <w:gridSpan w:val="1"/>
            <w:tcBorders>
              <w:top w:val="single" w:color="000000" w:sz="12"/>
              <w:left w:val="none" w:color="FFFFFF" w:sz="0"/>
              <w:bottom w:val="single" w:color="000000" w:sz="6"/>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sz w:val="20"/>
                <w:szCs w:val="20"/>
              </w:rPr>
              <w:t xml:space="preserve">Pre-monsoon (Mar–May)</w:t>
            </w:r>
          </w:p>
        </w:tc>
        <w:tc>
          <w:tcPr>
            <w:tcW w:type="dxa" w:w="1500"/>
            <w:gridSpan w:val="1"/>
            <w:tcBorders>
              <w:top w:val="single" w:color="000000" w:sz="12"/>
              <w:left w:val="none" w:color="FFFFFF" w:sz="0"/>
              <w:bottom w:val="single" w:color="000000" w:sz="6"/>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sz w:val="20"/>
                <w:szCs w:val="20"/>
              </w:rPr>
              <w:t xml:space="preserve">Monsoon (Jun–Sep)</w:t>
            </w:r>
          </w:p>
        </w:tc>
        <w:tc>
          <w:tcPr>
            <w:tcW w:type="dxa" w:w="1500"/>
            <w:gridSpan w:val="1"/>
            <w:tcBorders>
              <w:top w:val="single" w:color="000000" w:sz="12"/>
              <w:left w:val="none" w:color="FFFFFF" w:sz="0"/>
              <w:bottom w:val="single" w:color="000000" w:sz="6"/>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sz w:val="20"/>
                <w:szCs w:val="20"/>
              </w:rPr>
              <w:t xml:space="preserve">Post-monsoon (Oct–Nov)</w:t>
            </w:r>
          </w:p>
        </w:tc>
      </w:tr>
      <w:tr>
        <w:trPr>
          <w:cantSplit/>
        </w:trPr>
        <w:tc>
          <w:tcPr>
            <w:tcW w:type="dxa" w:w="115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AOD</w:t>
            </w:r>
          </w:p>
        </w:tc>
        <w:tc>
          <w:tcPr>
            <w:tcW w:type="dxa" w:w="187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w:t>
            </w:r>
          </w:p>
        </w:tc>
        <w:tc>
          <w:tcPr>
            <w:tcW w:type="dxa" w:w="15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0.51 ± 0.18</w:t>
            </w:r>
          </w:p>
        </w:tc>
        <w:tc>
          <w:tcPr>
            <w:tcW w:type="dxa" w:w="15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0.57 ± 0.14</w:t>
            </w:r>
          </w:p>
        </w:tc>
        <w:tc>
          <w:tcPr>
            <w:tcW w:type="dxa" w:w="15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0.37 ± 0.21</w:t>
            </w:r>
          </w:p>
        </w:tc>
        <w:tc>
          <w:tcPr>
            <w:tcW w:type="dxa" w:w="15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0.29 ± 0.12</w:t>
            </w:r>
          </w:p>
        </w:tc>
      </w:tr>
      <w:tr>
        <w:trPr>
          <w:cantSplit/>
        </w:trPr>
        <w:tc>
          <w:tcPr>
            <w:tcW w:type="dxa" w:w="115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UVAI</w:t>
            </w:r>
          </w:p>
        </w:tc>
        <w:tc>
          <w:tcPr>
            <w:tcW w:type="dxa" w:w="187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index</w:t>
            </w:r>
          </w:p>
        </w:tc>
        <w:tc>
          <w:tcPr>
            <w:tcW w:type="dxa" w:w="15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−0.05 ± 0.13</w:t>
            </w:r>
          </w:p>
        </w:tc>
        <w:tc>
          <w:tcPr>
            <w:tcW w:type="dxa" w:w="15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−0.25 ± 0.09</w:t>
            </w:r>
          </w:p>
        </w:tc>
        <w:tc>
          <w:tcPr>
            <w:tcW w:type="dxa" w:w="15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−0.78 ± 0.07</w:t>
            </w:r>
          </w:p>
        </w:tc>
        <w:tc>
          <w:tcPr>
            <w:tcW w:type="dxa" w:w="15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−0.43 ± 0.08</w:t>
            </w:r>
          </w:p>
        </w:tc>
      </w:tr>
      <w:tr>
        <w:trPr>
          <w:cantSplit/>
        </w:trPr>
        <w:tc>
          <w:tcPr>
            <w:tcW w:type="dxa" w:w="115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NO</w:t>
            </w:r>
            <w:r>
              <w:rPr>
                <w:rFonts w:ascii="Times New Roman" w:cs="Times New Roman" w:eastAsia="Times New Roman" w:hAnsi="Times New Roman"/>
                <w:b w:val="false"/>
                <w:bCs w:val="false"/>
                <w:sz w:val="20"/>
                <w:szCs w:val="20"/>
                <w:vertAlign w:val="subscript"/>
              </w:rPr>
              <w:t xml:space="preserve">2</w:t>
            </w:r>
          </w:p>
        </w:tc>
        <w:tc>
          <w:tcPr>
            <w:tcW w:type="dxa" w:w="187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µmol m</w:t>
            </w:r>
            <w:r>
              <w:rPr>
                <w:rFonts w:ascii="Times New Roman" w:cs="Times New Roman" w:eastAsia="Times New Roman" w:hAnsi="Times New Roman"/>
                <w:b w:val="false"/>
                <w:bCs w:val="false"/>
                <w:sz w:val="20"/>
                <w:szCs w:val="20"/>
                <w:vertAlign w:val="superscript"/>
              </w:rPr>
              <w:t xml:space="preserve">−2</w:t>
            </w:r>
          </w:p>
        </w:tc>
        <w:tc>
          <w:tcPr>
            <w:tcW w:type="dxa" w:w="15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42.6 ± 27.7</w:t>
            </w:r>
          </w:p>
        </w:tc>
        <w:tc>
          <w:tcPr>
            <w:tcW w:type="dxa" w:w="15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36.1 ± 14.3</w:t>
            </w:r>
          </w:p>
        </w:tc>
        <w:tc>
          <w:tcPr>
            <w:tcW w:type="dxa" w:w="15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24.5 ± 9.3</w:t>
            </w:r>
          </w:p>
        </w:tc>
        <w:tc>
          <w:tcPr>
            <w:tcW w:type="dxa" w:w="15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32.2 ± 21.5</w:t>
            </w:r>
          </w:p>
        </w:tc>
      </w:tr>
      <w:tr>
        <w:trPr>
          <w:cantSplit/>
        </w:trPr>
        <w:tc>
          <w:tcPr>
            <w:tcW w:type="dxa" w:w="115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SO</w:t>
            </w:r>
            <w:r>
              <w:rPr>
                <w:rFonts w:ascii="Times New Roman" w:cs="Times New Roman" w:eastAsia="Times New Roman" w:hAnsi="Times New Roman"/>
                <w:b w:val="false"/>
                <w:bCs w:val="false"/>
                <w:sz w:val="20"/>
                <w:szCs w:val="20"/>
                <w:vertAlign w:val="subscript"/>
              </w:rPr>
              <w:t xml:space="preserve">2</w:t>
            </w:r>
          </w:p>
        </w:tc>
        <w:tc>
          <w:tcPr>
            <w:tcW w:type="dxa" w:w="187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µmol m</w:t>
            </w:r>
            <w:r>
              <w:rPr>
                <w:rFonts w:ascii="Times New Roman" w:cs="Times New Roman" w:eastAsia="Times New Roman" w:hAnsi="Times New Roman"/>
                <w:b w:val="false"/>
                <w:bCs w:val="false"/>
                <w:sz w:val="20"/>
                <w:szCs w:val="20"/>
                <w:vertAlign w:val="superscript"/>
              </w:rPr>
              <w:t xml:space="preserve">−2</w:t>
            </w:r>
          </w:p>
        </w:tc>
        <w:tc>
          <w:tcPr>
            <w:tcW w:type="dxa" w:w="15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97.6 ± 54.6</w:t>
            </w:r>
          </w:p>
        </w:tc>
        <w:tc>
          <w:tcPr>
            <w:tcW w:type="dxa" w:w="15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136.7 ± 54.0</w:t>
            </w:r>
          </w:p>
        </w:tc>
        <w:tc>
          <w:tcPr>
            <w:tcW w:type="dxa" w:w="15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15.3 ± 29.3</w:t>
            </w:r>
          </w:p>
        </w:tc>
        <w:tc>
          <w:tcPr>
            <w:tcW w:type="dxa" w:w="15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26.1 ± 41.5</w:t>
            </w:r>
          </w:p>
        </w:tc>
      </w:tr>
      <w:tr>
        <w:trPr>
          <w:cantSplit/>
        </w:trPr>
        <w:tc>
          <w:tcPr>
            <w:tcW w:type="dxa" w:w="115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CO</w:t>
            </w:r>
          </w:p>
        </w:tc>
        <w:tc>
          <w:tcPr>
            <w:tcW w:type="dxa" w:w="187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mol m</w:t>
            </w:r>
            <w:r>
              <w:rPr>
                <w:rFonts w:ascii="Times New Roman" w:cs="Times New Roman" w:eastAsia="Times New Roman" w:hAnsi="Times New Roman"/>
                <w:b w:val="false"/>
                <w:bCs w:val="false"/>
                <w:sz w:val="20"/>
                <w:szCs w:val="20"/>
                <w:vertAlign w:val="superscript"/>
              </w:rPr>
              <w:t xml:space="preserve">−2</w:t>
            </w:r>
          </w:p>
        </w:tc>
        <w:tc>
          <w:tcPr>
            <w:tcW w:type="dxa" w:w="15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0.0462 ± 0.0023</w:t>
            </w:r>
          </w:p>
        </w:tc>
        <w:tc>
          <w:tcPr>
            <w:tcW w:type="dxa" w:w="15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0.0482 ± 0.0013</w:t>
            </w:r>
          </w:p>
        </w:tc>
        <w:tc>
          <w:tcPr>
            <w:tcW w:type="dxa" w:w="15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0.0350 ± 0.0017</w:t>
            </w:r>
          </w:p>
        </w:tc>
        <w:tc>
          <w:tcPr>
            <w:tcW w:type="dxa" w:w="15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0.0375 ± 0.0021</w:t>
            </w:r>
          </w:p>
        </w:tc>
      </w:tr>
      <w:tr>
        <w:trPr>
          <w:cantSplit/>
        </w:trPr>
        <w:tc>
          <w:tcPr>
            <w:tcW w:type="dxa" w:w="115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CH</w:t>
            </w:r>
            <w:r>
              <w:rPr>
                <w:rFonts w:ascii="Times New Roman" w:cs="Times New Roman" w:eastAsia="Times New Roman" w:hAnsi="Times New Roman"/>
                <w:b w:val="false"/>
                <w:bCs w:val="false"/>
                <w:sz w:val="20"/>
                <w:szCs w:val="20"/>
                <w:vertAlign w:val="subscript"/>
              </w:rPr>
              <w:t xml:space="preserve">4</w:t>
            </w:r>
          </w:p>
        </w:tc>
        <w:tc>
          <w:tcPr>
            <w:tcW w:type="dxa" w:w="187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ppb</w:t>
            </w:r>
          </w:p>
        </w:tc>
        <w:tc>
          <w:tcPr>
            <w:tcW w:type="dxa" w:w="15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1945 ± 16</w:t>
            </w:r>
          </w:p>
        </w:tc>
        <w:tc>
          <w:tcPr>
            <w:tcW w:type="dxa" w:w="15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1934 ± 19</w:t>
            </w:r>
          </w:p>
        </w:tc>
        <w:tc>
          <w:tcPr>
            <w:tcW w:type="dxa" w:w="15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1966 ± 31*</w:t>
            </w:r>
          </w:p>
        </w:tc>
        <w:tc>
          <w:tcPr>
            <w:tcW w:type="dxa" w:w="15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1964 ± 22</w:t>
            </w:r>
          </w:p>
        </w:tc>
      </w:tr>
      <w:tr>
        <w:trPr>
          <w:cantSplit/>
        </w:trPr>
        <w:tc>
          <w:tcPr>
            <w:tcW w:type="dxa" w:w="115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HCHO</w:t>
            </w:r>
          </w:p>
        </w:tc>
        <w:tc>
          <w:tcPr>
            <w:tcW w:type="dxa" w:w="187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×10</w:t>
            </w:r>
            <w:r>
              <w:rPr>
                <w:rFonts w:ascii="Times New Roman" w:cs="Times New Roman" w:eastAsia="Times New Roman" w:hAnsi="Times New Roman"/>
                <w:b w:val="false"/>
                <w:bCs w:val="false"/>
                <w:sz w:val="20"/>
                <w:szCs w:val="20"/>
                <w:vertAlign w:val="superscript"/>
              </w:rPr>
              <w:t xml:space="preserve">−4</w:t>
            </w:r>
            <w:r>
              <w:rPr>
                <w:rFonts w:ascii="Times New Roman" w:cs="Times New Roman" w:eastAsia="Times New Roman" w:hAnsi="Times New Roman"/>
                <w:b w:val="false"/>
                <w:bCs w:val="false"/>
                <w:sz w:val="20"/>
                <w:szCs w:val="20"/>
              </w:rPr>
              <w:t xml:space="preserve"> mol m</w:t>
            </w:r>
            <w:r>
              <w:rPr>
                <w:rFonts w:ascii="Times New Roman" w:cs="Times New Roman" w:eastAsia="Times New Roman" w:hAnsi="Times New Roman"/>
                <w:b w:val="false"/>
                <w:bCs w:val="false"/>
                <w:sz w:val="20"/>
                <w:szCs w:val="20"/>
                <w:vertAlign w:val="superscript"/>
              </w:rPr>
              <w:t xml:space="preserve">−2</w:t>
            </w:r>
          </w:p>
        </w:tc>
        <w:tc>
          <w:tcPr>
            <w:tcW w:type="dxa" w:w="15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1.93 ± 0.24</w:t>
            </w:r>
          </w:p>
        </w:tc>
        <w:tc>
          <w:tcPr>
            <w:tcW w:type="dxa" w:w="15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2.38 ± 0.30</w:t>
            </w:r>
          </w:p>
        </w:tc>
        <w:tc>
          <w:tcPr>
            <w:tcW w:type="dxa" w:w="15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1.73 ± 0.31</w:t>
            </w:r>
          </w:p>
        </w:tc>
        <w:tc>
          <w:tcPr>
            <w:tcW w:type="dxa" w:w="15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1.96 ± 0.30</w:t>
            </w:r>
          </w:p>
        </w:tc>
      </w:tr>
      <w:tr>
        <w:trPr>
          <w:cantSplit/>
        </w:trPr>
        <w:tc>
          <w:tcPr>
            <w:tcW w:type="dxa" w:w="115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O</w:t>
            </w:r>
            <w:r>
              <w:rPr>
                <w:rFonts w:ascii="Times New Roman" w:cs="Times New Roman" w:eastAsia="Times New Roman" w:hAnsi="Times New Roman"/>
                <w:b w:val="false"/>
                <w:bCs w:val="false"/>
                <w:sz w:val="20"/>
                <w:szCs w:val="20"/>
                <w:vertAlign w:val="subscript"/>
              </w:rPr>
              <w:t xml:space="preserve">3</w:t>
            </w:r>
          </w:p>
        </w:tc>
        <w:tc>
          <w:tcPr>
            <w:tcW w:type="dxa" w:w="187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DU</w:t>
            </w:r>
          </w:p>
        </w:tc>
        <w:tc>
          <w:tcPr>
            <w:tcW w:type="dxa" w:w="15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264.1 ± 2.5</w:t>
            </w:r>
          </w:p>
        </w:tc>
        <w:tc>
          <w:tcPr>
            <w:tcW w:type="dxa" w:w="15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291.8 ± 2.6</w:t>
            </w:r>
          </w:p>
        </w:tc>
        <w:tc>
          <w:tcPr>
            <w:tcW w:type="dxa" w:w="15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279.7 ± 0.9</w:t>
            </w:r>
          </w:p>
        </w:tc>
        <w:tc>
          <w:tcPr>
            <w:tcW w:type="dxa" w:w="15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263.9 ± 1.5</w:t>
            </w:r>
          </w:p>
        </w:tc>
      </w:tr>
      <w:tr>
        <w:trPr>
          <w:cantSplit/>
        </w:trPr>
        <w:tc>
          <w:tcPr>
            <w:tcW w:type="dxa" w:w="115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LST Day</w:t>
            </w:r>
          </w:p>
        </w:tc>
        <w:tc>
          <w:tcPr>
            <w:tcW w:type="dxa" w:w="187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°C</w:t>
            </w:r>
          </w:p>
        </w:tc>
        <w:tc>
          <w:tcPr>
            <w:tcW w:type="dxa" w:w="15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22.2 ± 1.0</w:t>
            </w:r>
          </w:p>
        </w:tc>
        <w:tc>
          <w:tcPr>
            <w:tcW w:type="dxa" w:w="15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28.6 ± 1.4</w:t>
            </w:r>
          </w:p>
        </w:tc>
        <w:tc>
          <w:tcPr>
            <w:tcW w:type="dxa" w:w="15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28.4 ± 1.5</w:t>
            </w:r>
          </w:p>
        </w:tc>
        <w:tc>
          <w:tcPr>
            <w:tcW w:type="dxa" w:w="15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26.4 ± 0.7</w:t>
            </w:r>
          </w:p>
        </w:tc>
      </w:tr>
      <w:tr>
        <w:trPr>
          <w:cantSplit/>
        </w:trPr>
        <w:tc>
          <w:tcPr>
            <w:tcW w:type="dxa" w:w="1150"/>
            <w:gridSpan w:val="1"/>
            <w:tcBorders>
              <w:top w:val="none" w:color="FFFFFF" w:sz="0"/>
              <w:left w:val="none" w:color="FFFFFF" w:sz="0"/>
              <w:bottom w:val="single" w:color="000000" w:sz="12"/>
              <w:right w:val="none" w:color="FFFFFF" w:sz="0"/>
            </w:tcBorders>
            <w:tcMar>
              <w:top w:type="dxa" w:w="40"/>
              <w:left w:type="dxa" w:w="60"/>
              <w:bottom w:type="dxa" w:w="40"/>
              <w:right w:type="dxa" w:w="60"/>
            </w:tcMar>
            <w:vAlign w:val="center"/>
          </w:tcPr>
          <w:p>
            <w:pPr>
              <w:keepNext w:val="false"/>
              <w:spacing w:after="0" w:line="240"/>
              <w:jc w:val="left"/>
            </w:pPr>
            <w:r>
              <w:rPr>
                <w:rFonts w:ascii="Times New Roman" w:cs="Times New Roman" w:eastAsia="Times New Roman" w:hAnsi="Times New Roman"/>
                <w:b w:val="false"/>
                <w:bCs w:val="false"/>
                <w:sz w:val="20"/>
                <w:szCs w:val="20"/>
              </w:rPr>
              <w:t xml:space="preserve">LST Night</w:t>
            </w:r>
          </w:p>
        </w:tc>
        <w:tc>
          <w:tcPr>
            <w:tcW w:type="dxa" w:w="1876"/>
            <w:gridSpan w:val="1"/>
            <w:tcBorders>
              <w:top w:val="none" w:color="FFFFFF" w:sz="0"/>
              <w:left w:val="none" w:color="FFFFFF" w:sz="0"/>
              <w:bottom w:val="single" w:color="000000" w:sz="12"/>
              <w:right w:val="none" w:color="FFFFFF" w:sz="0"/>
            </w:tcBorders>
            <w:tcMar>
              <w:top w:type="dxa" w:w="40"/>
              <w:left w:type="dxa" w:w="60"/>
              <w:bottom w:type="dxa" w:w="40"/>
              <w:right w:type="dxa" w:w="60"/>
            </w:tcMar>
            <w:vAlign w:val="center"/>
          </w:tcPr>
          <w:p>
            <w:pPr>
              <w:keepNext w:val="false"/>
              <w:spacing w:after="0" w:line="240"/>
              <w:jc w:val="left"/>
            </w:pPr>
            <w:r>
              <w:rPr>
                <w:rFonts w:ascii="Times New Roman" w:cs="Times New Roman" w:eastAsia="Times New Roman" w:hAnsi="Times New Roman"/>
                <w:b w:val="false"/>
                <w:bCs w:val="false"/>
                <w:sz w:val="20"/>
                <w:szCs w:val="20"/>
              </w:rPr>
              <w:t xml:space="preserve">°C</w:t>
            </w:r>
          </w:p>
        </w:tc>
        <w:tc>
          <w:tcPr>
            <w:tcW w:type="dxa" w:w="1500"/>
            <w:gridSpan w:val="1"/>
            <w:tcBorders>
              <w:top w:val="none" w:color="FFFFFF" w:sz="0"/>
              <w:left w:val="none" w:color="FFFFFF" w:sz="0"/>
              <w:bottom w:val="single" w:color="000000" w:sz="12"/>
              <w:right w:val="none" w:color="FFFFFF" w:sz="0"/>
            </w:tcBorders>
            <w:tcMar>
              <w:top w:type="dxa" w:w="40"/>
              <w:left w:type="dxa" w:w="60"/>
              <w:bottom w:type="dxa" w:w="40"/>
              <w:right w:type="dxa" w:w="60"/>
            </w:tcMar>
            <w:vAlign w:val="center"/>
          </w:tcPr>
          <w:p>
            <w:pPr>
              <w:keepNext w:val="false"/>
              <w:spacing w:after="0" w:line="240"/>
              <w:jc w:val="center"/>
            </w:pPr>
            <w:r>
              <w:rPr>
                <w:rFonts w:ascii="Times New Roman" w:cs="Times New Roman" w:eastAsia="Times New Roman" w:hAnsi="Times New Roman"/>
                <w:b w:val="false"/>
                <w:bCs w:val="false"/>
                <w:sz w:val="20"/>
                <w:szCs w:val="20"/>
              </w:rPr>
              <w:t xml:space="preserve">16.7 ± 1.3</w:t>
            </w:r>
          </w:p>
        </w:tc>
        <w:tc>
          <w:tcPr>
            <w:tcW w:type="dxa" w:w="1500"/>
            <w:gridSpan w:val="1"/>
            <w:tcBorders>
              <w:top w:val="none" w:color="FFFFFF" w:sz="0"/>
              <w:left w:val="none" w:color="FFFFFF" w:sz="0"/>
              <w:bottom w:val="single" w:color="000000" w:sz="12"/>
              <w:right w:val="none" w:color="FFFFFF" w:sz="0"/>
            </w:tcBorders>
            <w:tcMar>
              <w:top w:type="dxa" w:w="40"/>
              <w:left w:type="dxa" w:w="60"/>
              <w:bottom w:type="dxa" w:w="40"/>
              <w:right w:type="dxa" w:w="60"/>
            </w:tcMar>
            <w:vAlign w:val="center"/>
          </w:tcPr>
          <w:p>
            <w:pPr>
              <w:keepNext w:val="false"/>
              <w:spacing w:after="0" w:line="240"/>
              <w:jc w:val="center"/>
            </w:pPr>
            <w:r>
              <w:rPr>
                <w:rFonts w:ascii="Times New Roman" w:cs="Times New Roman" w:eastAsia="Times New Roman" w:hAnsi="Times New Roman"/>
                <w:b w:val="false"/>
                <w:bCs w:val="false"/>
                <w:sz w:val="20"/>
                <w:szCs w:val="20"/>
              </w:rPr>
              <w:t xml:space="preserve">23.4 ± 0.9</w:t>
            </w:r>
          </w:p>
        </w:tc>
        <w:tc>
          <w:tcPr>
            <w:tcW w:type="dxa" w:w="1500"/>
            <w:gridSpan w:val="1"/>
            <w:tcBorders>
              <w:top w:val="none" w:color="FFFFFF" w:sz="0"/>
              <w:left w:val="none" w:color="FFFFFF" w:sz="0"/>
              <w:bottom w:val="single" w:color="000000" w:sz="12"/>
              <w:right w:val="none" w:color="FFFFFF" w:sz="0"/>
            </w:tcBorders>
            <w:tcMar>
              <w:top w:type="dxa" w:w="40"/>
              <w:left w:type="dxa" w:w="60"/>
              <w:bottom w:type="dxa" w:w="40"/>
              <w:right w:type="dxa" w:w="60"/>
            </w:tcMar>
            <w:vAlign w:val="center"/>
          </w:tcPr>
          <w:p>
            <w:pPr>
              <w:keepNext w:val="false"/>
              <w:spacing w:after="0" w:line="240"/>
              <w:jc w:val="center"/>
            </w:pPr>
            <w:r>
              <w:rPr>
                <w:rFonts w:ascii="Times New Roman" w:cs="Times New Roman" w:eastAsia="Times New Roman" w:hAnsi="Times New Roman"/>
                <w:b w:val="false"/>
                <w:bCs w:val="false"/>
                <w:sz w:val="20"/>
                <w:szCs w:val="20"/>
              </w:rPr>
              <w:t xml:space="preserve">26.4 ± 1.1</w:t>
            </w:r>
          </w:p>
        </w:tc>
        <w:tc>
          <w:tcPr>
            <w:tcW w:type="dxa" w:w="1500"/>
            <w:gridSpan w:val="1"/>
            <w:tcBorders>
              <w:top w:val="none" w:color="FFFFFF" w:sz="0"/>
              <w:left w:val="none" w:color="FFFFFF" w:sz="0"/>
              <w:bottom w:val="single" w:color="000000" w:sz="12"/>
              <w:right w:val="none" w:color="FFFFFF" w:sz="0"/>
            </w:tcBorders>
            <w:tcMar>
              <w:top w:type="dxa" w:w="40"/>
              <w:left w:type="dxa" w:w="60"/>
              <w:bottom w:type="dxa" w:w="40"/>
              <w:right w:type="dxa" w:w="60"/>
            </w:tcMar>
            <w:vAlign w:val="center"/>
          </w:tcPr>
          <w:p>
            <w:pPr>
              <w:keepNext w:val="false"/>
              <w:spacing w:after="0" w:line="240"/>
              <w:jc w:val="center"/>
            </w:pPr>
            <w:r>
              <w:rPr>
                <w:rFonts w:ascii="Times New Roman" w:cs="Times New Roman" w:eastAsia="Times New Roman" w:hAnsi="Times New Roman"/>
                <w:b w:val="false"/>
                <w:bCs w:val="false"/>
                <w:sz w:val="20"/>
                <w:szCs w:val="20"/>
              </w:rPr>
              <w:t xml:space="preserve">22.7 ± 1.1</w:t>
            </w:r>
          </w:p>
        </w:tc>
      </w:tr>
    </w:tbl>
    <w:p>
      <w:pPr>
        <w:spacing w:after="260" w:before="80" w:line="252"/>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Winter combines January, February and December 2025. * Spatial coverage below 50%.</w:t>
      </w:r>
    </w:p>
    <w:p>
      <w:pPr>
        <w:keepNext/>
        <w:spacing w:after="80" w:before="120"/>
        <w:jc w:val="center"/>
      </w:pPr>
      <w:r>
        <w:drawing>
          <wp:inline distT="0" distB="0" distL="0" distR="0">
            <wp:extent cx="5724525" cy="2562225"/>
            <wp:effectExtent t="0" r="0" b="0" l="0"/>
            <wp:docPr id="1" name="Figure 6" descr="Seasonal national means for 2025 (dots) with ±1 standard deviation across pixels (bars). Win = winter, Pre = pre-monsoon, Mon = monsoon, Post = post-monsoon. The hollow marker indicates spatial coverage below 50%."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24525" cy="2562225"/>
                    </a:xfrm>
                    <a:prstGeom prst="rect">
                      <a:avLst/>
                    </a:prstGeom>
                  </pic:spPr>
                </pic:pic>
              </a:graphicData>
            </a:graphic>
          </wp:inline>
        </w:drawing>
      </w:r>
    </w:p>
    <w:p>
      <w:pPr>
        <w:keepLines/>
        <w:spacing w:after="240" w:line="276"/>
        <w:jc w:val="both"/>
      </w:pPr>
      <w:r>
        <w:rPr>
          <w:rFonts w:ascii="Times New Roman" w:cs="Times New Roman" w:eastAsia="Times New Roman" w:hAnsi="Times New Roman"/>
          <w:b/>
          <w:bCs/>
          <w:sz w:val="22"/>
          <w:szCs w:val="22"/>
        </w:rPr>
        <w:t xml:space="preserve">Figure 6. </w:t>
      </w:r>
      <w:r>
        <w:rPr>
          <w:rFonts w:ascii="Times New Roman" w:cs="Times New Roman" w:eastAsia="Times New Roman" w:hAnsi="Times New Roman"/>
          <w:sz w:val="22"/>
          <w:szCs w:val="22"/>
        </w:rPr>
        <w:t xml:space="preserve">Seasonal national means for 2025 (dots) with ±1 standard deviation across pixels (bars). Win = winter, Pre = pre-monsoon, Mon = monsoon, Post = post-monsoon. The hollow marker indicates spatial coverage below 50%.</w:t>
      </w:r>
    </w:p>
    <w:p>
      <w:pPr>
        <w:spacing w:after="160" w:line="360"/>
        <w:jc w:val="both"/>
      </w:pPr>
      <w:r>
        <w:rPr>
          <w:rFonts w:ascii="Times New Roman" w:cs="Times New Roman" w:eastAsia="Times New Roman" w:hAnsi="Times New Roman"/>
          <w:sz w:val="24"/>
          <w:szCs w:val="24"/>
        </w:rPr>
        <w:t xml:space="preserve">The spatial patterns changed with season as well. The Dhaka NO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hotspot was present in every season but was largest and most intense in winter and after the monsoon, and weakest during the monsoon (Figure 7). AOD was high over most of the country in winter and the pre-monsoon season, with the west–east gradient most pronounced in winter, and was low everywhere after the monsoon (Figure 8). Monthly maps of all variables are provided in the Supplementary Material (Figures S1–S10), and the monthly national means in Table S1.</w:t>
      </w:r>
    </w:p>
    <w:p>
      <w:pPr>
        <w:keepNext/>
        <w:spacing w:after="80" w:before="120"/>
        <w:jc w:val="center"/>
      </w:pPr>
      <w:r>
        <w:drawing>
          <wp:inline distT="0" distB="0" distL="0" distR="0">
            <wp:extent cx="4924425" cy="6134100"/>
            <wp:effectExtent t="0" r="0" b="0" l="0"/>
            <wp:docPr id="1" name="Figure 7" descr="Seasonal mean tropospheric NO2 column in 2025. All panels share one colour scale."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24425" cy="6134100"/>
                    </a:xfrm>
                    <a:prstGeom prst="rect">
                      <a:avLst/>
                    </a:prstGeom>
                  </pic:spPr>
                </pic:pic>
              </a:graphicData>
            </a:graphic>
          </wp:inline>
        </w:drawing>
      </w:r>
    </w:p>
    <w:p>
      <w:pPr>
        <w:keepLines/>
        <w:spacing w:after="240" w:line="276"/>
        <w:jc w:val="both"/>
      </w:pPr>
      <w:r>
        <w:rPr>
          <w:rFonts w:ascii="Times New Roman" w:cs="Times New Roman" w:eastAsia="Times New Roman" w:hAnsi="Times New Roman"/>
          <w:b/>
          <w:bCs/>
          <w:sz w:val="22"/>
          <w:szCs w:val="22"/>
        </w:rPr>
        <w:t xml:space="preserve">Figure 7. </w:t>
      </w:r>
      <w:r>
        <w:rPr>
          <w:rFonts w:ascii="Times New Roman" w:cs="Times New Roman" w:eastAsia="Times New Roman" w:hAnsi="Times New Roman"/>
          <w:sz w:val="22"/>
          <w:szCs w:val="22"/>
        </w:rPr>
        <w:t xml:space="preserve">Seasonal mean tropospheric NO</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column in 2025. All panels share one colour scale.</w:t>
      </w:r>
    </w:p>
    <w:p>
      <w:pPr>
        <w:spacing w:after="160" w:line="360"/>
        <w:jc w:val="both"/>
      </w:pPr>
      <w:r>
        <w:rPr>
          <w:rFonts w:ascii="Times New Roman" w:cs="Times New Roman" w:eastAsia="Times New Roman" w:hAnsi="Times New Roman"/>
          <w:sz w:val="24"/>
          <w:szCs w:val="24"/>
        </w:rPr>
        <w:t xml:space="preserve">The daily national series confirm this behaviour (Figure 9). AOD reached its maximum in late January, during the winter haze season, and its minimum in September. NO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was highest from January to March, declined to a minimum in August and recovered from October onwards. CO remained high until April and dropped sharply between May and June, with the onset of the monsoon. O</w:t>
      </w:r>
      <w:r>
        <w:rPr>
          <w:rFonts w:ascii="Times New Roman" w:cs="Times New Roman" w:eastAsia="Times New Roman" w:hAnsi="Times New Roman"/>
          <w:sz w:val="24"/>
          <w:szCs w:val="24"/>
          <w:vertAlign w:val="subscript"/>
        </w:rPr>
        <w:t xml:space="preserve">3</w:t>
      </w:r>
      <w:r>
        <w:rPr>
          <w:rFonts w:ascii="Times New Roman" w:cs="Times New Roman" w:eastAsia="Times New Roman" w:hAnsi="Times New Roman"/>
          <w:sz w:val="24"/>
          <w:szCs w:val="24"/>
        </w:rPr>
        <w:t xml:space="preserve"> showed the smoothest cycle, with a broad maximum in April–May and a minimum in December. After quality filtering, between 165 (AOD) and 364 (UVAI) days were available per variable.</w:t>
      </w:r>
    </w:p>
    <w:p>
      <w:pPr>
        <w:keepNext/>
        <w:spacing w:after="80" w:before="120"/>
        <w:jc w:val="center"/>
      </w:pPr>
      <w:r>
        <w:drawing>
          <wp:inline distT="0" distB="0" distL="0" distR="0">
            <wp:extent cx="4924425" cy="6134100"/>
            <wp:effectExtent t="0" r="0" b="0" l="0"/>
            <wp:docPr id="1" name="Figure 8" descr="Seasonal AOD at 550 nm in 2025 (inland water masked). All panels share one colour scale."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24425" cy="6134100"/>
                    </a:xfrm>
                    <a:prstGeom prst="rect">
                      <a:avLst/>
                    </a:prstGeom>
                  </pic:spPr>
                </pic:pic>
              </a:graphicData>
            </a:graphic>
          </wp:inline>
        </w:drawing>
      </w:r>
    </w:p>
    <w:p>
      <w:pPr>
        <w:keepLines/>
        <w:spacing w:after="240" w:line="276"/>
        <w:jc w:val="both"/>
      </w:pPr>
      <w:r>
        <w:rPr>
          <w:rFonts w:ascii="Times New Roman" w:cs="Times New Roman" w:eastAsia="Times New Roman" w:hAnsi="Times New Roman"/>
          <w:b/>
          <w:bCs/>
          <w:sz w:val="22"/>
          <w:szCs w:val="22"/>
        </w:rPr>
        <w:t xml:space="preserve">Figure 8. </w:t>
      </w:r>
      <w:r>
        <w:rPr>
          <w:rFonts w:ascii="Times New Roman" w:cs="Times New Roman" w:eastAsia="Times New Roman" w:hAnsi="Times New Roman"/>
          <w:sz w:val="22"/>
          <w:szCs w:val="22"/>
        </w:rPr>
        <w:t xml:space="preserve">Seasonal AOD at 550 nm in 2025 (inland water masked). All panels share one colour scale.</w:t>
      </w:r>
    </w:p>
    <w:p>
      <w:pPr>
        <w:spacing w:after="160" w:line="360"/>
        <w:jc w:val="both"/>
      </w:pPr>
      <w:r>
        <w:rPr>
          <w:rFonts w:ascii="Times New Roman" w:cs="Times New Roman" w:eastAsia="Times New Roman" w:hAnsi="Times New Roman"/>
          <w:sz w:val="24"/>
          <w:szCs w:val="24"/>
        </w:rPr>
        <w:t xml:space="preserve">Monthly mean daytime LST rose from 21.2 °C in January to a maximum of 29.6 °C in May, whereas nighttime LST continued to rise into the monsoon and peaked at 26.8 °C in September (Figure 10). The difference between day and night therefore narrowed from about 5.5 °C in winter to 0.8 °C in August, when persistent cloud and high humidity suppress both daytime heating and nocturnal cooling.</w:t>
      </w:r>
    </w:p>
    <w:p>
      <w:pPr>
        <w:pStyle w:val="Heading2"/>
        <w:keepNext/>
        <w:spacing w:after="120" w:before="200" w:line="360"/>
      </w:pPr>
      <w:r>
        <w:rPr>
          <w:rFonts w:ascii="Times New Roman" w:cs="Times New Roman" w:eastAsia="Times New Roman" w:hAnsi="Times New Roman"/>
          <w:b/>
          <w:bCs/>
          <w:i/>
          <w:iCs/>
          <w:color w:val="000000"/>
          <w:sz w:val="24"/>
          <w:szCs w:val="24"/>
        </w:rPr>
        <w:t xml:space="preserve">4.4 Correlation Analysis</w:t>
      </w:r>
    </w:p>
    <w:p>
      <w:pPr>
        <w:spacing w:after="160" w:line="360"/>
        <w:jc w:val="both"/>
      </w:pPr>
      <w:r>
        <w:rPr>
          <w:rFonts w:ascii="Times New Roman" w:cs="Times New Roman" w:eastAsia="Times New Roman" w:hAnsi="Times New Roman"/>
          <w:sz w:val="24"/>
          <w:szCs w:val="24"/>
        </w:rPr>
        <w:t xml:space="preserve">Pearson and Spearman coefficients were similar (Figure 11), which indicates that the relationships are not driven by a few extreme cells.</w:t>
      </w:r>
    </w:p>
    <w:p>
      <w:pPr>
        <w:keepNext/>
        <w:spacing w:after="80" w:before="120"/>
        <w:jc w:val="center"/>
      </w:pPr>
      <w:r>
        <w:drawing>
          <wp:inline distT="0" distB="0" distL="0" distR="0">
            <wp:extent cx="5438775" cy="5657850"/>
            <wp:effectExtent t="0" r="0" b="0" l="0"/>
            <wp:docPr id="1" name="Figure 9" descr="Daily national means in 2025. Dots are daily values after outlier removal, lines are 15-day running medians, and the shaded band marks the monsoon (June–September). AOD, NO2, CO and SO2 are restricted to days with at least 50% spatial coverage."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38775" cy="5657850"/>
                    </a:xfrm>
                    <a:prstGeom prst="rect">
                      <a:avLst/>
                    </a:prstGeom>
                  </pic:spPr>
                </pic:pic>
              </a:graphicData>
            </a:graphic>
          </wp:inline>
        </w:drawing>
      </w:r>
    </w:p>
    <w:p>
      <w:pPr>
        <w:keepLines/>
        <w:spacing w:after="240" w:line="276"/>
        <w:jc w:val="both"/>
      </w:pPr>
      <w:r>
        <w:rPr>
          <w:rFonts w:ascii="Times New Roman" w:cs="Times New Roman" w:eastAsia="Times New Roman" w:hAnsi="Times New Roman"/>
          <w:b/>
          <w:bCs/>
          <w:sz w:val="22"/>
          <w:szCs w:val="22"/>
        </w:rPr>
        <w:t xml:space="preserve">Figure 9. </w:t>
      </w:r>
      <w:r>
        <w:rPr>
          <w:rFonts w:ascii="Times New Roman" w:cs="Times New Roman" w:eastAsia="Times New Roman" w:hAnsi="Times New Roman"/>
          <w:sz w:val="22"/>
          <w:szCs w:val="22"/>
        </w:rPr>
        <w:t xml:space="preserve">Daily national means in 2025. Dots are daily values after outlier removal, lines are 15-day running medians, and the shaded band marks the monsoon (June–September). AOD, NO</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CO and SO</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are restricted to days with at least 50% spatial coverage.</w:t>
      </w:r>
    </w:p>
    <w:p>
      <w:pPr>
        <w:spacing w:after="160" w:line="360"/>
        <w:jc w:val="both"/>
      </w:pPr>
      <w:r>
        <w:rPr>
          <w:rFonts w:ascii="Times New Roman" w:cs="Times New Roman" w:eastAsia="Times New Roman" w:hAnsi="Times New Roman"/>
          <w:sz w:val="24"/>
          <w:szCs w:val="24"/>
        </w:rPr>
        <w:t xml:space="preserve">Annual daytime LST was positively correlated with CH</w:t>
      </w:r>
      <w:r>
        <w:rPr>
          <w:rFonts w:ascii="Times New Roman" w:cs="Times New Roman" w:eastAsia="Times New Roman" w:hAnsi="Times New Roman"/>
          <w:sz w:val="24"/>
          <w:szCs w:val="24"/>
          <w:vertAlign w:val="subscript"/>
        </w:rPr>
        <w:t xml:space="preserve">4</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 0.48), NO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(0.36), SO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(0.31), HCHO (0.30), CO (0.24), UVAI (0.22) and AOD (0.17), and weakly negatively with O</w:t>
      </w:r>
      <w:r>
        <w:rPr>
          <w:rFonts w:ascii="Times New Roman" w:cs="Times New Roman" w:eastAsia="Times New Roman" w:hAnsi="Times New Roman"/>
          <w:sz w:val="24"/>
          <w:szCs w:val="24"/>
          <w:vertAlign w:val="subscript"/>
        </w:rPr>
        <w:t xml:space="preserve">3</w:t>
      </w:r>
      <w:r>
        <w:rPr>
          <w:rFonts w:ascii="Times New Roman" w:cs="Times New Roman" w:eastAsia="Times New Roman" w:hAnsi="Times New Roman"/>
          <w:sz w:val="24"/>
          <w:szCs w:val="24"/>
        </w:rPr>
        <w:t xml:space="preserve"> (−0.14). Nighttime LST behaved differently: it was negatively correlated with O</w:t>
      </w:r>
      <w:r>
        <w:rPr>
          <w:rFonts w:ascii="Times New Roman" w:cs="Times New Roman" w:eastAsia="Times New Roman" w:hAnsi="Times New Roman"/>
          <w:sz w:val="24"/>
          <w:szCs w:val="24"/>
          <w:vertAlign w:val="subscript"/>
        </w:rPr>
        <w:t xml:space="preserve">3</w:t>
      </w:r>
      <w:r>
        <w:rPr>
          <w:rFonts w:ascii="Times New Roman" w:cs="Times New Roman" w:eastAsia="Times New Roman" w:hAnsi="Times New Roman"/>
          <w:sz w:val="24"/>
          <w:szCs w:val="24"/>
        </w:rPr>
        <w:t xml:space="preserve"> (−0.39), UVAI (−0.29), HCHO (−0.23) and AOD (−0.18), positively with SO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(0.22), and essentially uncorrelated with CH</w:t>
      </w:r>
      <w:r>
        <w:rPr>
          <w:rFonts w:ascii="Times New Roman" w:cs="Times New Roman" w:eastAsia="Times New Roman" w:hAnsi="Times New Roman"/>
          <w:sz w:val="24"/>
          <w:szCs w:val="24"/>
          <w:vertAlign w:val="subscript"/>
        </w:rPr>
        <w:t xml:space="preserve">4</w:t>
      </w:r>
      <w:r>
        <w:rPr>
          <w:rFonts w:ascii="Times New Roman" w:cs="Times New Roman" w:eastAsia="Times New Roman" w:hAnsi="Times New Roman"/>
          <w:sz w:val="24"/>
          <w:szCs w:val="24"/>
        </w:rPr>
        <w:t xml:space="preserve">, NO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and CO. UHI intensity correlated with daytime LST (0.51), from which it is derived, but only weakly with NO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(0.16) and CH</w:t>
      </w:r>
      <w:r>
        <w:rPr>
          <w:rFonts w:ascii="Times New Roman" w:cs="Times New Roman" w:eastAsia="Times New Roman" w:hAnsi="Times New Roman"/>
          <w:sz w:val="24"/>
          <w:szCs w:val="24"/>
          <w:vertAlign w:val="subscript"/>
        </w:rPr>
        <w:t xml:space="preserve">4</w:t>
      </w:r>
      <w:r>
        <w:rPr>
          <w:rFonts w:ascii="Times New Roman" w:cs="Times New Roman" w:eastAsia="Times New Roman" w:hAnsi="Times New Roman"/>
          <w:sz w:val="24"/>
          <w:szCs w:val="24"/>
        </w:rPr>
        <w:t xml:space="preserve"> (0.15).</w:t>
      </w:r>
    </w:p>
    <w:p>
      <w:pPr>
        <w:spacing w:after="160" w:line="360"/>
        <w:jc w:val="both"/>
      </w:pPr>
      <w:r>
        <w:rPr>
          <w:rFonts w:ascii="Times New Roman" w:cs="Times New Roman" w:eastAsia="Times New Roman" w:hAnsi="Times New Roman"/>
          <w:sz w:val="24"/>
          <w:szCs w:val="24"/>
        </w:rPr>
        <w:t xml:space="preserve">The pollutants were strongly correlated with one another. The highest coefficients were found for AOD and CO (0.79), UVAI and O</w:t>
      </w:r>
      <w:r>
        <w:rPr>
          <w:rFonts w:ascii="Times New Roman" w:cs="Times New Roman" w:eastAsia="Times New Roman" w:hAnsi="Times New Roman"/>
          <w:sz w:val="24"/>
          <w:szCs w:val="24"/>
          <w:vertAlign w:val="subscript"/>
        </w:rPr>
        <w:t xml:space="preserve">3</w:t>
      </w:r>
      <w:r>
        <w:rPr>
          <w:rFonts w:ascii="Times New Roman" w:cs="Times New Roman" w:eastAsia="Times New Roman" w:hAnsi="Times New Roman"/>
          <w:sz w:val="24"/>
          <w:szCs w:val="24"/>
        </w:rPr>
        <w:t xml:space="preserve"> (0.71), AOD and O</w:t>
      </w:r>
      <w:r>
        <w:rPr>
          <w:rFonts w:ascii="Times New Roman" w:cs="Times New Roman" w:eastAsia="Times New Roman" w:hAnsi="Times New Roman"/>
          <w:sz w:val="24"/>
          <w:szCs w:val="24"/>
          <w:vertAlign w:val="subscript"/>
        </w:rPr>
        <w:t xml:space="preserve">3</w:t>
      </w:r>
      <w:r>
        <w:rPr>
          <w:rFonts w:ascii="Times New Roman" w:cs="Times New Roman" w:eastAsia="Times New Roman" w:hAnsi="Times New Roman"/>
          <w:sz w:val="24"/>
          <w:szCs w:val="24"/>
        </w:rPr>
        <w:t xml:space="preserve"> (0.69), AOD and UVAI (0.66), CH</w:t>
      </w:r>
      <w:r>
        <w:rPr>
          <w:rFonts w:ascii="Times New Roman" w:cs="Times New Roman" w:eastAsia="Times New Roman" w:hAnsi="Times New Roman"/>
          <w:sz w:val="24"/>
          <w:szCs w:val="24"/>
          <w:vertAlign w:val="subscript"/>
        </w:rPr>
        <w:t xml:space="preserve">4</w:t>
      </w:r>
      <w:r>
        <w:rPr>
          <w:rFonts w:ascii="Times New Roman" w:cs="Times New Roman" w:eastAsia="Times New Roman" w:hAnsi="Times New Roman"/>
          <w:sz w:val="24"/>
          <w:szCs w:val="24"/>
        </w:rPr>
        <w:t xml:space="preserve"> and NO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(0.64), HCHO and NO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(0.62), and HCHO and CH</w:t>
      </w:r>
      <w:r>
        <w:rPr>
          <w:rFonts w:ascii="Times New Roman" w:cs="Times New Roman" w:eastAsia="Times New Roman" w:hAnsi="Times New Roman"/>
          <w:sz w:val="24"/>
          <w:szCs w:val="24"/>
          <w:vertAlign w:val="subscript"/>
        </w:rPr>
        <w:t xml:space="preserve">4</w:t>
      </w:r>
      <w:r>
        <w:rPr>
          <w:rFonts w:ascii="Times New Roman" w:cs="Times New Roman" w:eastAsia="Times New Roman" w:hAnsi="Times New Roman"/>
          <w:sz w:val="24"/>
          <w:szCs w:val="24"/>
        </w:rPr>
        <w:t xml:space="preserve"> (0.61).</w:t>
      </w:r>
    </w:p>
    <w:p>
      <w:pPr>
        <w:keepNext/>
        <w:spacing w:after="80" w:before="120"/>
        <w:jc w:val="center"/>
      </w:pPr>
      <w:r>
        <w:drawing>
          <wp:inline distT="0" distB="0" distL="0" distR="0">
            <wp:extent cx="4867275" cy="2790825"/>
            <wp:effectExtent t="0" r="0" b="0" l="0"/>
            <wp:docPr id="1" name="Figure 10" descr="Monthly national mean daytime and nighttime LST in 2025 (shading: ±1 standard deviation; hollow markers: spatial coverage below 50%) and the day–night difference (grey bars, right axis)."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867275" cy="2790825"/>
                    </a:xfrm>
                    <a:prstGeom prst="rect">
                      <a:avLst/>
                    </a:prstGeom>
                  </pic:spPr>
                </pic:pic>
              </a:graphicData>
            </a:graphic>
          </wp:inline>
        </w:drawing>
      </w:r>
    </w:p>
    <w:p>
      <w:pPr>
        <w:keepLines/>
        <w:spacing w:after="240" w:line="276"/>
        <w:jc w:val="both"/>
      </w:pPr>
      <w:r>
        <w:rPr>
          <w:rFonts w:ascii="Times New Roman" w:cs="Times New Roman" w:eastAsia="Times New Roman" w:hAnsi="Times New Roman"/>
          <w:b/>
          <w:bCs/>
          <w:sz w:val="22"/>
          <w:szCs w:val="22"/>
        </w:rPr>
        <w:t xml:space="preserve">Figure 10. </w:t>
      </w:r>
      <w:r>
        <w:rPr>
          <w:rFonts w:ascii="Times New Roman" w:cs="Times New Roman" w:eastAsia="Times New Roman" w:hAnsi="Times New Roman"/>
          <w:sz w:val="22"/>
          <w:szCs w:val="22"/>
        </w:rPr>
        <w:t xml:space="preserve">Monthly national mean daytime and nighttime LST in 2025 (shading: ±1 standard deviation; hollow markers: spatial coverage below 50%) and the day–night difference (grey bars, right axis).</w:t>
      </w:r>
    </w:p>
    <w:p>
      <w:pPr>
        <w:spacing w:after="160" w:line="360"/>
        <w:jc w:val="both"/>
      </w:pPr>
      <w:r>
        <w:rPr>
          <w:rFonts w:ascii="Times New Roman" w:cs="Times New Roman" w:eastAsia="Times New Roman" w:hAnsi="Times New Roman"/>
          <w:sz w:val="24"/>
          <w:szCs w:val="24"/>
        </w:rPr>
        <w:t xml:space="preserve">Two groups can be distinguished: variables that follow the regional west–east and north–south gradients (AOD, CO, UVAI and O</w:t>
      </w:r>
      <w:r>
        <w:rPr>
          <w:rFonts w:ascii="Times New Roman" w:cs="Times New Roman" w:eastAsia="Times New Roman" w:hAnsi="Times New Roman"/>
          <w:sz w:val="24"/>
          <w:szCs w:val="24"/>
          <w:vertAlign w:val="subscript"/>
        </w:rPr>
        <w:t xml:space="preserve">3</w:t>
      </w:r>
      <w:r>
        <w:rPr>
          <w:rFonts w:ascii="Times New Roman" w:cs="Times New Roman" w:eastAsia="Times New Roman" w:hAnsi="Times New Roman"/>
          <w:sz w:val="24"/>
          <w:szCs w:val="24"/>
        </w:rPr>
        <w:t xml:space="preserve">), and variables that are concentrated around urban and industrial centres (NO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CH</w:t>
      </w:r>
      <w:r>
        <w:rPr>
          <w:rFonts w:ascii="Times New Roman" w:cs="Times New Roman" w:eastAsia="Times New Roman" w:hAnsi="Times New Roman"/>
          <w:sz w:val="24"/>
          <w:szCs w:val="24"/>
          <w:vertAlign w:val="subscript"/>
        </w:rPr>
        <w:t xml:space="preserve">4</w:t>
      </w:r>
      <w:r>
        <w:rPr>
          <w:rFonts w:ascii="Times New Roman" w:cs="Times New Roman" w:eastAsia="Times New Roman" w:hAnsi="Times New Roman"/>
          <w:sz w:val="24"/>
          <w:szCs w:val="24"/>
        </w:rPr>
        <w:t xml:space="preserve"> and HCHO).</w:t>
      </w:r>
    </w:p>
    <w:p>
      <w:pPr>
        <w:pStyle w:val="Heading2"/>
        <w:keepNext/>
        <w:spacing w:after="120" w:before="200" w:line="360"/>
      </w:pPr>
      <w:r>
        <w:rPr>
          <w:rFonts w:ascii="Times New Roman" w:cs="Times New Roman" w:eastAsia="Times New Roman" w:hAnsi="Times New Roman"/>
          <w:b/>
          <w:bCs/>
          <w:i/>
          <w:iCs/>
          <w:color w:val="000000"/>
          <w:sz w:val="24"/>
          <w:szCs w:val="24"/>
        </w:rPr>
        <w:t xml:space="preserve">4.5 Regression Analysis</w:t>
      </w:r>
    </w:p>
    <w:p>
      <w:pPr>
        <w:spacing w:after="160" w:line="360"/>
        <w:jc w:val="both"/>
      </w:pPr>
      <w:r>
        <w:rPr>
          <w:rFonts w:ascii="Times New Roman" w:cs="Times New Roman" w:eastAsia="Times New Roman" w:hAnsi="Times New Roman"/>
          <w:sz w:val="24"/>
          <w:szCs w:val="24"/>
        </w:rPr>
        <w:t xml:space="preserve">Single pollutants explained only a small to moderate share of the spatial variation of LST (Table 5; Figure 12). CH</w:t>
      </w:r>
      <w:r>
        <w:rPr>
          <w:rFonts w:ascii="Times New Roman" w:cs="Times New Roman" w:eastAsia="Times New Roman" w:hAnsi="Times New Roman"/>
          <w:sz w:val="24"/>
          <w:szCs w:val="24"/>
          <w:vertAlign w:val="subscript"/>
        </w:rPr>
        <w:t xml:space="preserve">4</w:t>
      </w:r>
      <w:r>
        <w:rPr>
          <w:rFonts w:ascii="Times New Roman" w:cs="Times New Roman" w:eastAsia="Times New Roman" w:hAnsi="Times New Roman"/>
          <w:sz w:val="24"/>
          <w:szCs w:val="24"/>
        </w:rPr>
        <w:t xml:space="preserve"> was the strongest single predictor of daytime LST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 0.23), followed by NO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(0.13), SO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(0.09) and HCHO (0.09). O</w:t>
      </w:r>
      <w:r>
        <w:rPr>
          <w:rFonts w:ascii="Times New Roman" w:cs="Times New Roman" w:eastAsia="Times New Roman" w:hAnsi="Times New Roman"/>
          <w:sz w:val="24"/>
          <w:szCs w:val="24"/>
          <w:vertAlign w:val="subscript"/>
        </w:rPr>
        <w:t xml:space="preserve">3</w:t>
      </w:r>
      <w:r>
        <w:rPr>
          <w:rFonts w:ascii="Times New Roman" w:cs="Times New Roman" w:eastAsia="Times New Roman" w:hAnsi="Times New Roman"/>
          <w:sz w:val="24"/>
          <w:szCs w:val="24"/>
        </w:rPr>
        <w:t xml:space="preserve"> was the strongest single predictor of nighttime LST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 0.15); all other nighttime relationships had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below 0.10. The slopes are statistically significant because of the large sample, but the low explained variance shows that LST is controlled by several factors together, including land cover, surface moisture and urban form, and not by any single pollutant.</w:t>
      </w:r>
    </w:p>
    <w:p>
      <w:pPr>
        <w:pStyle w:val="Heading2"/>
        <w:keepNext/>
        <w:spacing w:after="120" w:before="200" w:line="360"/>
      </w:pPr>
      <w:r>
        <w:rPr>
          <w:rFonts w:ascii="Times New Roman" w:cs="Times New Roman" w:eastAsia="Times New Roman" w:hAnsi="Times New Roman"/>
          <w:b/>
          <w:bCs/>
          <w:i/>
          <w:iCs/>
          <w:color w:val="000000"/>
          <w:sz w:val="24"/>
          <w:szCs w:val="24"/>
        </w:rPr>
        <w:t xml:space="preserve">4.6 Principal Component Analysis</w:t>
      </w:r>
    </w:p>
    <w:p>
      <w:pPr>
        <w:spacing w:after="160" w:line="360"/>
        <w:jc w:val="both"/>
      </w:pPr>
      <w:r>
        <w:rPr>
          <w:rFonts w:ascii="Times New Roman" w:cs="Times New Roman" w:eastAsia="Times New Roman" w:hAnsi="Times New Roman"/>
          <w:sz w:val="24"/>
          <w:szCs w:val="24"/>
        </w:rPr>
        <w:t xml:space="preserve">Three components had eigenvalues greater than one and together explained 74.9% of the total variance (Table 6; Figure 13). The first component (42.8%) is a general pollution factor, with high positive loadings on HCHO (0.85), AOD (0.81), UVAI (0.78), CO (0.78), CH</w:t>
      </w:r>
      <w:r>
        <w:rPr>
          <w:rFonts w:ascii="Times New Roman" w:cs="Times New Roman" w:eastAsia="Times New Roman" w:hAnsi="Times New Roman"/>
          <w:sz w:val="24"/>
          <w:szCs w:val="24"/>
          <w:vertAlign w:val="subscript"/>
        </w:rPr>
        <w:t xml:space="preserve">4</w:t>
      </w:r>
      <w:r>
        <w:rPr>
          <w:rFonts w:ascii="Times New Roman" w:cs="Times New Roman" w:eastAsia="Times New Roman" w:hAnsi="Times New Roman"/>
          <w:sz w:val="24"/>
          <w:szCs w:val="24"/>
        </w:rPr>
        <w:t xml:space="preserve"> (0.70), O</w:t>
      </w:r>
      <w:r>
        <w:rPr>
          <w:rFonts w:ascii="Times New Roman" w:cs="Times New Roman" w:eastAsia="Times New Roman" w:hAnsi="Times New Roman"/>
          <w:sz w:val="24"/>
          <w:szCs w:val="24"/>
          <w:vertAlign w:val="subscript"/>
        </w:rPr>
        <w:t xml:space="preserve">3</w:t>
      </w:r>
      <w:r>
        <w:rPr>
          <w:rFonts w:ascii="Times New Roman" w:cs="Times New Roman" w:eastAsia="Times New Roman" w:hAnsi="Times New Roman"/>
          <w:sz w:val="24"/>
          <w:szCs w:val="24"/>
        </w:rPr>
        <w:t xml:space="preserve"> (0.65) and NO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(0.61). It shows that the most polluted parts of the country are affected by several pollutants at the same time. The second component (19.2%) contrasts O</w:t>
      </w:r>
      <w:r>
        <w:rPr>
          <w:rFonts w:ascii="Times New Roman" w:cs="Times New Roman" w:eastAsia="Times New Roman" w:hAnsi="Times New Roman"/>
          <w:sz w:val="24"/>
          <w:szCs w:val="24"/>
          <w:vertAlign w:val="subscript"/>
        </w:rPr>
        <w:t xml:space="preserve">3</w:t>
      </w:r>
      <w:r>
        <w:rPr>
          <w:rFonts w:ascii="Times New Roman" w:cs="Times New Roman" w:eastAsia="Times New Roman" w:hAnsi="Times New Roman"/>
          <w:sz w:val="24"/>
          <w:szCs w:val="24"/>
        </w:rPr>
        <w:t xml:space="preserve"> (0.68) with SO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(−0.62), nighttime LST (−0.58), daytime LST (−0.51) and NO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(−0.47); it separates the latitudinal ozone gradient from the warm, combustion-influenced areas of the south and centre. The third component (13.0%) has moderate loadings of opposite sign on CO, SO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AOD and nighttime LST (0.42 to 0.49) and on CH</w:t>
      </w:r>
      <w:r>
        <w:rPr>
          <w:rFonts w:ascii="Times New Roman" w:cs="Times New Roman" w:eastAsia="Times New Roman" w:hAnsi="Times New Roman"/>
          <w:sz w:val="24"/>
          <w:szCs w:val="24"/>
          <w:vertAlign w:val="subscript"/>
        </w:rPr>
        <w:t xml:space="preserve">4</w:t>
      </w:r>
      <w:r>
        <w:rPr>
          <w:rFonts w:ascii="Times New Roman" w:cs="Times New Roman" w:eastAsia="Times New Roman" w:hAnsi="Times New Roman"/>
          <w:sz w:val="24"/>
          <w:szCs w:val="24"/>
        </w:rPr>
        <w:t xml:space="preserve">, NO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and daytime LST (−0.35 to −0.47), and distinguishes the regional aerosol and CO burden from locally concentrated emissions.</w:t>
      </w:r>
    </w:p>
    <w:p>
      <w:pPr>
        <w:keepNext/>
        <w:spacing w:after="80" w:before="120"/>
        <w:jc w:val="center"/>
      </w:pPr>
      <w:r>
        <w:drawing>
          <wp:inline distT="0" distB="0" distL="0" distR="0">
            <wp:extent cx="4010025" cy="7562850"/>
            <wp:effectExtent t="0" r="0" b="0" l="0"/>
            <wp:docPr id="1" name="Figure 11" descr="(a) Pearson and (b) Spearman correlation matrices of the annual variables on the 0.05° grid (n = 4,901 cells).  p &lt; 0.05.  p &lt; 0.01.  p &lt; 0.001."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10025" cy="7562850"/>
                    </a:xfrm>
                    <a:prstGeom prst="rect">
                      <a:avLst/>
                    </a:prstGeom>
                  </pic:spPr>
                </pic:pic>
              </a:graphicData>
            </a:graphic>
          </wp:inline>
        </w:drawing>
      </w:r>
    </w:p>
    <w:p>
      <w:pPr>
        <w:keepLines/>
        <w:spacing w:after="240" w:line="276"/>
        <w:jc w:val="both"/>
      </w:pPr>
      <w:r>
        <w:rPr>
          <w:rFonts w:ascii="Times New Roman" w:cs="Times New Roman" w:eastAsia="Times New Roman" w:hAnsi="Times New Roman"/>
          <w:b/>
          <w:bCs/>
          <w:sz w:val="22"/>
          <w:szCs w:val="22"/>
        </w:rPr>
        <w:t xml:space="preserve">Figure 11. </w:t>
      </w:r>
      <w:r>
        <w:rPr>
          <w:rFonts w:ascii="Times New Roman" w:cs="Times New Roman" w:eastAsia="Times New Roman" w:hAnsi="Times New Roman"/>
          <w:sz w:val="22"/>
          <w:szCs w:val="22"/>
        </w:rPr>
        <w:t xml:space="preserve">(a) Pearson and (b) Spearman correlation matrices of the annual variables on the 0.05° grid (</w:t>
      </w:r>
      <w:r>
        <w:rPr>
          <w:rFonts w:ascii="Times New Roman" w:cs="Times New Roman" w:eastAsia="Times New Roman" w:hAnsi="Times New Roman"/>
          <w:i/>
          <w:iCs/>
          <w:sz w:val="22"/>
          <w:szCs w:val="22"/>
        </w:rPr>
        <w:t xml:space="preserve">n</w:t>
      </w:r>
      <w:r>
        <w:rPr>
          <w:rFonts w:ascii="Times New Roman" w:cs="Times New Roman" w:eastAsia="Times New Roman" w:hAnsi="Times New Roman"/>
          <w:sz w:val="22"/>
          <w:szCs w:val="22"/>
        </w:rPr>
        <w:t xml:space="preserve"> = 4,901 cells). *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&lt; 0.05. **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&lt; 0.01. ***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&lt; 0.001.</w:t>
      </w:r>
    </w:p>
    <w:p>
      <w:pPr>
        <w:keepNext/>
        <w:spacing w:after="100" w:before="240" w:line="276"/>
        <w:jc w:val="left"/>
      </w:pPr>
      <w:r>
        <w:rPr>
          <w:rFonts w:ascii="Times New Roman" w:cs="Times New Roman" w:eastAsia="Times New Roman" w:hAnsi="Times New Roman"/>
          <w:b/>
          <w:bCs/>
          <w:sz w:val="22"/>
          <w:szCs w:val="22"/>
        </w:rPr>
        <w:t xml:space="preserve">Table 5. </w:t>
      </w:r>
      <w:r>
        <w:rPr>
          <w:rFonts w:ascii="Times New Roman" w:cs="Times New Roman" w:eastAsia="Times New Roman" w:hAnsi="Times New Roman"/>
          <w:sz w:val="22"/>
          <w:szCs w:val="22"/>
        </w:rPr>
        <w:t xml:space="preserve">Simple linear regression of annual LST (°C) on each atmospheric variable (</w:t>
      </w:r>
      <w:r>
        <w:rPr>
          <w:rFonts w:ascii="Times New Roman" w:cs="Times New Roman" w:eastAsia="Times New Roman" w:hAnsi="Times New Roman"/>
          <w:i/>
          <w:iCs/>
          <w:sz w:val="22"/>
          <w:szCs w:val="22"/>
        </w:rPr>
        <w:t xml:space="preserve">n</w:t>
      </w:r>
      <w:r>
        <w:rPr>
          <w:rFonts w:ascii="Times New Roman" w:cs="Times New Roman" w:eastAsia="Times New Roman" w:hAnsi="Times New Roman"/>
          <w:sz w:val="22"/>
          <w:szCs w:val="22"/>
        </w:rPr>
        <w:t xml:space="preserve"> = 4,901).</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2926"/>
        <w:gridCol w:w="1200"/>
        <w:gridCol w:w="1200"/>
        <w:gridCol w:w="1200"/>
        <w:gridCol w:w="1200"/>
      </w:tblGrid>
      <w:tr>
        <w:trPr>
          <w:cantSplit/>
          <w:tblHeader/>
        </w:trPr>
        <w:tc>
          <w:tcPr>
            <w:tcW w:type="dxa" w:w="1300"/>
            <w:gridSpan w:val="1"/>
            <w:tcBorders>
              <w:top w:val="single" w:color="000000" w:sz="12"/>
              <w:left w:val="none" w:color="FFFFFF" w:sz="0"/>
              <w:bottom w:val="single" w:color="000000" w:sz="6"/>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sz w:val="20"/>
                <w:szCs w:val="20"/>
              </w:rPr>
              <w:t xml:space="preserve">Response</w:t>
            </w:r>
          </w:p>
        </w:tc>
        <w:tc>
          <w:tcPr>
            <w:tcW w:type="dxa" w:w="2926"/>
            <w:gridSpan w:val="1"/>
            <w:tcBorders>
              <w:top w:val="single" w:color="000000" w:sz="12"/>
              <w:left w:val="none" w:color="FFFFFF" w:sz="0"/>
              <w:bottom w:val="single" w:color="000000" w:sz="6"/>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sz w:val="20"/>
                <w:szCs w:val="20"/>
              </w:rPr>
              <w:t xml:space="preserve">Predictor (unit)</w:t>
            </w:r>
          </w:p>
        </w:tc>
        <w:tc>
          <w:tcPr>
            <w:tcW w:type="dxa" w:w="1200"/>
            <w:gridSpan w:val="1"/>
            <w:tcBorders>
              <w:top w:val="single" w:color="000000" w:sz="12"/>
              <w:left w:val="none" w:color="FFFFFF" w:sz="0"/>
              <w:bottom w:val="single" w:color="000000" w:sz="6"/>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sz w:val="20"/>
                <w:szCs w:val="20"/>
              </w:rPr>
              <w:t xml:space="preserve">Slope</w:t>
            </w:r>
          </w:p>
        </w:tc>
        <w:tc>
          <w:tcPr>
            <w:tcW w:type="dxa" w:w="1200"/>
            <w:gridSpan w:val="1"/>
            <w:tcBorders>
              <w:top w:val="single" w:color="000000" w:sz="12"/>
              <w:left w:val="none" w:color="FFFFFF" w:sz="0"/>
              <w:bottom w:val="single" w:color="000000" w:sz="6"/>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sz w:val="20"/>
                <w:szCs w:val="20"/>
              </w:rPr>
              <w:t xml:space="preserve">Intercept</w:t>
            </w:r>
          </w:p>
        </w:tc>
        <w:tc>
          <w:tcPr>
            <w:tcW w:type="dxa" w:w="1200"/>
            <w:gridSpan w:val="1"/>
            <w:tcBorders>
              <w:top w:val="single" w:color="000000" w:sz="12"/>
              <w:left w:val="none" w:color="FFFFFF" w:sz="0"/>
              <w:bottom w:val="single" w:color="000000" w:sz="6"/>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i/>
                <w:iCs/>
                <w:sz w:val="20"/>
                <w:szCs w:val="20"/>
              </w:rPr>
              <w:t xml:space="preserve">r</w:t>
            </w:r>
          </w:p>
        </w:tc>
        <w:tc>
          <w:tcPr>
            <w:tcW w:type="dxa" w:w="1200"/>
            <w:gridSpan w:val="1"/>
            <w:tcBorders>
              <w:top w:val="single" w:color="000000" w:sz="12"/>
              <w:left w:val="none" w:color="FFFFFF" w:sz="0"/>
              <w:bottom w:val="single" w:color="000000" w:sz="6"/>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vertAlign w:val="superscript"/>
              </w:rPr>
              <w:t xml:space="preserve">2</w:t>
            </w:r>
          </w:p>
        </w:tc>
      </w:tr>
      <w:tr>
        <w:trPr>
          <w:cantSplit/>
        </w:trPr>
        <w:tc>
          <w:tcPr>
            <w:tcW w:type="dxa" w:w="13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LST Day</w:t>
            </w:r>
          </w:p>
        </w:tc>
        <w:tc>
          <w:tcPr>
            <w:tcW w:type="dxa" w:w="29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AOD</w:t>
            </w:r>
          </w:p>
        </w:tc>
        <w:tc>
          <w:tcPr>
            <w:tcW w:type="dxa" w:w="12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0.861</w:t>
            </w:r>
          </w:p>
        </w:tc>
        <w:tc>
          <w:tcPr>
            <w:tcW w:type="dxa" w:w="12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25.36</w:t>
            </w:r>
          </w:p>
        </w:tc>
        <w:tc>
          <w:tcPr>
            <w:tcW w:type="dxa" w:w="12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0.175</w:t>
            </w:r>
          </w:p>
        </w:tc>
        <w:tc>
          <w:tcPr>
            <w:tcW w:type="dxa" w:w="12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0.030</w:t>
            </w:r>
          </w:p>
        </w:tc>
      </w:tr>
      <w:tr>
        <w:trPr>
          <w:cantSplit/>
        </w:trPr>
        <w:tc>
          <w:tcPr>
            <w:tcW w:type="dxa" w:w="13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LST Night</w:t>
            </w:r>
          </w:p>
        </w:tc>
        <w:tc>
          <w:tcPr>
            <w:tcW w:type="dxa" w:w="29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AOD</w:t>
            </w:r>
          </w:p>
        </w:tc>
        <w:tc>
          <w:tcPr>
            <w:tcW w:type="dxa" w:w="12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−1.003</w:t>
            </w:r>
          </w:p>
        </w:tc>
        <w:tc>
          <w:tcPr>
            <w:tcW w:type="dxa" w:w="12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20.33</w:t>
            </w:r>
          </w:p>
        </w:tc>
        <w:tc>
          <w:tcPr>
            <w:tcW w:type="dxa" w:w="12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−0.184</w:t>
            </w:r>
          </w:p>
        </w:tc>
        <w:tc>
          <w:tcPr>
            <w:tcW w:type="dxa" w:w="12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0.034</w:t>
            </w:r>
          </w:p>
        </w:tc>
      </w:tr>
      <w:tr>
        <w:trPr>
          <w:cantSplit/>
        </w:trPr>
        <w:tc>
          <w:tcPr>
            <w:tcW w:type="dxa" w:w="13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LST Day</w:t>
            </w:r>
          </w:p>
        </w:tc>
        <w:tc>
          <w:tcPr>
            <w:tcW w:type="dxa" w:w="29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UVAI</w:t>
            </w:r>
          </w:p>
        </w:tc>
        <w:tc>
          <w:tcPr>
            <w:tcW w:type="dxa" w:w="12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2.252</w:t>
            </w:r>
          </w:p>
        </w:tc>
        <w:tc>
          <w:tcPr>
            <w:tcW w:type="dxa" w:w="12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26.64</w:t>
            </w:r>
          </w:p>
        </w:tc>
        <w:tc>
          <w:tcPr>
            <w:tcW w:type="dxa" w:w="12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0.219</w:t>
            </w:r>
          </w:p>
        </w:tc>
        <w:tc>
          <w:tcPr>
            <w:tcW w:type="dxa" w:w="12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0.048</w:t>
            </w:r>
          </w:p>
        </w:tc>
      </w:tr>
      <w:tr>
        <w:trPr>
          <w:cantSplit/>
        </w:trPr>
        <w:tc>
          <w:tcPr>
            <w:tcW w:type="dxa" w:w="13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LST Night</w:t>
            </w:r>
          </w:p>
        </w:tc>
        <w:tc>
          <w:tcPr>
            <w:tcW w:type="dxa" w:w="29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UVAI</w:t>
            </w:r>
          </w:p>
        </w:tc>
        <w:tc>
          <w:tcPr>
            <w:tcW w:type="dxa" w:w="12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−3.277</w:t>
            </w:r>
          </w:p>
        </w:tc>
        <w:tc>
          <w:tcPr>
            <w:tcW w:type="dxa" w:w="12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18.56</w:t>
            </w:r>
          </w:p>
        </w:tc>
        <w:tc>
          <w:tcPr>
            <w:tcW w:type="dxa" w:w="12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−0.289</w:t>
            </w:r>
          </w:p>
        </w:tc>
        <w:tc>
          <w:tcPr>
            <w:tcW w:type="dxa" w:w="12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0.083</w:t>
            </w:r>
          </w:p>
        </w:tc>
      </w:tr>
      <w:tr>
        <w:trPr>
          <w:cantSplit/>
        </w:trPr>
        <w:tc>
          <w:tcPr>
            <w:tcW w:type="dxa" w:w="13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LST Day</w:t>
            </w:r>
          </w:p>
        </w:tc>
        <w:tc>
          <w:tcPr>
            <w:tcW w:type="dxa" w:w="29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CH</w:t>
            </w:r>
            <w:r>
              <w:rPr>
                <w:rFonts w:ascii="Times New Roman" w:cs="Times New Roman" w:eastAsia="Times New Roman" w:hAnsi="Times New Roman"/>
                <w:b w:val="false"/>
                <w:bCs w:val="false"/>
                <w:sz w:val="20"/>
                <w:szCs w:val="20"/>
                <w:vertAlign w:val="subscript"/>
              </w:rPr>
              <w:t xml:space="preserve">4</w:t>
            </w:r>
            <w:r>
              <w:rPr>
                <w:rFonts w:ascii="Times New Roman" w:cs="Times New Roman" w:eastAsia="Times New Roman" w:hAnsi="Times New Roman"/>
                <w:b w:val="false"/>
                <w:bCs w:val="false"/>
                <w:sz w:val="20"/>
                <w:szCs w:val="20"/>
              </w:rPr>
              <w:t xml:space="preserve"> (ppb)</w:t>
            </w:r>
          </w:p>
        </w:tc>
        <w:tc>
          <w:tcPr>
            <w:tcW w:type="dxa" w:w="12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0.0224</w:t>
            </w:r>
          </w:p>
        </w:tc>
        <w:tc>
          <w:tcPr>
            <w:tcW w:type="dxa" w:w="12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−17.80</w:t>
            </w:r>
          </w:p>
        </w:tc>
        <w:tc>
          <w:tcPr>
            <w:tcW w:type="dxa" w:w="12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0.480</w:t>
            </w:r>
          </w:p>
        </w:tc>
        <w:tc>
          <w:tcPr>
            <w:tcW w:type="dxa" w:w="12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0.231</w:t>
            </w:r>
          </w:p>
        </w:tc>
      </w:tr>
      <w:tr>
        <w:trPr>
          <w:cantSplit/>
        </w:trPr>
        <w:tc>
          <w:tcPr>
            <w:tcW w:type="dxa" w:w="13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LST Night</w:t>
            </w:r>
          </w:p>
        </w:tc>
        <w:tc>
          <w:tcPr>
            <w:tcW w:type="dxa" w:w="29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CH</w:t>
            </w:r>
            <w:r>
              <w:rPr>
                <w:rFonts w:ascii="Times New Roman" w:cs="Times New Roman" w:eastAsia="Times New Roman" w:hAnsi="Times New Roman"/>
                <w:b w:val="false"/>
                <w:bCs w:val="false"/>
                <w:sz w:val="20"/>
                <w:szCs w:val="20"/>
                <w:vertAlign w:val="subscript"/>
              </w:rPr>
              <w:t xml:space="preserve">4</w:t>
            </w:r>
            <w:r>
              <w:rPr>
                <w:rFonts w:ascii="Times New Roman" w:cs="Times New Roman" w:eastAsia="Times New Roman" w:hAnsi="Times New Roman"/>
                <w:b w:val="false"/>
                <w:bCs w:val="false"/>
                <w:sz w:val="20"/>
                <w:szCs w:val="20"/>
              </w:rPr>
              <w:t xml:space="preserve"> (ppb)</w:t>
            </w:r>
          </w:p>
        </w:tc>
        <w:tc>
          <w:tcPr>
            <w:tcW w:type="dxa" w:w="12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−0.0027</w:t>
            </w:r>
          </w:p>
        </w:tc>
        <w:tc>
          <w:tcPr>
            <w:tcW w:type="dxa" w:w="12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25.14</w:t>
            </w:r>
          </w:p>
        </w:tc>
        <w:tc>
          <w:tcPr>
            <w:tcW w:type="dxa" w:w="12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−0.052</w:t>
            </w:r>
          </w:p>
        </w:tc>
        <w:tc>
          <w:tcPr>
            <w:tcW w:type="dxa" w:w="12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0.003</w:t>
            </w:r>
          </w:p>
        </w:tc>
      </w:tr>
      <w:tr>
        <w:trPr>
          <w:cantSplit/>
        </w:trPr>
        <w:tc>
          <w:tcPr>
            <w:tcW w:type="dxa" w:w="13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LST Day</w:t>
            </w:r>
          </w:p>
        </w:tc>
        <w:tc>
          <w:tcPr>
            <w:tcW w:type="dxa" w:w="29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HCHO (×10</w:t>
            </w:r>
            <w:r>
              <w:rPr>
                <w:rFonts w:ascii="Times New Roman" w:cs="Times New Roman" w:eastAsia="Times New Roman" w:hAnsi="Times New Roman"/>
                <w:b w:val="false"/>
                <w:bCs w:val="false"/>
                <w:sz w:val="20"/>
                <w:szCs w:val="20"/>
                <w:vertAlign w:val="superscript"/>
              </w:rPr>
              <w:t xml:space="preserve">−4</w:t>
            </w:r>
            <w:r>
              <w:rPr>
                <w:rFonts w:ascii="Times New Roman" w:cs="Times New Roman" w:eastAsia="Times New Roman" w:hAnsi="Times New Roman"/>
                <w:b w:val="false"/>
                <w:bCs w:val="false"/>
                <w:sz w:val="20"/>
                <w:szCs w:val="20"/>
              </w:rPr>
              <w:t xml:space="preserve"> mol m</w:t>
            </w:r>
            <w:r>
              <w:rPr>
                <w:rFonts w:ascii="Times New Roman" w:cs="Times New Roman" w:eastAsia="Times New Roman" w:hAnsi="Times New Roman"/>
                <w:b w:val="false"/>
                <w:bCs w:val="false"/>
                <w:sz w:val="20"/>
                <w:szCs w:val="20"/>
                <w:vertAlign w:val="superscript"/>
              </w:rPr>
              <w:t xml:space="preserve">−2</w:t>
            </w:r>
            <w:r>
              <w:rPr>
                <w:rFonts w:ascii="Times New Roman" w:cs="Times New Roman" w:eastAsia="Times New Roman" w:hAnsi="Times New Roman"/>
                <w:b w:val="false"/>
                <w:bCs w:val="false"/>
                <w:sz w:val="20"/>
                <w:szCs w:val="20"/>
              </w:rPr>
              <w:t xml:space="preserve">)</w:t>
            </w:r>
          </w:p>
        </w:tc>
        <w:tc>
          <w:tcPr>
            <w:tcW w:type="dxa" w:w="12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1.174</w:t>
            </w:r>
          </w:p>
        </w:tc>
        <w:tc>
          <w:tcPr>
            <w:tcW w:type="dxa" w:w="12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23.33</w:t>
            </w:r>
          </w:p>
        </w:tc>
        <w:tc>
          <w:tcPr>
            <w:tcW w:type="dxa" w:w="12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0.305</w:t>
            </w:r>
          </w:p>
        </w:tc>
        <w:tc>
          <w:tcPr>
            <w:tcW w:type="dxa" w:w="12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0.093</w:t>
            </w:r>
          </w:p>
        </w:tc>
      </w:tr>
      <w:tr>
        <w:trPr>
          <w:cantSplit/>
        </w:trPr>
        <w:tc>
          <w:tcPr>
            <w:tcW w:type="dxa" w:w="13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LST Night</w:t>
            </w:r>
          </w:p>
        </w:tc>
        <w:tc>
          <w:tcPr>
            <w:tcW w:type="dxa" w:w="29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HCHO (×10</w:t>
            </w:r>
            <w:r>
              <w:rPr>
                <w:rFonts w:ascii="Times New Roman" w:cs="Times New Roman" w:eastAsia="Times New Roman" w:hAnsi="Times New Roman"/>
                <w:b w:val="false"/>
                <w:bCs w:val="false"/>
                <w:sz w:val="20"/>
                <w:szCs w:val="20"/>
                <w:vertAlign w:val="superscript"/>
              </w:rPr>
              <w:t xml:space="preserve">−4</w:t>
            </w:r>
            <w:r>
              <w:rPr>
                <w:rFonts w:ascii="Times New Roman" w:cs="Times New Roman" w:eastAsia="Times New Roman" w:hAnsi="Times New Roman"/>
                <w:b w:val="false"/>
                <w:bCs w:val="false"/>
                <w:sz w:val="20"/>
                <w:szCs w:val="20"/>
              </w:rPr>
              <w:t xml:space="preserve"> mol m</w:t>
            </w:r>
            <w:r>
              <w:rPr>
                <w:rFonts w:ascii="Times New Roman" w:cs="Times New Roman" w:eastAsia="Times New Roman" w:hAnsi="Times New Roman"/>
                <w:b w:val="false"/>
                <w:bCs w:val="false"/>
                <w:sz w:val="20"/>
                <w:szCs w:val="20"/>
                <w:vertAlign w:val="superscript"/>
              </w:rPr>
              <w:t xml:space="preserve">−2</w:t>
            </w:r>
            <w:r>
              <w:rPr>
                <w:rFonts w:ascii="Times New Roman" w:cs="Times New Roman" w:eastAsia="Times New Roman" w:hAnsi="Times New Roman"/>
                <w:b w:val="false"/>
                <w:bCs w:val="false"/>
                <w:sz w:val="20"/>
                <w:szCs w:val="20"/>
              </w:rPr>
              <w:t xml:space="preserve">)</w:t>
            </w:r>
          </w:p>
        </w:tc>
        <w:tc>
          <w:tcPr>
            <w:tcW w:type="dxa" w:w="12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−0.967</w:t>
            </w:r>
          </w:p>
        </w:tc>
        <w:tc>
          <w:tcPr>
            <w:tcW w:type="dxa" w:w="12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21.88</w:t>
            </w:r>
          </w:p>
        </w:tc>
        <w:tc>
          <w:tcPr>
            <w:tcW w:type="dxa" w:w="12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−0.228</w:t>
            </w:r>
          </w:p>
        </w:tc>
        <w:tc>
          <w:tcPr>
            <w:tcW w:type="dxa" w:w="12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0.052</w:t>
            </w:r>
          </w:p>
        </w:tc>
      </w:tr>
      <w:tr>
        <w:trPr>
          <w:cantSplit/>
        </w:trPr>
        <w:tc>
          <w:tcPr>
            <w:tcW w:type="dxa" w:w="13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LST Day</w:t>
            </w:r>
          </w:p>
        </w:tc>
        <w:tc>
          <w:tcPr>
            <w:tcW w:type="dxa" w:w="29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O</w:t>
            </w:r>
            <w:r>
              <w:rPr>
                <w:rFonts w:ascii="Times New Roman" w:cs="Times New Roman" w:eastAsia="Times New Roman" w:hAnsi="Times New Roman"/>
                <w:b w:val="false"/>
                <w:bCs w:val="false"/>
                <w:sz w:val="20"/>
                <w:szCs w:val="20"/>
                <w:vertAlign w:val="subscript"/>
              </w:rPr>
              <w:t xml:space="preserve">3</w:t>
            </w:r>
            <w:r>
              <w:rPr>
                <w:rFonts w:ascii="Times New Roman" w:cs="Times New Roman" w:eastAsia="Times New Roman" w:hAnsi="Times New Roman"/>
                <w:b w:val="false"/>
                <w:bCs w:val="false"/>
                <w:sz w:val="20"/>
                <w:szCs w:val="20"/>
              </w:rPr>
              <w:t xml:space="preserve"> (DU)</w:t>
            </w:r>
          </w:p>
        </w:tc>
        <w:tc>
          <w:tcPr>
            <w:tcW w:type="dxa" w:w="12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−0.0577</w:t>
            </w:r>
          </w:p>
        </w:tc>
        <w:tc>
          <w:tcPr>
            <w:tcW w:type="dxa" w:w="12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41.69</w:t>
            </w:r>
          </w:p>
        </w:tc>
        <w:tc>
          <w:tcPr>
            <w:tcW w:type="dxa" w:w="12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−0.144</w:t>
            </w:r>
          </w:p>
        </w:tc>
        <w:tc>
          <w:tcPr>
            <w:tcW w:type="dxa" w:w="12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0.021</w:t>
            </w:r>
          </w:p>
        </w:tc>
      </w:tr>
      <w:tr>
        <w:trPr>
          <w:cantSplit/>
        </w:trPr>
        <w:tc>
          <w:tcPr>
            <w:tcW w:type="dxa" w:w="13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LST Night</w:t>
            </w:r>
          </w:p>
        </w:tc>
        <w:tc>
          <w:tcPr>
            <w:tcW w:type="dxa" w:w="29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O</w:t>
            </w:r>
            <w:r>
              <w:rPr>
                <w:rFonts w:ascii="Times New Roman" w:cs="Times New Roman" w:eastAsia="Times New Roman" w:hAnsi="Times New Roman"/>
                <w:b w:val="false"/>
                <w:bCs w:val="false"/>
                <w:sz w:val="20"/>
                <w:szCs w:val="20"/>
                <w:vertAlign w:val="subscript"/>
              </w:rPr>
              <w:t xml:space="preserve">3</w:t>
            </w:r>
            <w:r>
              <w:rPr>
                <w:rFonts w:ascii="Times New Roman" w:cs="Times New Roman" w:eastAsia="Times New Roman" w:hAnsi="Times New Roman"/>
                <w:b w:val="false"/>
                <w:bCs w:val="false"/>
                <w:sz w:val="20"/>
                <w:szCs w:val="20"/>
              </w:rPr>
              <w:t xml:space="preserve"> (DU)</w:t>
            </w:r>
          </w:p>
        </w:tc>
        <w:tc>
          <w:tcPr>
            <w:tcW w:type="dxa" w:w="12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−0.171</w:t>
            </w:r>
          </w:p>
        </w:tc>
        <w:tc>
          <w:tcPr>
            <w:tcW w:type="dxa" w:w="12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67.11</w:t>
            </w:r>
          </w:p>
        </w:tc>
        <w:tc>
          <w:tcPr>
            <w:tcW w:type="dxa" w:w="12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−0.386</w:t>
            </w:r>
          </w:p>
        </w:tc>
        <w:tc>
          <w:tcPr>
            <w:tcW w:type="dxa" w:w="12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0.149</w:t>
            </w:r>
          </w:p>
        </w:tc>
      </w:tr>
      <w:tr>
        <w:trPr>
          <w:cantSplit/>
        </w:trPr>
        <w:tc>
          <w:tcPr>
            <w:tcW w:type="dxa" w:w="13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LST Day</w:t>
            </w:r>
          </w:p>
        </w:tc>
        <w:tc>
          <w:tcPr>
            <w:tcW w:type="dxa" w:w="29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NO</w:t>
            </w:r>
            <w:r>
              <w:rPr>
                <w:rFonts w:ascii="Times New Roman" w:cs="Times New Roman" w:eastAsia="Times New Roman" w:hAnsi="Times New Roman"/>
                <w:b w:val="false"/>
                <w:bCs w:val="false"/>
                <w:sz w:val="20"/>
                <w:szCs w:val="20"/>
                <w:vertAlign w:val="subscript"/>
              </w:rPr>
              <w:t xml:space="preserve">2</w:t>
            </w:r>
            <w:r>
              <w:rPr>
                <w:rFonts w:ascii="Times New Roman" w:cs="Times New Roman" w:eastAsia="Times New Roman" w:hAnsi="Times New Roman"/>
                <w:b w:val="false"/>
                <w:bCs w:val="false"/>
                <w:sz w:val="20"/>
                <w:szCs w:val="20"/>
              </w:rPr>
              <w:t xml:space="preserve"> (µmol m</w:t>
            </w:r>
            <w:r>
              <w:rPr>
                <w:rFonts w:ascii="Times New Roman" w:cs="Times New Roman" w:eastAsia="Times New Roman" w:hAnsi="Times New Roman"/>
                <w:b w:val="false"/>
                <w:bCs w:val="false"/>
                <w:sz w:val="20"/>
                <w:szCs w:val="20"/>
                <w:vertAlign w:val="superscript"/>
              </w:rPr>
              <w:t xml:space="preserve">−2</w:t>
            </w:r>
            <w:r>
              <w:rPr>
                <w:rFonts w:ascii="Times New Roman" w:cs="Times New Roman" w:eastAsia="Times New Roman" w:hAnsi="Times New Roman"/>
                <w:b w:val="false"/>
                <w:bCs w:val="false"/>
                <w:sz w:val="20"/>
                <w:szCs w:val="20"/>
              </w:rPr>
              <w:t xml:space="preserve">)</w:t>
            </w:r>
          </w:p>
        </w:tc>
        <w:tc>
          <w:tcPr>
            <w:tcW w:type="dxa" w:w="12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0.0134</w:t>
            </w:r>
          </w:p>
        </w:tc>
        <w:tc>
          <w:tcPr>
            <w:tcW w:type="dxa" w:w="12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25.23</w:t>
            </w:r>
          </w:p>
        </w:tc>
        <w:tc>
          <w:tcPr>
            <w:tcW w:type="dxa" w:w="12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0.356</w:t>
            </w:r>
          </w:p>
        </w:tc>
        <w:tc>
          <w:tcPr>
            <w:tcW w:type="dxa" w:w="12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0.127</w:t>
            </w:r>
          </w:p>
        </w:tc>
      </w:tr>
      <w:tr>
        <w:trPr>
          <w:cantSplit/>
        </w:trPr>
        <w:tc>
          <w:tcPr>
            <w:tcW w:type="dxa" w:w="13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LST Night</w:t>
            </w:r>
          </w:p>
        </w:tc>
        <w:tc>
          <w:tcPr>
            <w:tcW w:type="dxa" w:w="29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NO</w:t>
            </w:r>
            <w:r>
              <w:rPr>
                <w:rFonts w:ascii="Times New Roman" w:cs="Times New Roman" w:eastAsia="Times New Roman" w:hAnsi="Times New Roman"/>
                <w:b w:val="false"/>
                <w:bCs w:val="false"/>
                <w:sz w:val="20"/>
                <w:szCs w:val="20"/>
                <w:vertAlign w:val="subscript"/>
              </w:rPr>
              <w:t xml:space="preserve">2</w:t>
            </w:r>
            <w:r>
              <w:rPr>
                <w:rFonts w:ascii="Times New Roman" w:cs="Times New Roman" w:eastAsia="Times New Roman" w:hAnsi="Times New Roman"/>
                <w:b w:val="false"/>
                <w:bCs w:val="false"/>
                <w:sz w:val="20"/>
                <w:szCs w:val="20"/>
              </w:rPr>
              <w:t xml:space="preserve"> (µmol m</w:t>
            </w:r>
            <w:r>
              <w:rPr>
                <w:rFonts w:ascii="Times New Roman" w:cs="Times New Roman" w:eastAsia="Times New Roman" w:hAnsi="Times New Roman"/>
                <w:b w:val="false"/>
                <w:bCs w:val="false"/>
                <w:sz w:val="20"/>
                <w:szCs w:val="20"/>
                <w:vertAlign w:val="superscript"/>
              </w:rPr>
              <w:t xml:space="preserve">−2</w:t>
            </w:r>
            <w:r>
              <w:rPr>
                <w:rFonts w:ascii="Times New Roman" w:cs="Times New Roman" w:eastAsia="Times New Roman" w:hAnsi="Times New Roman"/>
                <w:b w:val="false"/>
                <w:bCs w:val="false"/>
                <w:sz w:val="20"/>
                <w:szCs w:val="20"/>
              </w:rPr>
              <w:t xml:space="preserve">)</w:t>
            </w:r>
          </w:p>
        </w:tc>
        <w:tc>
          <w:tcPr>
            <w:tcW w:type="dxa" w:w="12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0.0012</w:t>
            </w:r>
          </w:p>
        </w:tc>
        <w:tc>
          <w:tcPr>
            <w:tcW w:type="dxa" w:w="12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19.86</w:t>
            </w:r>
          </w:p>
        </w:tc>
        <w:tc>
          <w:tcPr>
            <w:tcW w:type="dxa" w:w="12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0.028</w:t>
            </w:r>
          </w:p>
        </w:tc>
        <w:tc>
          <w:tcPr>
            <w:tcW w:type="dxa" w:w="12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0.001</w:t>
            </w:r>
          </w:p>
        </w:tc>
      </w:tr>
      <w:tr>
        <w:trPr>
          <w:cantSplit/>
        </w:trPr>
        <w:tc>
          <w:tcPr>
            <w:tcW w:type="dxa" w:w="13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LST Day</w:t>
            </w:r>
          </w:p>
        </w:tc>
        <w:tc>
          <w:tcPr>
            <w:tcW w:type="dxa" w:w="29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CO (mol m</w:t>
            </w:r>
            <w:r>
              <w:rPr>
                <w:rFonts w:ascii="Times New Roman" w:cs="Times New Roman" w:eastAsia="Times New Roman" w:hAnsi="Times New Roman"/>
                <w:b w:val="false"/>
                <w:bCs w:val="false"/>
                <w:sz w:val="20"/>
                <w:szCs w:val="20"/>
                <w:vertAlign w:val="superscript"/>
              </w:rPr>
              <w:t xml:space="preserve">−2</w:t>
            </w:r>
            <w:r>
              <w:rPr>
                <w:rFonts w:ascii="Times New Roman" w:cs="Times New Roman" w:eastAsia="Times New Roman" w:hAnsi="Times New Roman"/>
                <w:b w:val="false"/>
                <w:bCs w:val="false"/>
                <w:sz w:val="20"/>
                <w:szCs w:val="20"/>
              </w:rPr>
              <w:t xml:space="preserve">)</w:t>
            </w:r>
          </w:p>
        </w:tc>
        <w:tc>
          <w:tcPr>
            <w:tcW w:type="dxa" w:w="12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115.7</w:t>
            </w:r>
          </w:p>
        </w:tc>
        <w:tc>
          <w:tcPr>
            <w:tcW w:type="dxa" w:w="12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20.82</w:t>
            </w:r>
          </w:p>
        </w:tc>
        <w:tc>
          <w:tcPr>
            <w:tcW w:type="dxa" w:w="12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0.240</w:t>
            </w:r>
          </w:p>
        </w:tc>
        <w:tc>
          <w:tcPr>
            <w:tcW w:type="dxa" w:w="12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0.058</w:t>
            </w:r>
          </w:p>
        </w:tc>
      </w:tr>
      <w:tr>
        <w:trPr>
          <w:cantSplit/>
        </w:trPr>
        <w:tc>
          <w:tcPr>
            <w:tcW w:type="dxa" w:w="13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LST Night</w:t>
            </w:r>
          </w:p>
        </w:tc>
        <w:tc>
          <w:tcPr>
            <w:tcW w:type="dxa" w:w="29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CO (mol m</w:t>
            </w:r>
            <w:r>
              <w:rPr>
                <w:rFonts w:ascii="Times New Roman" w:cs="Times New Roman" w:eastAsia="Times New Roman" w:hAnsi="Times New Roman"/>
                <w:b w:val="false"/>
                <w:bCs w:val="false"/>
                <w:sz w:val="20"/>
                <w:szCs w:val="20"/>
                <w:vertAlign w:val="superscript"/>
              </w:rPr>
              <w:t xml:space="preserve">−2</w:t>
            </w:r>
            <w:r>
              <w:rPr>
                <w:rFonts w:ascii="Times New Roman" w:cs="Times New Roman" w:eastAsia="Times New Roman" w:hAnsi="Times New Roman"/>
                <w:b w:val="false"/>
                <w:bCs w:val="false"/>
                <w:sz w:val="20"/>
                <w:szCs w:val="20"/>
              </w:rPr>
              <w:t xml:space="preserve">)</w:t>
            </w:r>
          </w:p>
        </w:tc>
        <w:tc>
          <w:tcPr>
            <w:tcW w:type="dxa" w:w="12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44.7</w:t>
            </w:r>
          </w:p>
        </w:tc>
        <w:tc>
          <w:tcPr>
            <w:tcW w:type="dxa" w:w="12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18.02</w:t>
            </w:r>
          </w:p>
        </w:tc>
        <w:tc>
          <w:tcPr>
            <w:tcW w:type="dxa" w:w="12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0.084</w:t>
            </w:r>
          </w:p>
        </w:tc>
        <w:tc>
          <w:tcPr>
            <w:tcW w:type="dxa" w:w="12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0.007</w:t>
            </w:r>
          </w:p>
        </w:tc>
      </w:tr>
      <w:tr>
        <w:trPr>
          <w:cantSplit/>
        </w:trPr>
        <w:tc>
          <w:tcPr>
            <w:tcW w:type="dxa" w:w="13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LST Day</w:t>
            </w:r>
          </w:p>
        </w:tc>
        <w:tc>
          <w:tcPr>
            <w:tcW w:type="dxa" w:w="29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SO</w:t>
            </w:r>
            <w:r>
              <w:rPr>
                <w:rFonts w:ascii="Times New Roman" w:cs="Times New Roman" w:eastAsia="Times New Roman" w:hAnsi="Times New Roman"/>
                <w:b w:val="false"/>
                <w:bCs w:val="false"/>
                <w:sz w:val="20"/>
                <w:szCs w:val="20"/>
                <w:vertAlign w:val="subscript"/>
              </w:rPr>
              <w:t xml:space="preserve">2</w:t>
            </w:r>
            <w:r>
              <w:rPr>
                <w:rFonts w:ascii="Times New Roman" w:cs="Times New Roman" w:eastAsia="Times New Roman" w:hAnsi="Times New Roman"/>
                <w:b w:val="false"/>
                <w:bCs w:val="false"/>
                <w:sz w:val="20"/>
                <w:szCs w:val="20"/>
              </w:rPr>
              <w:t xml:space="preserve"> (µmol m</w:t>
            </w:r>
            <w:r>
              <w:rPr>
                <w:rFonts w:ascii="Times New Roman" w:cs="Times New Roman" w:eastAsia="Times New Roman" w:hAnsi="Times New Roman"/>
                <w:b w:val="false"/>
                <w:bCs w:val="false"/>
                <w:sz w:val="20"/>
                <w:szCs w:val="20"/>
                <w:vertAlign w:val="superscript"/>
              </w:rPr>
              <w:t xml:space="preserve">−2</w:t>
            </w:r>
            <w:r>
              <w:rPr>
                <w:rFonts w:ascii="Times New Roman" w:cs="Times New Roman" w:eastAsia="Times New Roman" w:hAnsi="Times New Roman"/>
                <w:b w:val="false"/>
                <w:bCs w:val="false"/>
                <w:sz w:val="20"/>
                <w:szCs w:val="20"/>
              </w:rPr>
              <w:t xml:space="preserve">)</w:t>
            </w:r>
          </w:p>
        </w:tc>
        <w:tc>
          <w:tcPr>
            <w:tcW w:type="dxa" w:w="12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0.0082</w:t>
            </w:r>
          </w:p>
        </w:tc>
        <w:tc>
          <w:tcPr>
            <w:tcW w:type="dxa" w:w="12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25.04</w:t>
            </w:r>
          </w:p>
        </w:tc>
        <w:tc>
          <w:tcPr>
            <w:tcW w:type="dxa" w:w="12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0.308</w:t>
            </w:r>
          </w:p>
        </w:tc>
        <w:tc>
          <w:tcPr>
            <w:tcW w:type="dxa" w:w="12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0.095</w:t>
            </w:r>
          </w:p>
        </w:tc>
      </w:tr>
      <w:tr>
        <w:trPr>
          <w:cantSplit/>
        </w:trPr>
        <w:tc>
          <w:tcPr>
            <w:tcW w:type="dxa" w:w="1300"/>
            <w:gridSpan w:val="1"/>
            <w:tcBorders>
              <w:top w:val="none" w:color="FFFFFF" w:sz="0"/>
              <w:left w:val="none" w:color="FFFFFF" w:sz="0"/>
              <w:bottom w:val="single" w:color="000000" w:sz="12"/>
              <w:right w:val="none" w:color="FFFFFF" w:sz="0"/>
            </w:tcBorders>
            <w:tcMar>
              <w:top w:type="dxa" w:w="40"/>
              <w:left w:type="dxa" w:w="60"/>
              <w:bottom w:type="dxa" w:w="40"/>
              <w:right w:type="dxa" w:w="60"/>
            </w:tcMar>
            <w:vAlign w:val="center"/>
          </w:tcPr>
          <w:p>
            <w:pPr>
              <w:keepNext w:val="false"/>
              <w:spacing w:after="0" w:line="240"/>
              <w:jc w:val="left"/>
            </w:pPr>
            <w:r>
              <w:rPr>
                <w:rFonts w:ascii="Times New Roman" w:cs="Times New Roman" w:eastAsia="Times New Roman" w:hAnsi="Times New Roman"/>
                <w:b w:val="false"/>
                <w:bCs w:val="false"/>
                <w:sz w:val="20"/>
                <w:szCs w:val="20"/>
              </w:rPr>
              <w:t xml:space="preserve">LST Night</w:t>
            </w:r>
          </w:p>
        </w:tc>
        <w:tc>
          <w:tcPr>
            <w:tcW w:type="dxa" w:w="2926"/>
            <w:gridSpan w:val="1"/>
            <w:tcBorders>
              <w:top w:val="none" w:color="FFFFFF" w:sz="0"/>
              <w:left w:val="none" w:color="FFFFFF" w:sz="0"/>
              <w:bottom w:val="single" w:color="000000" w:sz="12"/>
              <w:right w:val="none" w:color="FFFFFF" w:sz="0"/>
            </w:tcBorders>
            <w:tcMar>
              <w:top w:type="dxa" w:w="40"/>
              <w:left w:type="dxa" w:w="60"/>
              <w:bottom w:type="dxa" w:w="40"/>
              <w:right w:type="dxa" w:w="60"/>
            </w:tcMar>
            <w:vAlign w:val="center"/>
          </w:tcPr>
          <w:p>
            <w:pPr>
              <w:keepNext w:val="false"/>
              <w:spacing w:after="0" w:line="240"/>
              <w:jc w:val="left"/>
            </w:pPr>
            <w:r>
              <w:rPr>
                <w:rFonts w:ascii="Times New Roman" w:cs="Times New Roman" w:eastAsia="Times New Roman" w:hAnsi="Times New Roman"/>
                <w:b w:val="false"/>
                <w:bCs w:val="false"/>
                <w:sz w:val="20"/>
                <w:szCs w:val="20"/>
              </w:rPr>
              <w:t xml:space="preserve">SO</w:t>
            </w:r>
            <w:r>
              <w:rPr>
                <w:rFonts w:ascii="Times New Roman" w:cs="Times New Roman" w:eastAsia="Times New Roman" w:hAnsi="Times New Roman"/>
                <w:b w:val="false"/>
                <w:bCs w:val="false"/>
                <w:sz w:val="20"/>
                <w:szCs w:val="20"/>
                <w:vertAlign w:val="subscript"/>
              </w:rPr>
              <w:t xml:space="preserve">2</w:t>
            </w:r>
            <w:r>
              <w:rPr>
                <w:rFonts w:ascii="Times New Roman" w:cs="Times New Roman" w:eastAsia="Times New Roman" w:hAnsi="Times New Roman"/>
                <w:b w:val="false"/>
                <w:bCs w:val="false"/>
                <w:sz w:val="20"/>
                <w:szCs w:val="20"/>
              </w:rPr>
              <w:t xml:space="preserve"> (µmol m</w:t>
            </w:r>
            <w:r>
              <w:rPr>
                <w:rFonts w:ascii="Times New Roman" w:cs="Times New Roman" w:eastAsia="Times New Roman" w:hAnsi="Times New Roman"/>
                <w:b w:val="false"/>
                <w:bCs w:val="false"/>
                <w:sz w:val="20"/>
                <w:szCs w:val="20"/>
                <w:vertAlign w:val="superscript"/>
              </w:rPr>
              <w:t xml:space="preserve">−2</w:t>
            </w:r>
            <w:r>
              <w:rPr>
                <w:rFonts w:ascii="Times New Roman" w:cs="Times New Roman" w:eastAsia="Times New Roman" w:hAnsi="Times New Roman"/>
                <w:b w:val="false"/>
                <w:bCs w:val="false"/>
                <w:sz w:val="20"/>
                <w:szCs w:val="20"/>
              </w:rPr>
              <w:t xml:space="preserve">)</w:t>
            </w:r>
          </w:p>
        </w:tc>
        <w:tc>
          <w:tcPr>
            <w:tcW w:type="dxa" w:w="1200"/>
            <w:gridSpan w:val="1"/>
            <w:tcBorders>
              <w:top w:val="none" w:color="FFFFFF" w:sz="0"/>
              <w:left w:val="none" w:color="FFFFFF" w:sz="0"/>
              <w:bottom w:val="single" w:color="000000" w:sz="12"/>
              <w:right w:val="none" w:color="FFFFFF" w:sz="0"/>
            </w:tcBorders>
            <w:tcMar>
              <w:top w:type="dxa" w:w="40"/>
              <w:left w:type="dxa" w:w="60"/>
              <w:bottom w:type="dxa" w:w="40"/>
              <w:right w:type="dxa" w:w="60"/>
            </w:tcMar>
            <w:vAlign w:val="center"/>
          </w:tcPr>
          <w:p>
            <w:pPr>
              <w:keepNext w:val="false"/>
              <w:spacing w:after="0" w:line="240"/>
              <w:jc w:val="center"/>
            </w:pPr>
            <w:r>
              <w:rPr>
                <w:rFonts w:ascii="Times New Roman" w:cs="Times New Roman" w:eastAsia="Times New Roman" w:hAnsi="Times New Roman"/>
                <w:b w:val="false"/>
                <w:bCs w:val="false"/>
                <w:sz w:val="20"/>
                <w:szCs w:val="20"/>
              </w:rPr>
              <w:t xml:space="preserve">0.0066</w:t>
            </w:r>
          </w:p>
        </w:tc>
        <w:tc>
          <w:tcPr>
            <w:tcW w:type="dxa" w:w="1200"/>
            <w:gridSpan w:val="1"/>
            <w:tcBorders>
              <w:top w:val="none" w:color="FFFFFF" w:sz="0"/>
              <w:left w:val="none" w:color="FFFFFF" w:sz="0"/>
              <w:bottom w:val="single" w:color="000000" w:sz="12"/>
              <w:right w:val="none" w:color="FFFFFF" w:sz="0"/>
            </w:tcBorders>
            <w:tcMar>
              <w:top w:type="dxa" w:w="40"/>
              <w:left w:type="dxa" w:w="60"/>
              <w:bottom w:type="dxa" w:w="40"/>
              <w:right w:type="dxa" w:w="60"/>
            </w:tcMar>
            <w:vAlign w:val="center"/>
          </w:tcPr>
          <w:p>
            <w:pPr>
              <w:keepNext w:val="false"/>
              <w:spacing w:after="0" w:line="240"/>
              <w:jc w:val="center"/>
            </w:pPr>
            <w:r>
              <w:rPr>
                <w:rFonts w:ascii="Times New Roman" w:cs="Times New Roman" w:eastAsia="Times New Roman" w:hAnsi="Times New Roman"/>
                <w:b w:val="false"/>
                <w:bCs w:val="false"/>
                <w:sz w:val="20"/>
                <w:szCs w:val="20"/>
              </w:rPr>
              <w:t xml:space="preserve">19.36</w:t>
            </w:r>
          </w:p>
        </w:tc>
        <w:tc>
          <w:tcPr>
            <w:tcW w:type="dxa" w:w="1200"/>
            <w:gridSpan w:val="1"/>
            <w:tcBorders>
              <w:top w:val="none" w:color="FFFFFF" w:sz="0"/>
              <w:left w:val="none" w:color="FFFFFF" w:sz="0"/>
              <w:bottom w:val="single" w:color="000000" w:sz="12"/>
              <w:right w:val="none" w:color="FFFFFF" w:sz="0"/>
            </w:tcBorders>
            <w:tcMar>
              <w:top w:type="dxa" w:w="40"/>
              <w:left w:type="dxa" w:w="60"/>
              <w:bottom w:type="dxa" w:w="40"/>
              <w:right w:type="dxa" w:w="60"/>
            </w:tcMar>
            <w:vAlign w:val="center"/>
          </w:tcPr>
          <w:p>
            <w:pPr>
              <w:keepNext w:val="false"/>
              <w:spacing w:after="0" w:line="240"/>
              <w:jc w:val="center"/>
            </w:pPr>
            <w:r>
              <w:rPr>
                <w:rFonts w:ascii="Times New Roman" w:cs="Times New Roman" w:eastAsia="Times New Roman" w:hAnsi="Times New Roman"/>
                <w:b w:val="false"/>
                <w:bCs w:val="false"/>
                <w:sz w:val="20"/>
                <w:szCs w:val="20"/>
              </w:rPr>
              <w:t xml:space="preserve">0.224</w:t>
            </w:r>
          </w:p>
        </w:tc>
        <w:tc>
          <w:tcPr>
            <w:tcW w:type="dxa" w:w="1200"/>
            <w:gridSpan w:val="1"/>
            <w:tcBorders>
              <w:top w:val="none" w:color="FFFFFF" w:sz="0"/>
              <w:left w:val="none" w:color="FFFFFF" w:sz="0"/>
              <w:bottom w:val="single" w:color="000000" w:sz="12"/>
              <w:right w:val="none" w:color="FFFFFF" w:sz="0"/>
            </w:tcBorders>
            <w:tcMar>
              <w:top w:type="dxa" w:w="40"/>
              <w:left w:type="dxa" w:w="60"/>
              <w:bottom w:type="dxa" w:w="40"/>
              <w:right w:type="dxa" w:w="60"/>
            </w:tcMar>
            <w:vAlign w:val="center"/>
          </w:tcPr>
          <w:p>
            <w:pPr>
              <w:keepNext w:val="false"/>
              <w:spacing w:after="0" w:line="240"/>
              <w:jc w:val="center"/>
            </w:pPr>
            <w:r>
              <w:rPr>
                <w:rFonts w:ascii="Times New Roman" w:cs="Times New Roman" w:eastAsia="Times New Roman" w:hAnsi="Times New Roman"/>
                <w:b w:val="false"/>
                <w:bCs w:val="false"/>
                <w:sz w:val="20"/>
                <w:szCs w:val="20"/>
              </w:rPr>
              <w:t xml:space="preserve">0.050</w:t>
            </w:r>
          </w:p>
        </w:tc>
      </w:tr>
    </w:tbl>
    <w:p>
      <w:pPr>
        <w:spacing w:after="260" w:before="80" w:line="252"/>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All slopes are significant at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&lt; 0.001 except LST Night on NO</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0.047). Significance levels are overstated because of spatial autocorrelation.</w:t>
      </w:r>
    </w:p>
    <w:p>
      <w:pPr>
        <w:pStyle w:val="Heading2"/>
        <w:keepNext/>
        <w:spacing w:after="120" w:before="200" w:line="360"/>
      </w:pPr>
      <w:r>
        <w:rPr>
          <w:rFonts w:ascii="Times New Roman" w:cs="Times New Roman" w:eastAsia="Times New Roman" w:hAnsi="Times New Roman"/>
          <w:b/>
          <w:bCs/>
          <w:i/>
          <w:iCs/>
          <w:color w:val="000000"/>
          <w:sz w:val="24"/>
          <w:szCs w:val="24"/>
        </w:rPr>
        <w:t xml:space="preserve">4.7 Seasonal Correlation</w:t>
      </w:r>
    </w:p>
    <w:p>
      <w:pPr>
        <w:spacing w:after="160" w:line="360"/>
        <w:jc w:val="both"/>
      </w:pPr>
      <w:r>
        <w:rPr>
          <w:rFonts w:ascii="Times New Roman" w:cs="Times New Roman" w:eastAsia="Times New Roman" w:hAnsi="Times New Roman"/>
          <w:sz w:val="24"/>
          <w:szCs w:val="24"/>
        </w:rPr>
        <w:t xml:space="preserve">The relationships between LST and the pollutants were not stable through the year (Figure 14). In winter, daytime LST was negatively correlated with AOD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 −0.52), O</w:t>
      </w:r>
      <w:r>
        <w:rPr>
          <w:rFonts w:ascii="Times New Roman" w:cs="Times New Roman" w:eastAsia="Times New Roman" w:hAnsi="Times New Roman"/>
          <w:sz w:val="24"/>
          <w:szCs w:val="24"/>
          <w:vertAlign w:val="subscript"/>
        </w:rPr>
        <w:t xml:space="preserve">3</w:t>
      </w:r>
      <w:r>
        <w:rPr>
          <w:rFonts w:ascii="Times New Roman" w:cs="Times New Roman" w:eastAsia="Times New Roman" w:hAnsi="Times New Roman"/>
          <w:sz w:val="24"/>
          <w:szCs w:val="24"/>
        </w:rPr>
        <w:t xml:space="preserve"> (−0.50) and CO (−0.34), and positively with CH</w:t>
      </w:r>
      <w:r>
        <w:rPr>
          <w:rFonts w:ascii="Times New Roman" w:cs="Times New Roman" w:eastAsia="Times New Roman" w:hAnsi="Times New Roman"/>
          <w:sz w:val="24"/>
          <w:szCs w:val="24"/>
          <w:vertAlign w:val="subscript"/>
        </w:rPr>
        <w:t xml:space="preserve">4</w:t>
      </w:r>
      <w:r>
        <w:rPr>
          <w:rFonts w:ascii="Times New Roman" w:cs="Times New Roman" w:eastAsia="Times New Roman" w:hAnsi="Times New Roman"/>
          <w:sz w:val="24"/>
          <w:szCs w:val="24"/>
        </w:rPr>
        <w:t xml:space="preserve"> (0.34). In the pre-monsoon season, the correlations with AOD (−0.35) and O</w:t>
      </w:r>
      <w:r>
        <w:rPr>
          <w:rFonts w:ascii="Times New Roman" w:cs="Times New Roman" w:eastAsia="Times New Roman" w:hAnsi="Times New Roman"/>
          <w:sz w:val="24"/>
          <w:szCs w:val="24"/>
          <w:vertAlign w:val="subscript"/>
        </w:rPr>
        <w:t xml:space="preserve">3</w:t>
      </w:r>
      <w:r>
        <w:rPr>
          <w:rFonts w:ascii="Times New Roman" w:cs="Times New Roman" w:eastAsia="Times New Roman" w:hAnsi="Times New Roman"/>
          <w:sz w:val="24"/>
          <w:szCs w:val="24"/>
        </w:rPr>
        <w:t xml:space="preserve"> (−0.57) remained negative. During and after the monsoon the signs reversed: daytime LST was positively correlated with CO (0.51), HCHO (0.50), NO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(0.43), O</w:t>
      </w:r>
      <w:r>
        <w:rPr>
          <w:rFonts w:ascii="Times New Roman" w:cs="Times New Roman" w:eastAsia="Times New Roman" w:hAnsi="Times New Roman"/>
          <w:sz w:val="24"/>
          <w:szCs w:val="24"/>
          <w:vertAlign w:val="subscript"/>
        </w:rPr>
        <w:t xml:space="preserve">3</w:t>
      </w:r>
      <w:r>
        <w:rPr>
          <w:rFonts w:ascii="Times New Roman" w:cs="Times New Roman" w:eastAsia="Times New Roman" w:hAnsi="Times New Roman"/>
          <w:sz w:val="24"/>
          <w:szCs w:val="24"/>
        </w:rPr>
        <w:t xml:space="preserve"> (0.41) and AOD (0.29) in the monsoon, and with CH</w:t>
      </w:r>
      <w:r>
        <w:rPr>
          <w:rFonts w:ascii="Times New Roman" w:cs="Times New Roman" w:eastAsia="Times New Roman" w:hAnsi="Times New Roman"/>
          <w:sz w:val="24"/>
          <w:szCs w:val="24"/>
          <w:vertAlign w:val="subscript"/>
        </w:rPr>
        <w:t xml:space="preserve">4</w:t>
      </w:r>
      <w:r>
        <w:rPr>
          <w:rFonts w:ascii="Times New Roman" w:cs="Times New Roman" w:eastAsia="Times New Roman" w:hAnsi="Times New Roman"/>
          <w:sz w:val="24"/>
          <w:szCs w:val="24"/>
        </w:rPr>
        <w:t xml:space="preserve"> (0.58), NO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(0.51), HCHO (0.44) and CO (0.36) after the monsoon. Nighttime LST followed the same pattern, with strongly negative winter correlations with O</w:t>
      </w:r>
      <w:r>
        <w:rPr>
          <w:rFonts w:ascii="Times New Roman" w:cs="Times New Roman" w:eastAsia="Times New Roman" w:hAnsi="Times New Roman"/>
          <w:sz w:val="24"/>
          <w:szCs w:val="24"/>
          <w:vertAlign w:val="subscript"/>
        </w:rPr>
        <w:t xml:space="preserve">3</w:t>
      </w:r>
      <w:r>
        <w:rPr>
          <w:rFonts w:ascii="Times New Roman" w:cs="Times New Roman" w:eastAsia="Times New Roman" w:hAnsi="Times New Roman"/>
          <w:sz w:val="24"/>
          <w:szCs w:val="24"/>
        </w:rPr>
        <w:t xml:space="preserve"> (−0.56), AOD (−0.52) and UVAI (−0.52) and positive monsoon correlations with O</w:t>
      </w:r>
      <w:r>
        <w:rPr>
          <w:rFonts w:ascii="Times New Roman" w:cs="Times New Roman" w:eastAsia="Times New Roman" w:hAnsi="Times New Roman"/>
          <w:sz w:val="24"/>
          <w:szCs w:val="24"/>
          <w:vertAlign w:val="subscript"/>
        </w:rPr>
        <w:t xml:space="preserve">3</w:t>
      </w:r>
      <w:r>
        <w:rPr>
          <w:rFonts w:ascii="Times New Roman" w:cs="Times New Roman" w:eastAsia="Times New Roman" w:hAnsi="Times New Roman"/>
          <w:sz w:val="24"/>
          <w:szCs w:val="24"/>
        </w:rPr>
        <w:t xml:space="preserve"> (0.39), HCHO (0.38) and CO (0.32). The annual coefficients reported in Section 4.4 are therefore averages of opposing seasonal relationships.</w:t>
      </w:r>
    </w:p>
    <w:p>
      <w:pPr>
        <w:pStyle w:val="Heading2"/>
        <w:keepNext/>
        <w:spacing w:after="120" w:before="200" w:line="360"/>
      </w:pPr>
      <w:r>
        <w:rPr>
          <w:rFonts w:ascii="Times New Roman" w:cs="Times New Roman" w:eastAsia="Times New Roman" w:hAnsi="Times New Roman"/>
          <w:b/>
          <w:bCs/>
          <w:i/>
          <w:iCs/>
          <w:color w:val="000000"/>
          <w:sz w:val="24"/>
          <w:szCs w:val="24"/>
        </w:rPr>
        <w:t xml:space="preserve">4.8 Geographically Weighted Regression</w:t>
      </w:r>
    </w:p>
    <w:p>
      <w:pPr>
        <w:spacing w:after="160" w:line="360"/>
        <w:jc w:val="both"/>
      </w:pPr>
      <w:r>
        <w:rPr>
          <w:rFonts w:ascii="Times New Roman" w:cs="Times New Roman" w:eastAsia="Times New Roman" w:hAnsi="Times New Roman"/>
          <w:sz w:val="24"/>
          <w:szCs w:val="24"/>
        </w:rPr>
        <w:t xml:space="preserve">GWR performed much better than the corresponding global models (Table 7). The global OLS models explained 24.0% of the variance of daytime LST and 23.5% of that of nighttime LST. With an AICc-optimised adaptive bandwidth of 53 neighbouring cells, equivalent to a radius of about 22 km, GWR raised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to 0.913 and 0.925, respectively, and the mean local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was 0.64. The relationship between LST and the pollutants is therefore strongly non-stationary across Bangladesh.</w:t>
      </w:r>
    </w:p>
    <w:p>
      <w:pPr>
        <w:keepNext/>
        <w:spacing w:after="80" w:before="120"/>
        <w:jc w:val="center"/>
      </w:pPr>
      <w:r>
        <w:drawing>
          <wp:inline distT="0" distB="0" distL="0" distR="0">
            <wp:extent cx="5724525" cy="4572000"/>
            <wp:effectExtent t="0" r="0" b="0" l="0"/>
            <wp:docPr id="1" name="Figure 12" descr="Linear regression of annual daytime LST (red) and nighttime LST (blue) on each pollutant (n = 4,901 cells). Lines are ordinary least squares fits."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24525" cy="4572000"/>
                    </a:xfrm>
                    <a:prstGeom prst="rect">
                      <a:avLst/>
                    </a:prstGeom>
                  </pic:spPr>
                </pic:pic>
              </a:graphicData>
            </a:graphic>
          </wp:inline>
        </w:drawing>
      </w:r>
    </w:p>
    <w:p>
      <w:pPr>
        <w:keepLines/>
        <w:spacing w:after="240" w:line="276"/>
        <w:jc w:val="both"/>
      </w:pPr>
      <w:r>
        <w:rPr>
          <w:rFonts w:ascii="Times New Roman" w:cs="Times New Roman" w:eastAsia="Times New Roman" w:hAnsi="Times New Roman"/>
          <w:b/>
          <w:bCs/>
          <w:sz w:val="22"/>
          <w:szCs w:val="22"/>
        </w:rPr>
        <w:t xml:space="preserve">Figure 12. </w:t>
      </w:r>
      <w:r>
        <w:rPr>
          <w:rFonts w:ascii="Times New Roman" w:cs="Times New Roman" w:eastAsia="Times New Roman" w:hAnsi="Times New Roman"/>
          <w:sz w:val="22"/>
          <w:szCs w:val="22"/>
        </w:rPr>
        <w:t xml:space="preserve">Linear regression of annual daytime LST (red) and nighttime LST (blue) on each pollutant (</w:t>
      </w:r>
      <w:r>
        <w:rPr>
          <w:rFonts w:ascii="Times New Roman" w:cs="Times New Roman" w:eastAsia="Times New Roman" w:hAnsi="Times New Roman"/>
          <w:i/>
          <w:iCs/>
          <w:sz w:val="22"/>
          <w:szCs w:val="22"/>
        </w:rPr>
        <w:t xml:space="preserve">n</w:t>
      </w:r>
      <w:r>
        <w:rPr>
          <w:rFonts w:ascii="Times New Roman" w:cs="Times New Roman" w:eastAsia="Times New Roman" w:hAnsi="Times New Roman"/>
          <w:sz w:val="22"/>
          <w:szCs w:val="22"/>
        </w:rPr>
        <w:t xml:space="preserve"> = 4,901 cells). Lines are ordinary least squares fits.</w:t>
      </w:r>
    </w:p>
    <w:p>
      <w:pPr>
        <w:keepNext/>
        <w:spacing w:after="100" w:before="240" w:line="276"/>
        <w:jc w:val="left"/>
      </w:pPr>
      <w:r>
        <w:rPr>
          <w:rFonts w:ascii="Times New Roman" w:cs="Times New Roman" w:eastAsia="Times New Roman" w:hAnsi="Times New Roman"/>
          <w:b/>
          <w:bCs/>
          <w:sz w:val="22"/>
          <w:szCs w:val="22"/>
        </w:rPr>
        <w:t xml:space="preserve">Table 6. </w:t>
      </w:r>
      <w:r>
        <w:rPr>
          <w:rFonts w:ascii="Times New Roman" w:cs="Times New Roman" w:eastAsia="Times New Roman" w:hAnsi="Times New Roman"/>
          <w:sz w:val="22"/>
          <w:szCs w:val="22"/>
        </w:rPr>
        <w:t xml:space="preserve">Eigenvalues, explained variance and loadings of the first three principal components.</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026"/>
        <w:gridCol w:w="2000"/>
        <w:gridCol w:w="2000"/>
        <w:gridCol w:w="2000"/>
      </w:tblGrid>
      <w:tr>
        <w:trPr>
          <w:cantSplit/>
          <w:tblHeader/>
        </w:trPr>
        <w:tc>
          <w:tcPr>
            <w:tcW w:type="dxa" w:w="3026"/>
            <w:gridSpan w:val="1"/>
            <w:tcBorders>
              <w:top w:val="single" w:color="000000" w:sz="12"/>
              <w:left w:val="none" w:color="FFFFFF" w:sz="0"/>
              <w:bottom w:val="single" w:color="000000" w:sz="6"/>
              <w:right w:val="none" w:color="FFFFFF" w:sz="0"/>
            </w:tcBorders>
            <w:tcMar>
              <w:top w:type="dxa" w:w="40"/>
              <w:left w:type="dxa" w:w="60"/>
              <w:bottom w:type="dxa" w:w="40"/>
              <w:right w:type="dxa" w:w="60"/>
            </w:tcMar>
            <w:vAlign w:val="center"/>
          </w:tcPr>
          <w:p>
            <w:pPr>
              <w:keepNext/>
              <w:spacing w:after="0" w:line="240"/>
              <w:jc w:val="left"/>
            </w:pPr>
          </w:p>
        </w:tc>
        <w:tc>
          <w:tcPr>
            <w:tcW w:type="dxa" w:w="2000"/>
            <w:gridSpan w:val="1"/>
            <w:tcBorders>
              <w:top w:val="single" w:color="000000" w:sz="12"/>
              <w:left w:val="none" w:color="FFFFFF" w:sz="0"/>
              <w:bottom w:val="single" w:color="000000" w:sz="6"/>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sz w:val="20"/>
                <w:szCs w:val="20"/>
              </w:rPr>
              <w:t xml:space="preserve">PC1</w:t>
            </w:r>
          </w:p>
        </w:tc>
        <w:tc>
          <w:tcPr>
            <w:tcW w:type="dxa" w:w="2000"/>
            <w:gridSpan w:val="1"/>
            <w:tcBorders>
              <w:top w:val="single" w:color="000000" w:sz="12"/>
              <w:left w:val="none" w:color="FFFFFF" w:sz="0"/>
              <w:bottom w:val="single" w:color="000000" w:sz="6"/>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sz w:val="20"/>
                <w:szCs w:val="20"/>
              </w:rPr>
              <w:t xml:space="preserve">PC2</w:t>
            </w:r>
          </w:p>
        </w:tc>
        <w:tc>
          <w:tcPr>
            <w:tcW w:type="dxa" w:w="2000"/>
            <w:gridSpan w:val="1"/>
            <w:tcBorders>
              <w:top w:val="single" w:color="000000" w:sz="12"/>
              <w:left w:val="none" w:color="FFFFFF" w:sz="0"/>
              <w:bottom w:val="single" w:color="000000" w:sz="6"/>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sz w:val="20"/>
                <w:szCs w:val="20"/>
              </w:rPr>
              <w:t xml:space="preserve">PC3</w:t>
            </w:r>
          </w:p>
        </w:tc>
      </w:tr>
      <w:tr>
        <w:trPr>
          <w:cantSplit/>
        </w:trPr>
        <w:tc>
          <w:tcPr>
            <w:tcW w:type="dxa" w:w="30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Eigenvalue</w:t>
            </w:r>
          </w:p>
        </w:tc>
        <w:tc>
          <w:tcPr>
            <w:tcW w:type="dxa" w:w="20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4.28</w:t>
            </w:r>
          </w:p>
        </w:tc>
        <w:tc>
          <w:tcPr>
            <w:tcW w:type="dxa" w:w="20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1.92</w:t>
            </w:r>
          </w:p>
        </w:tc>
        <w:tc>
          <w:tcPr>
            <w:tcW w:type="dxa" w:w="20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1.30</w:t>
            </w:r>
          </w:p>
        </w:tc>
      </w:tr>
      <w:tr>
        <w:trPr>
          <w:cantSplit/>
        </w:trPr>
        <w:tc>
          <w:tcPr>
            <w:tcW w:type="dxa" w:w="30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Variance explained (%)</w:t>
            </w:r>
          </w:p>
        </w:tc>
        <w:tc>
          <w:tcPr>
            <w:tcW w:type="dxa" w:w="20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42.8</w:t>
            </w:r>
          </w:p>
        </w:tc>
        <w:tc>
          <w:tcPr>
            <w:tcW w:type="dxa" w:w="20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19.2</w:t>
            </w:r>
          </w:p>
        </w:tc>
        <w:tc>
          <w:tcPr>
            <w:tcW w:type="dxa" w:w="20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13.0</w:t>
            </w:r>
          </w:p>
        </w:tc>
      </w:tr>
      <w:tr>
        <w:trPr>
          <w:cantSplit/>
        </w:trPr>
        <w:tc>
          <w:tcPr>
            <w:tcW w:type="dxa" w:w="30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Cumulative variance (%)</w:t>
            </w:r>
          </w:p>
        </w:tc>
        <w:tc>
          <w:tcPr>
            <w:tcW w:type="dxa" w:w="20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42.8</w:t>
            </w:r>
          </w:p>
        </w:tc>
        <w:tc>
          <w:tcPr>
            <w:tcW w:type="dxa" w:w="20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61.9</w:t>
            </w:r>
          </w:p>
        </w:tc>
        <w:tc>
          <w:tcPr>
            <w:tcW w:type="dxa" w:w="20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74.9</w:t>
            </w:r>
          </w:p>
        </w:tc>
      </w:tr>
      <w:tr>
        <w:trPr>
          <w:cantSplit/>
        </w:trPr>
        <w:tc>
          <w:tcPr>
            <w:tcW w:type="dxa" w:w="30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LST Day</w:t>
            </w:r>
          </w:p>
        </w:tc>
        <w:tc>
          <w:tcPr>
            <w:tcW w:type="dxa" w:w="20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0.41</w:t>
            </w:r>
          </w:p>
        </w:tc>
        <w:tc>
          <w:tcPr>
            <w:tcW w:type="dxa" w:w="20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bCs/>
                <w:sz w:val="20"/>
                <w:szCs w:val="20"/>
              </w:rPr>
              <w:t xml:space="preserve">−0.51</w:t>
            </w:r>
          </w:p>
        </w:tc>
        <w:tc>
          <w:tcPr>
            <w:tcW w:type="dxa" w:w="20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−0.35</w:t>
            </w:r>
          </w:p>
        </w:tc>
      </w:tr>
      <w:tr>
        <w:trPr>
          <w:cantSplit/>
        </w:trPr>
        <w:tc>
          <w:tcPr>
            <w:tcW w:type="dxa" w:w="30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LST Night</w:t>
            </w:r>
          </w:p>
        </w:tc>
        <w:tc>
          <w:tcPr>
            <w:tcW w:type="dxa" w:w="20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−0.21</w:t>
            </w:r>
          </w:p>
        </w:tc>
        <w:tc>
          <w:tcPr>
            <w:tcW w:type="dxa" w:w="20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bCs/>
                <w:sz w:val="20"/>
                <w:szCs w:val="20"/>
              </w:rPr>
              <w:t xml:space="preserve">−0.58</w:t>
            </w:r>
          </w:p>
        </w:tc>
        <w:tc>
          <w:tcPr>
            <w:tcW w:type="dxa" w:w="20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0.42</w:t>
            </w:r>
          </w:p>
        </w:tc>
      </w:tr>
      <w:tr>
        <w:trPr>
          <w:cantSplit/>
        </w:trPr>
        <w:tc>
          <w:tcPr>
            <w:tcW w:type="dxa" w:w="30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AOD</w:t>
            </w:r>
          </w:p>
        </w:tc>
        <w:tc>
          <w:tcPr>
            <w:tcW w:type="dxa" w:w="20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bCs/>
                <w:sz w:val="20"/>
                <w:szCs w:val="20"/>
              </w:rPr>
              <w:t xml:space="preserve">0.81</w:t>
            </w:r>
          </w:p>
        </w:tc>
        <w:tc>
          <w:tcPr>
            <w:tcW w:type="dxa" w:w="20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0.26</w:t>
            </w:r>
          </w:p>
        </w:tc>
        <w:tc>
          <w:tcPr>
            <w:tcW w:type="dxa" w:w="20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0.43</w:t>
            </w:r>
          </w:p>
        </w:tc>
      </w:tr>
      <w:tr>
        <w:trPr>
          <w:cantSplit/>
        </w:trPr>
        <w:tc>
          <w:tcPr>
            <w:tcW w:type="dxa" w:w="30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UVAI</w:t>
            </w:r>
          </w:p>
        </w:tc>
        <w:tc>
          <w:tcPr>
            <w:tcW w:type="dxa" w:w="20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bCs/>
                <w:sz w:val="20"/>
                <w:szCs w:val="20"/>
              </w:rPr>
              <w:t xml:space="preserve">0.78</w:t>
            </w:r>
          </w:p>
        </w:tc>
        <w:tc>
          <w:tcPr>
            <w:tcW w:type="dxa" w:w="20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0.35</w:t>
            </w:r>
          </w:p>
        </w:tc>
        <w:tc>
          <w:tcPr>
            <w:tcW w:type="dxa" w:w="20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−0.10</w:t>
            </w:r>
          </w:p>
        </w:tc>
      </w:tr>
      <w:tr>
        <w:trPr>
          <w:cantSplit/>
        </w:trPr>
        <w:tc>
          <w:tcPr>
            <w:tcW w:type="dxa" w:w="30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CH</w:t>
            </w:r>
            <w:r>
              <w:rPr>
                <w:rFonts w:ascii="Times New Roman" w:cs="Times New Roman" w:eastAsia="Times New Roman" w:hAnsi="Times New Roman"/>
                <w:b w:val="false"/>
                <w:bCs w:val="false"/>
                <w:sz w:val="20"/>
                <w:szCs w:val="20"/>
                <w:vertAlign w:val="subscript"/>
              </w:rPr>
              <w:t xml:space="preserve">4</w:t>
            </w:r>
          </w:p>
        </w:tc>
        <w:tc>
          <w:tcPr>
            <w:tcW w:type="dxa" w:w="20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bCs/>
                <w:sz w:val="20"/>
                <w:szCs w:val="20"/>
              </w:rPr>
              <w:t xml:space="preserve">0.70</w:t>
            </w:r>
          </w:p>
        </w:tc>
        <w:tc>
          <w:tcPr>
            <w:tcW w:type="dxa" w:w="20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−0.24</w:t>
            </w:r>
          </w:p>
        </w:tc>
        <w:tc>
          <w:tcPr>
            <w:tcW w:type="dxa" w:w="20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−0.47</w:t>
            </w:r>
          </w:p>
        </w:tc>
      </w:tr>
      <w:tr>
        <w:trPr>
          <w:cantSplit/>
        </w:trPr>
        <w:tc>
          <w:tcPr>
            <w:tcW w:type="dxa" w:w="30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HCHO</w:t>
            </w:r>
          </w:p>
        </w:tc>
        <w:tc>
          <w:tcPr>
            <w:tcW w:type="dxa" w:w="20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bCs/>
                <w:sz w:val="20"/>
                <w:szCs w:val="20"/>
              </w:rPr>
              <w:t xml:space="preserve">0.85</w:t>
            </w:r>
          </w:p>
        </w:tc>
        <w:tc>
          <w:tcPr>
            <w:tcW w:type="dxa" w:w="20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−0.03</w:t>
            </w:r>
          </w:p>
        </w:tc>
        <w:tc>
          <w:tcPr>
            <w:tcW w:type="dxa" w:w="20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−0.13</w:t>
            </w:r>
          </w:p>
        </w:tc>
      </w:tr>
      <w:tr>
        <w:trPr>
          <w:cantSplit/>
        </w:trPr>
        <w:tc>
          <w:tcPr>
            <w:tcW w:type="dxa" w:w="30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O</w:t>
            </w:r>
            <w:r>
              <w:rPr>
                <w:rFonts w:ascii="Times New Roman" w:cs="Times New Roman" w:eastAsia="Times New Roman" w:hAnsi="Times New Roman"/>
                <w:b w:val="false"/>
                <w:bCs w:val="false"/>
                <w:sz w:val="20"/>
                <w:szCs w:val="20"/>
                <w:vertAlign w:val="subscript"/>
              </w:rPr>
              <w:t xml:space="preserve">3</w:t>
            </w:r>
          </w:p>
        </w:tc>
        <w:tc>
          <w:tcPr>
            <w:tcW w:type="dxa" w:w="20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bCs/>
                <w:sz w:val="20"/>
                <w:szCs w:val="20"/>
              </w:rPr>
              <w:t xml:space="preserve">0.65</w:t>
            </w:r>
          </w:p>
        </w:tc>
        <w:tc>
          <w:tcPr>
            <w:tcW w:type="dxa" w:w="20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bCs/>
                <w:sz w:val="20"/>
                <w:szCs w:val="20"/>
              </w:rPr>
              <w:t xml:space="preserve">0.68</w:t>
            </w:r>
          </w:p>
        </w:tc>
        <w:tc>
          <w:tcPr>
            <w:tcW w:type="dxa" w:w="20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0.07</w:t>
            </w:r>
          </w:p>
        </w:tc>
      </w:tr>
      <w:tr>
        <w:trPr>
          <w:cantSplit/>
        </w:trPr>
        <w:tc>
          <w:tcPr>
            <w:tcW w:type="dxa" w:w="30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NO</w:t>
            </w:r>
            <w:r>
              <w:rPr>
                <w:rFonts w:ascii="Times New Roman" w:cs="Times New Roman" w:eastAsia="Times New Roman" w:hAnsi="Times New Roman"/>
                <w:b w:val="false"/>
                <w:bCs w:val="false"/>
                <w:sz w:val="20"/>
                <w:szCs w:val="20"/>
                <w:vertAlign w:val="subscript"/>
              </w:rPr>
              <w:t xml:space="preserve">2</w:t>
            </w:r>
          </w:p>
        </w:tc>
        <w:tc>
          <w:tcPr>
            <w:tcW w:type="dxa" w:w="20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bCs/>
                <w:sz w:val="20"/>
                <w:szCs w:val="20"/>
              </w:rPr>
              <w:t xml:space="preserve">0.61</w:t>
            </w:r>
          </w:p>
        </w:tc>
        <w:tc>
          <w:tcPr>
            <w:tcW w:type="dxa" w:w="20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−0.47</w:t>
            </w:r>
          </w:p>
        </w:tc>
        <w:tc>
          <w:tcPr>
            <w:tcW w:type="dxa" w:w="20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−0.35</w:t>
            </w:r>
          </w:p>
        </w:tc>
      </w:tr>
      <w:tr>
        <w:trPr>
          <w:cantSplit/>
        </w:trPr>
        <w:tc>
          <w:tcPr>
            <w:tcW w:type="dxa" w:w="30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CO</w:t>
            </w:r>
          </w:p>
        </w:tc>
        <w:tc>
          <w:tcPr>
            <w:tcW w:type="dxa" w:w="20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bCs/>
                <w:sz w:val="20"/>
                <w:szCs w:val="20"/>
              </w:rPr>
              <w:t xml:space="preserve">0.78</w:t>
            </w:r>
          </w:p>
        </w:tc>
        <w:tc>
          <w:tcPr>
            <w:tcW w:type="dxa" w:w="20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−0.12</w:t>
            </w:r>
          </w:p>
        </w:tc>
        <w:tc>
          <w:tcPr>
            <w:tcW w:type="dxa" w:w="20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0.49</w:t>
            </w:r>
          </w:p>
        </w:tc>
      </w:tr>
      <w:tr>
        <w:trPr>
          <w:cantSplit/>
        </w:trPr>
        <w:tc>
          <w:tcPr>
            <w:tcW w:type="dxa" w:w="3026"/>
            <w:gridSpan w:val="1"/>
            <w:tcBorders>
              <w:top w:val="none" w:color="FFFFFF" w:sz="0"/>
              <w:left w:val="none" w:color="FFFFFF" w:sz="0"/>
              <w:bottom w:val="single" w:color="000000" w:sz="12"/>
              <w:right w:val="none" w:color="FFFFFF" w:sz="0"/>
            </w:tcBorders>
            <w:tcMar>
              <w:top w:type="dxa" w:w="40"/>
              <w:left w:type="dxa" w:w="60"/>
              <w:bottom w:type="dxa" w:w="40"/>
              <w:right w:type="dxa" w:w="60"/>
            </w:tcMar>
            <w:vAlign w:val="center"/>
          </w:tcPr>
          <w:p>
            <w:pPr>
              <w:keepNext w:val="false"/>
              <w:spacing w:after="0" w:line="240"/>
              <w:jc w:val="left"/>
            </w:pPr>
            <w:r>
              <w:rPr>
                <w:rFonts w:ascii="Times New Roman" w:cs="Times New Roman" w:eastAsia="Times New Roman" w:hAnsi="Times New Roman"/>
                <w:b w:val="false"/>
                <w:bCs w:val="false"/>
                <w:sz w:val="20"/>
                <w:szCs w:val="20"/>
              </w:rPr>
              <w:t xml:space="preserve">SO</w:t>
            </w:r>
            <w:r>
              <w:rPr>
                <w:rFonts w:ascii="Times New Roman" w:cs="Times New Roman" w:eastAsia="Times New Roman" w:hAnsi="Times New Roman"/>
                <w:b w:val="false"/>
                <w:bCs w:val="false"/>
                <w:sz w:val="20"/>
                <w:szCs w:val="20"/>
                <w:vertAlign w:val="subscript"/>
              </w:rPr>
              <w:t xml:space="preserve">2</w:t>
            </w:r>
          </w:p>
        </w:tc>
        <w:tc>
          <w:tcPr>
            <w:tcW w:type="dxa" w:w="2000"/>
            <w:gridSpan w:val="1"/>
            <w:tcBorders>
              <w:top w:val="none" w:color="FFFFFF" w:sz="0"/>
              <w:left w:val="none" w:color="FFFFFF" w:sz="0"/>
              <w:bottom w:val="single" w:color="000000" w:sz="12"/>
              <w:right w:val="none" w:color="FFFFFF" w:sz="0"/>
            </w:tcBorders>
            <w:tcMar>
              <w:top w:type="dxa" w:w="40"/>
              <w:left w:type="dxa" w:w="60"/>
              <w:bottom w:type="dxa" w:w="40"/>
              <w:right w:type="dxa" w:w="60"/>
            </w:tcMar>
            <w:vAlign w:val="center"/>
          </w:tcPr>
          <w:p>
            <w:pPr>
              <w:keepNext w:val="false"/>
              <w:spacing w:after="0" w:line="240"/>
              <w:jc w:val="center"/>
            </w:pPr>
            <w:r>
              <w:rPr>
                <w:rFonts w:ascii="Times New Roman" w:cs="Times New Roman" w:eastAsia="Times New Roman" w:hAnsi="Times New Roman"/>
                <w:b w:val="false"/>
                <w:bCs w:val="false"/>
                <w:sz w:val="20"/>
                <w:szCs w:val="20"/>
              </w:rPr>
              <w:t xml:space="preserve">0.41</w:t>
            </w:r>
          </w:p>
        </w:tc>
        <w:tc>
          <w:tcPr>
            <w:tcW w:type="dxa" w:w="2000"/>
            <w:gridSpan w:val="1"/>
            <w:tcBorders>
              <w:top w:val="none" w:color="FFFFFF" w:sz="0"/>
              <w:left w:val="none" w:color="FFFFFF" w:sz="0"/>
              <w:bottom w:val="single" w:color="000000" w:sz="12"/>
              <w:right w:val="none" w:color="FFFFFF" w:sz="0"/>
            </w:tcBorders>
            <w:tcMar>
              <w:top w:type="dxa" w:w="40"/>
              <w:left w:type="dxa" w:w="60"/>
              <w:bottom w:type="dxa" w:w="40"/>
              <w:right w:type="dxa" w:w="60"/>
            </w:tcMar>
            <w:vAlign w:val="center"/>
          </w:tcPr>
          <w:p>
            <w:pPr>
              <w:keepNext w:val="false"/>
              <w:spacing w:after="0" w:line="240"/>
              <w:jc w:val="center"/>
            </w:pPr>
            <w:r>
              <w:rPr>
                <w:rFonts w:ascii="Times New Roman" w:cs="Times New Roman" w:eastAsia="Times New Roman" w:hAnsi="Times New Roman"/>
                <w:b/>
                <w:bCs/>
                <w:sz w:val="20"/>
                <w:szCs w:val="20"/>
              </w:rPr>
              <w:t xml:space="preserve">−0.62</w:t>
            </w:r>
          </w:p>
        </w:tc>
        <w:tc>
          <w:tcPr>
            <w:tcW w:type="dxa" w:w="2000"/>
            <w:gridSpan w:val="1"/>
            <w:tcBorders>
              <w:top w:val="none" w:color="FFFFFF" w:sz="0"/>
              <w:left w:val="none" w:color="FFFFFF" w:sz="0"/>
              <w:bottom w:val="single" w:color="000000" w:sz="12"/>
              <w:right w:val="none" w:color="FFFFFF" w:sz="0"/>
            </w:tcBorders>
            <w:tcMar>
              <w:top w:type="dxa" w:w="40"/>
              <w:left w:type="dxa" w:w="60"/>
              <w:bottom w:type="dxa" w:w="40"/>
              <w:right w:type="dxa" w:w="60"/>
            </w:tcMar>
            <w:vAlign w:val="center"/>
          </w:tcPr>
          <w:p>
            <w:pPr>
              <w:keepNext w:val="false"/>
              <w:spacing w:after="0" w:line="240"/>
              <w:jc w:val="center"/>
            </w:pPr>
            <w:r>
              <w:rPr>
                <w:rFonts w:ascii="Times New Roman" w:cs="Times New Roman" w:eastAsia="Times New Roman" w:hAnsi="Times New Roman"/>
                <w:b w:val="false"/>
                <w:bCs w:val="false"/>
                <w:sz w:val="20"/>
                <w:szCs w:val="20"/>
              </w:rPr>
              <w:t xml:space="preserve">0.45</w:t>
            </w:r>
          </w:p>
        </w:tc>
      </w:tr>
    </w:tbl>
    <w:p>
      <w:pPr>
        <w:spacing w:after="260" w:before="80" w:line="252"/>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Loadings are correlations between the variables and the components. Loadings with an absolute value of 0.50 or more are in bold.</w:t>
      </w:r>
    </w:p>
    <w:p>
      <w:pPr>
        <w:keepNext/>
        <w:spacing w:after="80" w:before="120"/>
        <w:jc w:val="center"/>
      </w:pPr>
      <w:r>
        <w:drawing>
          <wp:inline distT="0" distB="0" distL="0" distR="0">
            <wp:extent cx="5724525" cy="2381250"/>
            <wp:effectExtent t="0" r="0" b="0" l="0"/>
            <wp:docPr id="1" name="Figure 13" descr="Principal component analysis of ten standardised annual variables: (a) explained and cumulative variance and (b) biplot of the first two components, with variable loadings shown as arrows and cell scores as grey points."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24525" cy="2381250"/>
                    </a:xfrm>
                    <a:prstGeom prst="rect">
                      <a:avLst/>
                    </a:prstGeom>
                  </pic:spPr>
                </pic:pic>
              </a:graphicData>
            </a:graphic>
          </wp:inline>
        </w:drawing>
      </w:r>
    </w:p>
    <w:p>
      <w:pPr>
        <w:keepLines/>
        <w:spacing w:after="240" w:line="276"/>
        <w:jc w:val="both"/>
      </w:pPr>
      <w:r>
        <w:rPr>
          <w:rFonts w:ascii="Times New Roman" w:cs="Times New Roman" w:eastAsia="Times New Roman" w:hAnsi="Times New Roman"/>
          <w:b/>
          <w:bCs/>
          <w:sz w:val="22"/>
          <w:szCs w:val="22"/>
        </w:rPr>
        <w:t xml:space="preserve">Figure 13. </w:t>
      </w:r>
      <w:r>
        <w:rPr>
          <w:rFonts w:ascii="Times New Roman" w:cs="Times New Roman" w:eastAsia="Times New Roman" w:hAnsi="Times New Roman"/>
          <w:sz w:val="22"/>
          <w:szCs w:val="22"/>
        </w:rPr>
        <w:t xml:space="preserve">Principal component analysis of ten standardised annual variables: (a) explained and cumulative variance and (b) biplot of the first two components, with variable loadings shown as arrows and cell scores as grey points.</w:t>
      </w:r>
    </w:p>
    <w:p>
      <w:pPr>
        <w:keepNext/>
        <w:spacing w:after="80" w:before="120"/>
        <w:jc w:val="center"/>
      </w:pPr>
      <w:r>
        <w:drawing>
          <wp:inline distT="0" distB="0" distL="0" distR="0">
            <wp:extent cx="5724525" cy="3181350"/>
            <wp:effectExtent t="0" r="0" b="0" l="0"/>
            <wp:docPr id="1" name="Figure 14" descr="Seasonal Pearson correlation between LST and the atmospheric variables on the 0.05° grid in 2025.  p &lt; 0.05.  p &lt; 0.01.  p &lt; 0.001."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24525" cy="3181350"/>
                    </a:xfrm>
                    <a:prstGeom prst="rect">
                      <a:avLst/>
                    </a:prstGeom>
                  </pic:spPr>
                </pic:pic>
              </a:graphicData>
            </a:graphic>
          </wp:inline>
        </w:drawing>
      </w:r>
    </w:p>
    <w:p>
      <w:pPr>
        <w:keepLines/>
        <w:spacing w:after="240" w:line="276"/>
        <w:jc w:val="both"/>
      </w:pPr>
      <w:r>
        <w:rPr>
          <w:rFonts w:ascii="Times New Roman" w:cs="Times New Roman" w:eastAsia="Times New Roman" w:hAnsi="Times New Roman"/>
          <w:b/>
          <w:bCs/>
          <w:sz w:val="22"/>
          <w:szCs w:val="22"/>
        </w:rPr>
        <w:t xml:space="preserve">Figure 14. </w:t>
      </w:r>
      <w:r>
        <w:rPr>
          <w:rFonts w:ascii="Times New Roman" w:cs="Times New Roman" w:eastAsia="Times New Roman" w:hAnsi="Times New Roman"/>
          <w:sz w:val="22"/>
          <w:szCs w:val="22"/>
        </w:rPr>
        <w:t xml:space="preserve">Seasonal Pearson correlation between LST and the atmospheric variables on the 0.05° grid in 2025. *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&lt; 0.05. **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&lt; 0.01. ***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&lt; 0.001.</w:t>
      </w:r>
    </w:p>
    <w:p>
      <w:pPr>
        <w:keepNext/>
        <w:spacing w:after="100" w:before="240" w:line="276"/>
        <w:jc w:val="left"/>
      </w:pPr>
      <w:r>
        <w:rPr>
          <w:rFonts w:ascii="Times New Roman" w:cs="Times New Roman" w:eastAsia="Times New Roman" w:hAnsi="Times New Roman"/>
          <w:b/>
          <w:bCs/>
          <w:sz w:val="22"/>
          <w:szCs w:val="22"/>
        </w:rPr>
        <w:t xml:space="preserve">Table 7. </w:t>
      </w:r>
      <w:r>
        <w:rPr>
          <w:rFonts w:ascii="Times New Roman" w:cs="Times New Roman" w:eastAsia="Times New Roman" w:hAnsi="Times New Roman"/>
          <w:sz w:val="22"/>
          <w:szCs w:val="22"/>
        </w:rPr>
        <w:t xml:space="preserve">Comparison of the global ordinary least squares (OLS) models and the geographically weighted regression (GWR) models (</w:t>
      </w:r>
      <w:r>
        <w:rPr>
          <w:rFonts w:ascii="Times New Roman" w:cs="Times New Roman" w:eastAsia="Times New Roman" w:hAnsi="Times New Roman"/>
          <w:i/>
          <w:iCs/>
          <w:sz w:val="22"/>
          <w:szCs w:val="22"/>
        </w:rPr>
        <w:t xml:space="preserve">n</w:t>
      </w:r>
      <w:r>
        <w:rPr>
          <w:rFonts w:ascii="Times New Roman" w:cs="Times New Roman" w:eastAsia="Times New Roman" w:hAnsi="Times New Roman"/>
          <w:sz w:val="22"/>
          <w:szCs w:val="22"/>
        </w:rPr>
        <w:t xml:space="preserve"> = 4,901).</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1300"/>
        <w:gridCol w:w="1100"/>
        <w:gridCol w:w="1000"/>
        <w:gridCol w:w="1000"/>
        <w:gridCol w:w="1026"/>
        <w:gridCol w:w="1100"/>
        <w:gridCol w:w="1000"/>
      </w:tblGrid>
      <w:tr>
        <w:trPr>
          <w:cantSplit/>
          <w:tblHeader/>
        </w:trPr>
        <w:tc>
          <w:tcPr>
            <w:tcW w:type="dxa" w:w="1500"/>
            <w:gridSpan w:val="1"/>
            <w:tcBorders>
              <w:top w:val="single" w:color="000000" w:sz="12"/>
              <w:left w:val="none" w:color="FFFFFF" w:sz="0"/>
              <w:bottom w:val="single" w:color="000000" w:sz="6"/>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sz w:val="20"/>
                <w:szCs w:val="20"/>
              </w:rPr>
              <w:t xml:space="preserve">Model</w:t>
            </w:r>
          </w:p>
        </w:tc>
        <w:tc>
          <w:tcPr>
            <w:tcW w:type="dxa" w:w="1300"/>
            <w:gridSpan w:val="1"/>
            <w:tcBorders>
              <w:top w:val="single" w:color="000000" w:sz="12"/>
              <w:left w:val="none" w:color="FFFFFF" w:sz="0"/>
              <w:bottom w:val="single" w:color="000000" w:sz="6"/>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sz w:val="20"/>
                <w:szCs w:val="20"/>
              </w:rPr>
              <w:t xml:space="preserve">Response</w:t>
            </w:r>
          </w:p>
        </w:tc>
        <w:tc>
          <w:tcPr>
            <w:tcW w:type="dxa" w:w="1100"/>
            <w:gridSpan w:val="1"/>
            <w:tcBorders>
              <w:top w:val="single" w:color="000000" w:sz="12"/>
              <w:left w:val="none" w:color="FFFFFF" w:sz="0"/>
              <w:bottom w:val="single" w:color="000000" w:sz="6"/>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sz w:val="20"/>
                <w:szCs w:val="20"/>
              </w:rPr>
              <w:t xml:space="preserve">Bandwidth (cells)</w:t>
            </w:r>
          </w:p>
        </w:tc>
        <w:tc>
          <w:tcPr>
            <w:tcW w:type="dxa" w:w="1000"/>
            <w:gridSpan w:val="1"/>
            <w:tcBorders>
              <w:top w:val="single" w:color="000000" w:sz="12"/>
              <w:left w:val="none" w:color="FFFFFF" w:sz="0"/>
              <w:bottom w:val="single" w:color="000000" w:sz="6"/>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sz w:val="20"/>
                <w:szCs w:val="20"/>
              </w:rPr>
              <w:t xml:space="preserve">OLS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vertAlign w:val="superscript"/>
              </w:rPr>
              <w:t xml:space="preserve">2</w:t>
            </w:r>
          </w:p>
        </w:tc>
        <w:tc>
          <w:tcPr>
            <w:tcW w:type="dxa" w:w="1000"/>
            <w:gridSpan w:val="1"/>
            <w:tcBorders>
              <w:top w:val="single" w:color="000000" w:sz="12"/>
              <w:left w:val="none" w:color="FFFFFF" w:sz="0"/>
              <w:bottom w:val="single" w:color="000000" w:sz="6"/>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sz w:val="20"/>
                <w:szCs w:val="20"/>
              </w:rPr>
              <w:t xml:space="preserve">GWR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vertAlign w:val="superscript"/>
              </w:rPr>
              <w:t xml:space="preserve">2</w:t>
            </w:r>
          </w:p>
        </w:tc>
        <w:tc>
          <w:tcPr>
            <w:tcW w:type="dxa" w:w="1026"/>
            <w:gridSpan w:val="1"/>
            <w:tcBorders>
              <w:top w:val="single" w:color="000000" w:sz="12"/>
              <w:left w:val="none" w:color="FFFFFF" w:sz="0"/>
              <w:bottom w:val="single" w:color="000000" w:sz="6"/>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sz w:val="20"/>
                <w:szCs w:val="20"/>
              </w:rPr>
              <w:t xml:space="preserve">GWR adj.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vertAlign w:val="superscript"/>
              </w:rPr>
              <w:t xml:space="preserve">2</w:t>
            </w:r>
          </w:p>
        </w:tc>
        <w:tc>
          <w:tcPr>
            <w:tcW w:type="dxa" w:w="1100"/>
            <w:gridSpan w:val="1"/>
            <w:tcBorders>
              <w:top w:val="single" w:color="000000" w:sz="12"/>
              <w:left w:val="none" w:color="FFFFFF" w:sz="0"/>
              <w:bottom w:val="single" w:color="000000" w:sz="6"/>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sz w:val="20"/>
                <w:szCs w:val="20"/>
              </w:rPr>
              <w:t xml:space="preserve">AICc</w:t>
            </w:r>
          </w:p>
        </w:tc>
        <w:tc>
          <w:tcPr>
            <w:tcW w:type="dxa" w:w="1000"/>
            <w:gridSpan w:val="1"/>
            <w:tcBorders>
              <w:top w:val="single" w:color="000000" w:sz="12"/>
              <w:left w:val="none" w:color="FFFFFF" w:sz="0"/>
              <w:bottom w:val="single" w:color="000000" w:sz="6"/>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sz w:val="20"/>
                <w:szCs w:val="20"/>
              </w:rPr>
              <w:t xml:space="preserve">Mean local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vertAlign w:val="superscript"/>
              </w:rPr>
              <w:t xml:space="preserve">2</w:t>
            </w:r>
          </w:p>
        </w:tc>
      </w:tr>
      <w:tr>
        <w:trPr>
          <w:cantSplit/>
        </w:trPr>
        <w:tc>
          <w:tcPr>
            <w:tcW w:type="dxa" w:w="15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Main (AOD)</w:t>
            </w:r>
          </w:p>
        </w:tc>
        <w:tc>
          <w:tcPr>
            <w:tcW w:type="dxa" w:w="13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LST Day</w:t>
            </w:r>
          </w:p>
        </w:tc>
        <w:tc>
          <w:tcPr>
            <w:tcW w:type="dxa" w:w="11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53</w:t>
            </w:r>
          </w:p>
        </w:tc>
        <w:tc>
          <w:tcPr>
            <w:tcW w:type="dxa" w:w="10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0.240</w:t>
            </w:r>
          </w:p>
        </w:tc>
        <w:tc>
          <w:tcPr>
            <w:tcW w:type="dxa" w:w="10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0.913</w:t>
            </w:r>
          </w:p>
        </w:tc>
        <w:tc>
          <w:tcPr>
            <w:tcW w:type="dxa" w:w="10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0.890</w:t>
            </w:r>
          </w:p>
        </w:tc>
        <w:tc>
          <w:tcPr>
            <w:tcW w:type="dxa" w:w="11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4583.7</w:t>
            </w:r>
          </w:p>
        </w:tc>
        <w:tc>
          <w:tcPr>
            <w:tcW w:type="dxa" w:w="10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0.64</w:t>
            </w:r>
          </w:p>
        </w:tc>
      </w:tr>
      <w:tr>
        <w:trPr>
          <w:cantSplit/>
        </w:trPr>
        <w:tc>
          <w:tcPr>
            <w:tcW w:type="dxa" w:w="15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Main (AOD)</w:t>
            </w:r>
          </w:p>
        </w:tc>
        <w:tc>
          <w:tcPr>
            <w:tcW w:type="dxa" w:w="13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LST Night</w:t>
            </w:r>
          </w:p>
        </w:tc>
        <w:tc>
          <w:tcPr>
            <w:tcW w:type="dxa" w:w="11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53</w:t>
            </w:r>
          </w:p>
        </w:tc>
        <w:tc>
          <w:tcPr>
            <w:tcW w:type="dxa" w:w="10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0.235</w:t>
            </w:r>
          </w:p>
        </w:tc>
        <w:tc>
          <w:tcPr>
            <w:tcW w:type="dxa" w:w="10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0.925</w:t>
            </w:r>
          </w:p>
        </w:tc>
        <w:tc>
          <w:tcPr>
            <w:tcW w:type="dxa" w:w="10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0.904</w:t>
            </w:r>
          </w:p>
        </w:tc>
        <w:tc>
          <w:tcPr>
            <w:tcW w:type="dxa" w:w="11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3910.9</w:t>
            </w:r>
          </w:p>
        </w:tc>
        <w:tc>
          <w:tcPr>
            <w:tcW w:type="dxa" w:w="10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0.64</w:t>
            </w:r>
          </w:p>
        </w:tc>
      </w:tr>
      <w:tr>
        <w:trPr>
          <w:cantSplit/>
        </w:trPr>
        <w:tc>
          <w:tcPr>
            <w:tcW w:type="dxa" w:w="15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Check (UVAI)</w:t>
            </w:r>
          </w:p>
        </w:tc>
        <w:tc>
          <w:tcPr>
            <w:tcW w:type="dxa" w:w="13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LST Day</w:t>
            </w:r>
          </w:p>
        </w:tc>
        <w:tc>
          <w:tcPr>
            <w:tcW w:type="dxa" w:w="11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53</w:t>
            </w:r>
          </w:p>
        </w:tc>
        <w:tc>
          <w:tcPr>
            <w:tcW w:type="dxa" w:w="10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0.241</w:t>
            </w:r>
          </w:p>
        </w:tc>
        <w:tc>
          <w:tcPr>
            <w:tcW w:type="dxa" w:w="10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0.919</w:t>
            </w:r>
          </w:p>
        </w:tc>
        <w:tc>
          <w:tcPr>
            <w:tcW w:type="dxa" w:w="10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0.897</w:t>
            </w:r>
          </w:p>
        </w:tc>
        <w:tc>
          <w:tcPr>
            <w:tcW w:type="dxa" w:w="11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4244.8</w:t>
            </w:r>
          </w:p>
        </w:tc>
        <w:tc>
          <w:tcPr>
            <w:tcW w:type="dxa" w:w="10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0.66</w:t>
            </w:r>
          </w:p>
        </w:tc>
      </w:tr>
      <w:tr>
        <w:trPr>
          <w:cantSplit/>
        </w:trPr>
        <w:tc>
          <w:tcPr>
            <w:tcW w:type="dxa" w:w="1500"/>
            <w:gridSpan w:val="1"/>
            <w:tcBorders>
              <w:top w:val="none" w:color="FFFFFF" w:sz="0"/>
              <w:left w:val="none" w:color="FFFFFF" w:sz="0"/>
              <w:bottom w:val="single" w:color="000000" w:sz="12"/>
              <w:right w:val="none" w:color="FFFFFF" w:sz="0"/>
            </w:tcBorders>
            <w:tcMar>
              <w:top w:type="dxa" w:w="40"/>
              <w:left w:type="dxa" w:w="60"/>
              <w:bottom w:type="dxa" w:w="40"/>
              <w:right w:type="dxa" w:w="60"/>
            </w:tcMar>
            <w:vAlign w:val="center"/>
          </w:tcPr>
          <w:p>
            <w:pPr>
              <w:keepNext w:val="false"/>
              <w:spacing w:after="0" w:line="240"/>
              <w:jc w:val="left"/>
            </w:pPr>
            <w:r>
              <w:rPr>
                <w:rFonts w:ascii="Times New Roman" w:cs="Times New Roman" w:eastAsia="Times New Roman" w:hAnsi="Times New Roman"/>
                <w:b w:val="false"/>
                <w:bCs w:val="false"/>
                <w:sz w:val="20"/>
                <w:szCs w:val="20"/>
              </w:rPr>
              <w:t xml:space="preserve">Check (UVAI)</w:t>
            </w:r>
          </w:p>
        </w:tc>
        <w:tc>
          <w:tcPr>
            <w:tcW w:type="dxa" w:w="1300"/>
            <w:gridSpan w:val="1"/>
            <w:tcBorders>
              <w:top w:val="none" w:color="FFFFFF" w:sz="0"/>
              <w:left w:val="none" w:color="FFFFFF" w:sz="0"/>
              <w:bottom w:val="single" w:color="000000" w:sz="12"/>
              <w:right w:val="none" w:color="FFFFFF" w:sz="0"/>
            </w:tcBorders>
            <w:tcMar>
              <w:top w:type="dxa" w:w="40"/>
              <w:left w:type="dxa" w:w="60"/>
              <w:bottom w:type="dxa" w:w="40"/>
              <w:right w:type="dxa" w:w="60"/>
            </w:tcMar>
            <w:vAlign w:val="center"/>
          </w:tcPr>
          <w:p>
            <w:pPr>
              <w:keepNext w:val="false"/>
              <w:spacing w:after="0" w:line="240"/>
              <w:jc w:val="left"/>
            </w:pPr>
            <w:r>
              <w:rPr>
                <w:rFonts w:ascii="Times New Roman" w:cs="Times New Roman" w:eastAsia="Times New Roman" w:hAnsi="Times New Roman"/>
                <w:b w:val="false"/>
                <w:bCs w:val="false"/>
                <w:sz w:val="20"/>
                <w:szCs w:val="20"/>
              </w:rPr>
              <w:t xml:space="preserve">LST Night</w:t>
            </w:r>
          </w:p>
        </w:tc>
        <w:tc>
          <w:tcPr>
            <w:tcW w:type="dxa" w:w="1100"/>
            <w:gridSpan w:val="1"/>
            <w:tcBorders>
              <w:top w:val="none" w:color="FFFFFF" w:sz="0"/>
              <w:left w:val="none" w:color="FFFFFF" w:sz="0"/>
              <w:bottom w:val="single" w:color="000000" w:sz="12"/>
              <w:right w:val="none" w:color="FFFFFF" w:sz="0"/>
            </w:tcBorders>
            <w:tcMar>
              <w:top w:type="dxa" w:w="40"/>
              <w:left w:type="dxa" w:w="60"/>
              <w:bottom w:type="dxa" w:w="40"/>
              <w:right w:type="dxa" w:w="60"/>
            </w:tcMar>
            <w:vAlign w:val="center"/>
          </w:tcPr>
          <w:p>
            <w:pPr>
              <w:keepNext w:val="false"/>
              <w:spacing w:after="0" w:line="240"/>
              <w:jc w:val="center"/>
            </w:pPr>
            <w:r>
              <w:rPr>
                <w:rFonts w:ascii="Times New Roman" w:cs="Times New Roman" w:eastAsia="Times New Roman" w:hAnsi="Times New Roman"/>
                <w:b w:val="false"/>
                <w:bCs w:val="false"/>
                <w:sz w:val="20"/>
                <w:szCs w:val="20"/>
              </w:rPr>
              <w:t xml:space="preserve">53</w:t>
            </w:r>
          </w:p>
        </w:tc>
        <w:tc>
          <w:tcPr>
            <w:tcW w:type="dxa" w:w="1000"/>
            <w:gridSpan w:val="1"/>
            <w:tcBorders>
              <w:top w:val="none" w:color="FFFFFF" w:sz="0"/>
              <w:left w:val="none" w:color="FFFFFF" w:sz="0"/>
              <w:bottom w:val="single" w:color="000000" w:sz="12"/>
              <w:right w:val="none" w:color="FFFFFF" w:sz="0"/>
            </w:tcBorders>
            <w:tcMar>
              <w:top w:type="dxa" w:w="40"/>
              <w:left w:type="dxa" w:w="60"/>
              <w:bottom w:type="dxa" w:w="40"/>
              <w:right w:type="dxa" w:w="60"/>
            </w:tcMar>
            <w:vAlign w:val="center"/>
          </w:tcPr>
          <w:p>
            <w:pPr>
              <w:keepNext w:val="false"/>
              <w:spacing w:after="0" w:line="240"/>
              <w:jc w:val="center"/>
            </w:pPr>
            <w:r>
              <w:rPr>
                <w:rFonts w:ascii="Times New Roman" w:cs="Times New Roman" w:eastAsia="Times New Roman" w:hAnsi="Times New Roman"/>
                <w:b w:val="false"/>
                <w:bCs w:val="false"/>
                <w:sz w:val="20"/>
                <w:szCs w:val="20"/>
              </w:rPr>
              <w:t xml:space="preserve">0.257</w:t>
            </w:r>
          </w:p>
        </w:tc>
        <w:tc>
          <w:tcPr>
            <w:tcW w:type="dxa" w:w="1000"/>
            <w:gridSpan w:val="1"/>
            <w:tcBorders>
              <w:top w:val="none" w:color="FFFFFF" w:sz="0"/>
              <w:left w:val="none" w:color="FFFFFF" w:sz="0"/>
              <w:bottom w:val="single" w:color="000000" w:sz="12"/>
              <w:right w:val="none" w:color="FFFFFF" w:sz="0"/>
            </w:tcBorders>
            <w:tcMar>
              <w:top w:type="dxa" w:w="40"/>
              <w:left w:type="dxa" w:w="60"/>
              <w:bottom w:type="dxa" w:w="40"/>
              <w:right w:type="dxa" w:w="60"/>
            </w:tcMar>
            <w:vAlign w:val="center"/>
          </w:tcPr>
          <w:p>
            <w:pPr>
              <w:keepNext w:val="false"/>
              <w:spacing w:after="0" w:line="240"/>
              <w:jc w:val="center"/>
            </w:pPr>
            <w:r>
              <w:rPr>
                <w:rFonts w:ascii="Times New Roman" w:cs="Times New Roman" w:eastAsia="Times New Roman" w:hAnsi="Times New Roman"/>
                <w:b w:val="false"/>
                <w:bCs w:val="false"/>
                <w:sz w:val="20"/>
                <w:szCs w:val="20"/>
              </w:rPr>
              <w:t xml:space="preserve">0.926</w:t>
            </w:r>
          </w:p>
        </w:tc>
        <w:tc>
          <w:tcPr>
            <w:tcW w:type="dxa" w:w="1026"/>
            <w:gridSpan w:val="1"/>
            <w:tcBorders>
              <w:top w:val="none" w:color="FFFFFF" w:sz="0"/>
              <w:left w:val="none" w:color="FFFFFF" w:sz="0"/>
              <w:bottom w:val="single" w:color="000000" w:sz="12"/>
              <w:right w:val="none" w:color="FFFFFF" w:sz="0"/>
            </w:tcBorders>
            <w:tcMar>
              <w:top w:type="dxa" w:w="40"/>
              <w:left w:type="dxa" w:w="60"/>
              <w:bottom w:type="dxa" w:w="40"/>
              <w:right w:type="dxa" w:w="60"/>
            </w:tcMar>
            <w:vAlign w:val="center"/>
          </w:tcPr>
          <w:p>
            <w:pPr>
              <w:keepNext w:val="false"/>
              <w:spacing w:after="0" w:line="240"/>
              <w:jc w:val="center"/>
            </w:pPr>
            <w:r>
              <w:rPr>
                <w:rFonts w:ascii="Times New Roman" w:cs="Times New Roman" w:eastAsia="Times New Roman" w:hAnsi="Times New Roman"/>
                <w:b w:val="false"/>
                <w:bCs w:val="false"/>
                <w:sz w:val="20"/>
                <w:szCs w:val="20"/>
              </w:rPr>
              <w:t xml:space="preserve">0.906</w:t>
            </w:r>
          </w:p>
        </w:tc>
        <w:tc>
          <w:tcPr>
            <w:tcW w:type="dxa" w:w="1100"/>
            <w:gridSpan w:val="1"/>
            <w:tcBorders>
              <w:top w:val="none" w:color="FFFFFF" w:sz="0"/>
              <w:left w:val="none" w:color="FFFFFF" w:sz="0"/>
              <w:bottom w:val="single" w:color="000000" w:sz="12"/>
              <w:right w:val="none" w:color="FFFFFF" w:sz="0"/>
            </w:tcBorders>
            <w:tcMar>
              <w:top w:type="dxa" w:w="40"/>
              <w:left w:type="dxa" w:w="60"/>
              <w:bottom w:type="dxa" w:w="40"/>
              <w:right w:type="dxa" w:w="60"/>
            </w:tcMar>
            <w:vAlign w:val="center"/>
          </w:tcPr>
          <w:p>
            <w:pPr>
              <w:keepNext w:val="false"/>
              <w:spacing w:after="0" w:line="240"/>
              <w:jc w:val="center"/>
            </w:pPr>
            <w:r>
              <w:rPr>
                <w:rFonts w:ascii="Times New Roman" w:cs="Times New Roman" w:eastAsia="Times New Roman" w:hAnsi="Times New Roman"/>
                <w:b w:val="false"/>
                <w:bCs w:val="false"/>
                <w:sz w:val="20"/>
                <w:szCs w:val="20"/>
              </w:rPr>
              <w:t xml:space="preserve">3806.0</w:t>
            </w:r>
          </w:p>
        </w:tc>
        <w:tc>
          <w:tcPr>
            <w:tcW w:type="dxa" w:w="1000"/>
            <w:gridSpan w:val="1"/>
            <w:tcBorders>
              <w:top w:val="none" w:color="FFFFFF" w:sz="0"/>
              <w:left w:val="none" w:color="FFFFFF" w:sz="0"/>
              <w:bottom w:val="single" w:color="000000" w:sz="12"/>
              <w:right w:val="none" w:color="FFFFFF" w:sz="0"/>
            </w:tcBorders>
            <w:tcMar>
              <w:top w:type="dxa" w:w="40"/>
              <w:left w:type="dxa" w:w="60"/>
              <w:bottom w:type="dxa" w:w="40"/>
              <w:right w:type="dxa" w:w="60"/>
            </w:tcMar>
            <w:vAlign w:val="center"/>
          </w:tcPr>
          <w:p>
            <w:pPr>
              <w:keepNext w:val="false"/>
              <w:spacing w:after="0" w:line="240"/>
              <w:jc w:val="center"/>
            </w:pPr>
            <w:r>
              <w:rPr>
                <w:rFonts w:ascii="Times New Roman" w:cs="Times New Roman" w:eastAsia="Times New Roman" w:hAnsi="Times New Roman"/>
                <w:b w:val="false"/>
                <w:bCs w:val="false"/>
                <w:sz w:val="20"/>
                <w:szCs w:val="20"/>
              </w:rPr>
              <w:t xml:space="preserve">0.65</w:t>
            </w:r>
          </w:p>
        </w:tc>
      </w:tr>
    </w:tbl>
    <w:p>
      <w:pPr>
        <w:spacing w:after="260" w:before="80" w:line="252"/>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Main model: LST ~ AOD + CH</w:t>
      </w:r>
      <w:r>
        <w:rPr>
          <w:rFonts w:ascii="Times New Roman" w:cs="Times New Roman" w:eastAsia="Times New Roman" w:hAnsi="Times New Roman"/>
          <w:sz w:val="20"/>
          <w:szCs w:val="20"/>
          <w:vertAlign w:val="subscript"/>
        </w:rPr>
        <w:t xml:space="preserve">4</w:t>
      </w:r>
      <w:r>
        <w:rPr>
          <w:rFonts w:ascii="Times New Roman" w:cs="Times New Roman" w:eastAsia="Times New Roman" w:hAnsi="Times New Roman"/>
          <w:sz w:val="20"/>
          <w:szCs w:val="20"/>
        </w:rPr>
        <w:t xml:space="preserve"> + HCHO + NO</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0"/>
          <w:szCs w:val="20"/>
        </w:rPr>
        <w:t xml:space="preserve"> + CO. Check model: UVAI in place of AOD. All variables were standardised. AICc = corrected Akaike information criterion.</w:t>
      </w:r>
    </w:p>
    <w:p>
      <w:pPr>
        <w:spacing w:after="160" w:line="360"/>
        <w:jc w:val="both"/>
      </w:pPr>
      <w:r>
        <w:rPr>
          <w:rFonts w:ascii="Times New Roman" w:cs="Times New Roman" w:eastAsia="Times New Roman" w:hAnsi="Times New Roman"/>
          <w:sz w:val="24"/>
          <w:szCs w:val="24"/>
        </w:rPr>
        <w:t xml:space="preserve">CH</w:t>
      </w:r>
      <w:r>
        <w:rPr>
          <w:rFonts w:ascii="Times New Roman" w:cs="Times New Roman" w:eastAsia="Times New Roman" w:hAnsi="Times New Roman"/>
          <w:sz w:val="24"/>
          <w:szCs w:val="24"/>
          <w:vertAlign w:val="subscript"/>
        </w:rPr>
        <w:t xml:space="preserve">4</w:t>
      </w:r>
      <w:r>
        <w:rPr>
          <w:rFonts w:ascii="Times New Roman" w:cs="Times New Roman" w:eastAsia="Times New Roman" w:hAnsi="Times New Roman"/>
          <w:sz w:val="24"/>
          <w:szCs w:val="24"/>
        </w:rPr>
        <w:t xml:space="preserve"> was the most frequently significant local predictor (Table 8). For daytime LST, its coefficient was significant in 31.8% of cells and almost always positive, with the largest values in the west, in the north-east and across the southern coastal districts (Figure 15). NO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was significant in 12.6% of cells, AOD in 10.8% and CO in 7.9%, each with coefficients of both signs, and HCHO in only 2.2%. For nighttime LST (Figure 16), the CH</w:t>
      </w:r>
      <w:r>
        <w:rPr>
          <w:rFonts w:ascii="Times New Roman" w:cs="Times New Roman" w:eastAsia="Times New Roman" w:hAnsi="Times New Roman"/>
          <w:sz w:val="24"/>
          <w:szCs w:val="24"/>
          <w:vertAlign w:val="subscript"/>
        </w:rPr>
        <w:t xml:space="preserve">4</w:t>
      </w:r>
      <w:r>
        <w:rPr>
          <w:rFonts w:ascii="Times New Roman" w:cs="Times New Roman" w:eastAsia="Times New Roman" w:hAnsi="Times New Roman"/>
          <w:sz w:val="24"/>
          <w:szCs w:val="24"/>
        </w:rPr>
        <w:t xml:space="preserve"> coefficient was significant in 27.3% of cells but almost always negative, whereas AOD was significant in 15.1% of cells and predominantly positive (13.7%), mainly in the south-west and along the south-eastern coast. NO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was significant in 14.5% of cells and CO in 9.5%.</w:t>
      </w:r>
    </w:p>
    <w:p>
      <w:pPr>
        <w:keepNext/>
        <w:spacing w:after="100" w:before="240" w:line="276"/>
        <w:jc w:val="left"/>
      </w:pPr>
      <w:r>
        <w:rPr>
          <w:rFonts w:ascii="Times New Roman" w:cs="Times New Roman" w:eastAsia="Times New Roman" w:hAnsi="Times New Roman"/>
          <w:b/>
          <w:bCs/>
          <w:sz w:val="22"/>
          <w:szCs w:val="22"/>
        </w:rPr>
        <w:t xml:space="preserve">Table 8. </w:t>
      </w:r>
      <w:r>
        <w:rPr>
          <w:rFonts w:ascii="Times New Roman" w:cs="Times New Roman" w:eastAsia="Times New Roman" w:hAnsi="Times New Roman"/>
          <w:sz w:val="22"/>
          <w:szCs w:val="22"/>
        </w:rPr>
        <w:t xml:space="preserve">Percentage of cells with a significant local GWR coefficient for each predictor.</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1026"/>
        <w:gridCol w:w="1420"/>
        <w:gridCol w:w="1420"/>
        <w:gridCol w:w="1420"/>
        <w:gridCol w:w="1420"/>
        <w:gridCol w:w="1420"/>
      </w:tblGrid>
      <w:tr>
        <w:trPr>
          <w:cantSplit/>
          <w:tblHeader/>
        </w:trPr>
        <w:tc>
          <w:tcPr>
            <w:tcW w:type="dxa" w:w="900"/>
            <w:gridSpan w:val="1"/>
            <w:tcBorders>
              <w:top w:val="single" w:color="000000" w:sz="12"/>
              <w:left w:val="none" w:color="FFFFFF" w:sz="0"/>
              <w:bottom w:val="single" w:color="000000" w:sz="6"/>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sz w:val="20"/>
                <w:szCs w:val="20"/>
              </w:rPr>
              <w:t xml:space="preserve">Model</w:t>
            </w:r>
          </w:p>
        </w:tc>
        <w:tc>
          <w:tcPr>
            <w:tcW w:type="dxa" w:w="1026"/>
            <w:gridSpan w:val="1"/>
            <w:tcBorders>
              <w:top w:val="single" w:color="000000" w:sz="12"/>
              <w:left w:val="none" w:color="FFFFFF" w:sz="0"/>
              <w:bottom w:val="single" w:color="000000" w:sz="6"/>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sz w:val="20"/>
                <w:szCs w:val="20"/>
              </w:rPr>
              <w:t xml:space="preserve">Response</w:t>
            </w:r>
          </w:p>
        </w:tc>
        <w:tc>
          <w:tcPr>
            <w:tcW w:type="dxa" w:w="1420"/>
            <w:gridSpan w:val="1"/>
            <w:tcBorders>
              <w:top w:val="single" w:color="000000" w:sz="12"/>
              <w:left w:val="none" w:color="FFFFFF" w:sz="0"/>
              <w:bottom w:val="single" w:color="000000" w:sz="6"/>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sz w:val="20"/>
                <w:szCs w:val="20"/>
              </w:rPr>
              <w:t xml:space="preserve">AOD or UVAI</w:t>
            </w:r>
          </w:p>
        </w:tc>
        <w:tc>
          <w:tcPr>
            <w:tcW w:type="dxa" w:w="1420"/>
            <w:gridSpan w:val="1"/>
            <w:tcBorders>
              <w:top w:val="single" w:color="000000" w:sz="12"/>
              <w:left w:val="none" w:color="FFFFFF" w:sz="0"/>
              <w:bottom w:val="single" w:color="000000" w:sz="6"/>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sz w:val="20"/>
                <w:szCs w:val="20"/>
              </w:rPr>
              <w:t xml:space="preserve">CH</w:t>
            </w:r>
            <w:r>
              <w:rPr>
                <w:rFonts w:ascii="Times New Roman" w:cs="Times New Roman" w:eastAsia="Times New Roman" w:hAnsi="Times New Roman"/>
                <w:sz w:val="20"/>
                <w:szCs w:val="20"/>
                <w:vertAlign w:val="subscript"/>
              </w:rPr>
              <w:t xml:space="preserve">4</w:t>
            </w:r>
          </w:p>
        </w:tc>
        <w:tc>
          <w:tcPr>
            <w:tcW w:type="dxa" w:w="1420"/>
            <w:gridSpan w:val="1"/>
            <w:tcBorders>
              <w:top w:val="single" w:color="000000" w:sz="12"/>
              <w:left w:val="none" w:color="FFFFFF" w:sz="0"/>
              <w:bottom w:val="single" w:color="000000" w:sz="6"/>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sz w:val="20"/>
                <w:szCs w:val="20"/>
              </w:rPr>
              <w:t xml:space="preserve">HCHO</w:t>
            </w:r>
          </w:p>
        </w:tc>
        <w:tc>
          <w:tcPr>
            <w:tcW w:type="dxa" w:w="1420"/>
            <w:gridSpan w:val="1"/>
            <w:tcBorders>
              <w:top w:val="single" w:color="000000" w:sz="12"/>
              <w:left w:val="none" w:color="FFFFFF" w:sz="0"/>
              <w:bottom w:val="single" w:color="000000" w:sz="6"/>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sz w:val="20"/>
                <w:szCs w:val="20"/>
              </w:rPr>
              <w:t xml:space="preserve">NO</w:t>
            </w:r>
            <w:r>
              <w:rPr>
                <w:rFonts w:ascii="Times New Roman" w:cs="Times New Roman" w:eastAsia="Times New Roman" w:hAnsi="Times New Roman"/>
                <w:sz w:val="20"/>
                <w:szCs w:val="20"/>
                <w:vertAlign w:val="subscript"/>
              </w:rPr>
              <w:t xml:space="preserve">2</w:t>
            </w:r>
          </w:p>
        </w:tc>
        <w:tc>
          <w:tcPr>
            <w:tcW w:type="dxa" w:w="1420"/>
            <w:gridSpan w:val="1"/>
            <w:tcBorders>
              <w:top w:val="single" w:color="000000" w:sz="12"/>
              <w:left w:val="none" w:color="FFFFFF" w:sz="0"/>
              <w:bottom w:val="single" w:color="000000" w:sz="6"/>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sz w:val="20"/>
                <w:szCs w:val="20"/>
              </w:rPr>
              <w:t xml:space="preserve">CO</w:t>
            </w:r>
          </w:p>
        </w:tc>
      </w:tr>
      <w:tr>
        <w:trPr>
          <w:cantSplit/>
        </w:trPr>
        <w:tc>
          <w:tcPr>
            <w:tcW w:type="dxa" w:w="9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Main</w:t>
            </w:r>
          </w:p>
        </w:tc>
        <w:tc>
          <w:tcPr>
            <w:tcW w:type="dxa" w:w="10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LST Day</w:t>
            </w:r>
          </w:p>
        </w:tc>
        <w:tc>
          <w:tcPr>
            <w:tcW w:type="dxa" w:w="14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10.8 (6.0 / 4.8)</w:t>
            </w:r>
          </w:p>
        </w:tc>
        <w:tc>
          <w:tcPr>
            <w:tcW w:type="dxa" w:w="14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31.8 (31.1 / 0.7)</w:t>
            </w:r>
          </w:p>
        </w:tc>
        <w:tc>
          <w:tcPr>
            <w:tcW w:type="dxa" w:w="14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2.2 (0.5 / 1.8)</w:t>
            </w:r>
          </w:p>
        </w:tc>
        <w:tc>
          <w:tcPr>
            <w:tcW w:type="dxa" w:w="14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12.6 (7.9 / 4.8)</w:t>
            </w:r>
          </w:p>
        </w:tc>
        <w:tc>
          <w:tcPr>
            <w:tcW w:type="dxa" w:w="14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7.9 (4.5 / 3.4)</w:t>
            </w:r>
          </w:p>
        </w:tc>
      </w:tr>
      <w:tr>
        <w:trPr>
          <w:cantSplit/>
        </w:trPr>
        <w:tc>
          <w:tcPr>
            <w:tcW w:type="dxa" w:w="9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Main</w:t>
            </w:r>
          </w:p>
        </w:tc>
        <w:tc>
          <w:tcPr>
            <w:tcW w:type="dxa" w:w="10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LST Night</w:t>
            </w:r>
          </w:p>
        </w:tc>
        <w:tc>
          <w:tcPr>
            <w:tcW w:type="dxa" w:w="14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15.1 (13.7 / 1.4)</w:t>
            </w:r>
          </w:p>
        </w:tc>
        <w:tc>
          <w:tcPr>
            <w:tcW w:type="dxa" w:w="14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27.3 (2.6 / 24.7)</w:t>
            </w:r>
          </w:p>
        </w:tc>
        <w:tc>
          <w:tcPr>
            <w:tcW w:type="dxa" w:w="14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3.2 (2.5 / 0.6)</w:t>
            </w:r>
          </w:p>
        </w:tc>
        <w:tc>
          <w:tcPr>
            <w:tcW w:type="dxa" w:w="14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14.5 (9.6 / 4.9)</w:t>
            </w:r>
          </w:p>
        </w:tc>
        <w:tc>
          <w:tcPr>
            <w:tcW w:type="dxa" w:w="14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9.5 (4.9 / 4.6)</w:t>
            </w:r>
          </w:p>
        </w:tc>
      </w:tr>
      <w:tr>
        <w:trPr>
          <w:cantSplit/>
        </w:trPr>
        <w:tc>
          <w:tcPr>
            <w:tcW w:type="dxa" w:w="9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Check</w:t>
            </w:r>
          </w:p>
        </w:tc>
        <w:tc>
          <w:tcPr>
            <w:tcW w:type="dxa" w:w="10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LST Day</w:t>
            </w:r>
          </w:p>
        </w:tc>
        <w:tc>
          <w:tcPr>
            <w:tcW w:type="dxa" w:w="14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13.0 (9.9 / 3.1)</w:t>
            </w:r>
          </w:p>
        </w:tc>
        <w:tc>
          <w:tcPr>
            <w:tcW w:type="dxa" w:w="14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28.7 (27.8 / 0.9)</w:t>
            </w:r>
          </w:p>
        </w:tc>
        <w:tc>
          <w:tcPr>
            <w:tcW w:type="dxa" w:w="14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3.5 (0.8 / 2.7)</w:t>
            </w:r>
          </w:p>
        </w:tc>
        <w:tc>
          <w:tcPr>
            <w:tcW w:type="dxa" w:w="14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12.7 (6.9 / 5.8)</w:t>
            </w:r>
          </w:p>
        </w:tc>
        <w:tc>
          <w:tcPr>
            <w:tcW w:type="dxa" w:w="14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7.6 (4.0 / 3.6)</w:t>
            </w:r>
          </w:p>
        </w:tc>
      </w:tr>
      <w:tr>
        <w:trPr>
          <w:cantSplit/>
        </w:trPr>
        <w:tc>
          <w:tcPr>
            <w:tcW w:type="dxa" w:w="900"/>
            <w:gridSpan w:val="1"/>
            <w:tcBorders>
              <w:top w:val="none" w:color="FFFFFF" w:sz="0"/>
              <w:left w:val="none" w:color="FFFFFF" w:sz="0"/>
              <w:bottom w:val="single" w:color="000000" w:sz="12"/>
              <w:right w:val="none" w:color="FFFFFF" w:sz="0"/>
            </w:tcBorders>
            <w:tcMar>
              <w:top w:type="dxa" w:w="40"/>
              <w:left w:type="dxa" w:w="60"/>
              <w:bottom w:type="dxa" w:w="40"/>
              <w:right w:type="dxa" w:w="60"/>
            </w:tcMar>
            <w:vAlign w:val="center"/>
          </w:tcPr>
          <w:p>
            <w:pPr>
              <w:keepNext w:val="false"/>
              <w:spacing w:after="0" w:line="240"/>
              <w:jc w:val="left"/>
            </w:pPr>
            <w:r>
              <w:rPr>
                <w:rFonts w:ascii="Times New Roman" w:cs="Times New Roman" w:eastAsia="Times New Roman" w:hAnsi="Times New Roman"/>
                <w:b w:val="false"/>
                <w:bCs w:val="false"/>
                <w:sz w:val="20"/>
                <w:szCs w:val="20"/>
              </w:rPr>
              <w:t xml:space="preserve">Check</w:t>
            </w:r>
          </w:p>
        </w:tc>
        <w:tc>
          <w:tcPr>
            <w:tcW w:type="dxa" w:w="1026"/>
            <w:gridSpan w:val="1"/>
            <w:tcBorders>
              <w:top w:val="none" w:color="FFFFFF" w:sz="0"/>
              <w:left w:val="none" w:color="FFFFFF" w:sz="0"/>
              <w:bottom w:val="single" w:color="000000" w:sz="12"/>
              <w:right w:val="none" w:color="FFFFFF" w:sz="0"/>
            </w:tcBorders>
            <w:tcMar>
              <w:top w:type="dxa" w:w="40"/>
              <w:left w:type="dxa" w:w="60"/>
              <w:bottom w:type="dxa" w:w="40"/>
              <w:right w:type="dxa" w:w="60"/>
            </w:tcMar>
            <w:vAlign w:val="center"/>
          </w:tcPr>
          <w:p>
            <w:pPr>
              <w:keepNext w:val="false"/>
              <w:spacing w:after="0" w:line="240"/>
              <w:jc w:val="left"/>
            </w:pPr>
            <w:r>
              <w:rPr>
                <w:rFonts w:ascii="Times New Roman" w:cs="Times New Roman" w:eastAsia="Times New Roman" w:hAnsi="Times New Roman"/>
                <w:b w:val="false"/>
                <w:bCs w:val="false"/>
                <w:sz w:val="20"/>
                <w:szCs w:val="20"/>
              </w:rPr>
              <w:t xml:space="preserve">LST Night</w:t>
            </w:r>
          </w:p>
        </w:tc>
        <w:tc>
          <w:tcPr>
            <w:tcW w:type="dxa" w:w="1420"/>
            <w:gridSpan w:val="1"/>
            <w:tcBorders>
              <w:top w:val="none" w:color="FFFFFF" w:sz="0"/>
              <w:left w:val="none" w:color="FFFFFF" w:sz="0"/>
              <w:bottom w:val="single" w:color="000000" w:sz="12"/>
              <w:right w:val="none" w:color="FFFFFF" w:sz="0"/>
            </w:tcBorders>
            <w:tcMar>
              <w:top w:type="dxa" w:w="40"/>
              <w:left w:type="dxa" w:w="60"/>
              <w:bottom w:type="dxa" w:w="40"/>
              <w:right w:type="dxa" w:w="60"/>
            </w:tcMar>
            <w:vAlign w:val="center"/>
          </w:tcPr>
          <w:p>
            <w:pPr>
              <w:keepNext w:val="false"/>
              <w:spacing w:after="0" w:line="240"/>
              <w:jc w:val="center"/>
            </w:pPr>
            <w:r>
              <w:rPr>
                <w:rFonts w:ascii="Times New Roman" w:cs="Times New Roman" w:eastAsia="Times New Roman" w:hAnsi="Times New Roman"/>
                <w:b w:val="false"/>
                <w:bCs w:val="false"/>
                <w:sz w:val="20"/>
                <w:szCs w:val="20"/>
              </w:rPr>
              <w:t xml:space="preserve">15.4 (12.2 / 3.1)</w:t>
            </w:r>
          </w:p>
        </w:tc>
        <w:tc>
          <w:tcPr>
            <w:tcW w:type="dxa" w:w="1420"/>
            <w:gridSpan w:val="1"/>
            <w:tcBorders>
              <w:top w:val="none" w:color="FFFFFF" w:sz="0"/>
              <w:left w:val="none" w:color="FFFFFF" w:sz="0"/>
              <w:bottom w:val="single" w:color="000000" w:sz="12"/>
              <w:right w:val="none" w:color="FFFFFF" w:sz="0"/>
            </w:tcBorders>
            <w:tcMar>
              <w:top w:type="dxa" w:w="40"/>
              <w:left w:type="dxa" w:w="60"/>
              <w:bottom w:type="dxa" w:w="40"/>
              <w:right w:type="dxa" w:w="60"/>
            </w:tcMar>
            <w:vAlign w:val="center"/>
          </w:tcPr>
          <w:p>
            <w:pPr>
              <w:keepNext w:val="false"/>
              <w:spacing w:after="0" w:line="240"/>
              <w:jc w:val="center"/>
            </w:pPr>
            <w:r>
              <w:rPr>
                <w:rFonts w:ascii="Times New Roman" w:cs="Times New Roman" w:eastAsia="Times New Roman" w:hAnsi="Times New Roman"/>
                <w:b w:val="false"/>
                <w:bCs w:val="false"/>
                <w:sz w:val="20"/>
                <w:szCs w:val="20"/>
              </w:rPr>
              <w:t xml:space="preserve">25.4 (2.2 / 23.1)</w:t>
            </w:r>
          </w:p>
        </w:tc>
        <w:tc>
          <w:tcPr>
            <w:tcW w:type="dxa" w:w="1420"/>
            <w:gridSpan w:val="1"/>
            <w:tcBorders>
              <w:top w:val="none" w:color="FFFFFF" w:sz="0"/>
              <w:left w:val="none" w:color="FFFFFF" w:sz="0"/>
              <w:bottom w:val="single" w:color="000000" w:sz="12"/>
              <w:right w:val="none" w:color="FFFFFF" w:sz="0"/>
            </w:tcBorders>
            <w:tcMar>
              <w:top w:type="dxa" w:w="40"/>
              <w:left w:type="dxa" w:w="60"/>
              <w:bottom w:type="dxa" w:w="40"/>
              <w:right w:type="dxa" w:w="60"/>
            </w:tcMar>
            <w:vAlign w:val="center"/>
          </w:tcPr>
          <w:p>
            <w:pPr>
              <w:keepNext w:val="false"/>
              <w:spacing w:after="0" w:line="240"/>
              <w:jc w:val="center"/>
            </w:pPr>
            <w:r>
              <w:rPr>
                <w:rFonts w:ascii="Times New Roman" w:cs="Times New Roman" w:eastAsia="Times New Roman" w:hAnsi="Times New Roman"/>
                <w:b w:val="false"/>
                <w:bCs w:val="false"/>
                <w:sz w:val="20"/>
                <w:szCs w:val="20"/>
              </w:rPr>
              <w:t xml:space="preserve">3.6 (2.6 / 1.0)</w:t>
            </w:r>
          </w:p>
        </w:tc>
        <w:tc>
          <w:tcPr>
            <w:tcW w:type="dxa" w:w="1420"/>
            <w:gridSpan w:val="1"/>
            <w:tcBorders>
              <w:top w:val="none" w:color="FFFFFF" w:sz="0"/>
              <w:left w:val="none" w:color="FFFFFF" w:sz="0"/>
              <w:bottom w:val="single" w:color="000000" w:sz="12"/>
              <w:right w:val="none" w:color="FFFFFF" w:sz="0"/>
            </w:tcBorders>
            <w:tcMar>
              <w:top w:type="dxa" w:w="40"/>
              <w:left w:type="dxa" w:w="60"/>
              <w:bottom w:type="dxa" w:w="40"/>
              <w:right w:type="dxa" w:w="60"/>
            </w:tcMar>
            <w:vAlign w:val="center"/>
          </w:tcPr>
          <w:p>
            <w:pPr>
              <w:keepNext w:val="false"/>
              <w:spacing w:after="0" w:line="240"/>
              <w:jc w:val="center"/>
            </w:pPr>
            <w:r>
              <w:rPr>
                <w:rFonts w:ascii="Times New Roman" w:cs="Times New Roman" w:eastAsia="Times New Roman" w:hAnsi="Times New Roman"/>
                <w:b w:val="false"/>
                <w:bCs w:val="false"/>
                <w:sz w:val="20"/>
                <w:szCs w:val="20"/>
              </w:rPr>
              <w:t xml:space="preserve">10.5 (5.8 / 4.7)</w:t>
            </w:r>
          </w:p>
        </w:tc>
        <w:tc>
          <w:tcPr>
            <w:tcW w:type="dxa" w:w="1420"/>
            <w:gridSpan w:val="1"/>
            <w:tcBorders>
              <w:top w:val="none" w:color="FFFFFF" w:sz="0"/>
              <w:left w:val="none" w:color="FFFFFF" w:sz="0"/>
              <w:bottom w:val="single" w:color="000000" w:sz="12"/>
              <w:right w:val="none" w:color="FFFFFF" w:sz="0"/>
            </w:tcBorders>
            <w:tcMar>
              <w:top w:type="dxa" w:w="40"/>
              <w:left w:type="dxa" w:w="60"/>
              <w:bottom w:type="dxa" w:w="40"/>
              <w:right w:type="dxa" w:w="60"/>
            </w:tcMar>
            <w:vAlign w:val="center"/>
          </w:tcPr>
          <w:p>
            <w:pPr>
              <w:keepNext w:val="false"/>
              <w:spacing w:after="0" w:line="240"/>
              <w:jc w:val="center"/>
            </w:pPr>
            <w:r>
              <w:rPr>
                <w:rFonts w:ascii="Times New Roman" w:cs="Times New Roman" w:eastAsia="Times New Roman" w:hAnsi="Times New Roman"/>
                <w:b w:val="false"/>
                <w:bCs w:val="false"/>
                <w:sz w:val="20"/>
                <w:szCs w:val="20"/>
              </w:rPr>
              <w:t xml:space="preserve">8.6 (4.3 / 4.3)</w:t>
            </w:r>
          </w:p>
        </w:tc>
      </w:tr>
    </w:tbl>
    <w:p>
      <w:pPr>
        <w:spacing w:after="260" w:before="80" w:line="252"/>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Main = model with AOD; Check = model with UVAI in place of AOD. Values are the percentage of cells that are significant after correction for multiple testing; the percentages with positive and negative coefficients are given in parentheses (positive / negative).</w:t>
      </w:r>
    </w:p>
    <w:p>
      <w:pPr>
        <w:spacing w:after="160" w:line="360"/>
        <w:jc w:val="both"/>
      </w:pPr>
      <w:r>
        <w:rPr>
          <w:rFonts w:ascii="Times New Roman" w:cs="Times New Roman" w:eastAsia="Times New Roman" w:hAnsi="Times New Roman"/>
          <w:sz w:val="24"/>
          <w:szCs w:val="24"/>
        </w:rPr>
        <w:t xml:space="preserve">Replacing AOD with UVAI changed the results very little.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was 0.919 for daytime LST and 0.926 for nighttime LST, the bandwidth was unchanged, and the shares of significant cells for CH</w:t>
      </w:r>
      <w:r>
        <w:rPr>
          <w:rFonts w:ascii="Times New Roman" w:cs="Times New Roman" w:eastAsia="Times New Roman" w:hAnsi="Times New Roman"/>
          <w:sz w:val="24"/>
          <w:szCs w:val="24"/>
          <w:vertAlign w:val="subscript"/>
        </w:rPr>
        <w:t xml:space="preserve">4</w:t>
      </w:r>
      <w:r>
        <w:rPr>
          <w:rFonts w:ascii="Times New Roman" w:cs="Times New Roman" w:eastAsia="Times New Roman" w:hAnsi="Times New Roman"/>
          <w:sz w:val="24"/>
          <w:szCs w:val="24"/>
        </w:rPr>
        <w:t xml:space="preserve">, NO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CO and HCHO differed by no more than four percentage points from the main model. UVAI itself was significant in 13.0% of cells for daytime LST and 15.4% for nighttime LST, similar to AOD. The conclusions therefore do not depend on the choice of aerosol indicator.</w:t>
      </w:r>
    </w:p>
    <w:p>
      <w:pPr>
        <w:pStyle w:val="Heading2"/>
        <w:keepNext/>
        <w:spacing w:after="120" w:before="200" w:line="360"/>
      </w:pPr>
      <w:r>
        <w:rPr>
          <w:rFonts w:ascii="Times New Roman" w:cs="Times New Roman" w:eastAsia="Times New Roman" w:hAnsi="Times New Roman"/>
          <w:b/>
          <w:bCs/>
          <w:i/>
          <w:iCs/>
          <w:color w:val="000000"/>
          <w:sz w:val="24"/>
          <w:szCs w:val="24"/>
        </w:rPr>
        <w:t xml:space="preserve">4.9 Comparison With Ground Stations</w:t>
      </w:r>
    </w:p>
    <w:p>
      <w:pPr>
        <w:spacing w:after="160" w:line="360"/>
        <w:jc w:val="both"/>
      </w:pPr>
      <w:r>
        <w:rPr>
          <w:rFonts w:ascii="Times New Roman" w:cs="Times New Roman" w:eastAsia="Times New Roman" w:hAnsi="Times New Roman"/>
          <w:sz w:val="24"/>
          <w:szCs w:val="24"/>
        </w:rPr>
        <w:t xml:space="preserve">Satellite aerosol indicators tracked ground-level particulate matter moderately well (Table 9; Figure 17). Across station-months, station PM</w:t>
      </w:r>
      <w:r>
        <w:rPr>
          <w:rFonts w:ascii="Times New Roman" w:cs="Times New Roman" w:eastAsia="Times New Roman" w:hAnsi="Times New Roman"/>
          <w:sz w:val="24"/>
          <w:szCs w:val="24"/>
          <w:vertAlign w:val="subscript"/>
        </w:rPr>
        <w:t xml:space="preserve">2.5</w:t>
      </w:r>
      <w:r>
        <w:rPr>
          <w:rFonts w:ascii="Times New Roman" w:cs="Times New Roman" w:eastAsia="Times New Roman" w:hAnsi="Times New Roman"/>
          <w:sz w:val="24"/>
          <w:szCs w:val="24"/>
        </w:rPr>
        <w:t xml:space="preserve"> correlated with AOD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 0.50) and more strongly with UVAI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 0.72), and station PM</w:t>
      </w:r>
      <w:r>
        <w:rPr>
          <w:rFonts w:ascii="Times New Roman" w:cs="Times New Roman" w:eastAsia="Times New Roman" w:hAnsi="Times New Roman"/>
          <w:sz w:val="24"/>
          <w:szCs w:val="24"/>
          <w:vertAlign w:val="subscript"/>
        </w:rPr>
        <w:t xml:space="preserve">10</w:t>
      </w:r>
      <w:r>
        <w:rPr>
          <w:rFonts w:ascii="Times New Roman" w:cs="Times New Roman" w:eastAsia="Times New Roman" w:hAnsi="Times New Roman"/>
          <w:sz w:val="24"/>
          <w:szCs w:val="24"/>
        </w:rPr>
        <w:t xml:space="preserve"> correlated with AOD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 0.60). The relationships also held across station means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 0.51 to 0.71), which shows that AOD and UVAI reproduce part of the spatial contrast between cities and not only the seasonal cycle. The scatter is nevertheless large: in winter, when the boundary layer is shallow, stations recorded very high PM</w:t>
      </w:r>
      <w:r>
        <w:rPr>
          <w:rFonts w:ascii="Times New Roman" w:cs="Times New Roman" w:eastAsia="Times New Roman" w:hAnsi="Times New Roman"/>
          <w:sz w:val="24"/>
          <w:szCs w:val="24"/>
          <w:vertAlign w:val="subscript"/>
        </w:rPr>
        <w:t xml:space="preserve">2.5</w:t>
      </w:r>
      <w:r>
        <w:rPr>
          <w:rFonts w:ascii="Times New Roman" w:cs="Times New Roman" w:eastAsia="Times New Roman" w:hAnsi="Times New Roman"/>
          <w:sz w:val="24"/>
          <w:szCs w:val="24"/>
        </w:rPr>
        <w:t xml:space="preserve"> at moderate AOD.</w:t>
      </w:r>
    </w:p>
    <w:p>
      <w:pPr>
        <w:spacing w:after="160" w:line="360"/>
        <w:jc w:val="both"/>
      </w:pPr>
      <w:r>
        <w:rPr>
          <w:rFonts w:ascii="Times New Roman" w:cs="Times New Roman" w:eastAsia="Times New Roman" w:hAnsi="Times New Roman"/>
          <w:sz w:val="24"/>
          <w:szCs w:val="24"/>
        </w:rPr>
        <w:t xml:space="preserve">For the gases, the agreement was weaker. Station NO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was moderately correlated with the tropospheric NO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column across station-months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 0.41), but not across station means. The correlations for SO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(0.27) and CO (0.17) were weak, and there was no relationship between surface O</w:t>
      </w:r>
      <w:r>
        <w:rPr>
          <w:rFonts w:ascii="Times New Roman" w:cs="Times New Roman" w:eastAsia="Times New Roman" w:hAnsi="Times New Roman"/>
          <w:sz w:val="24"/>
          <w:szCs w:val="24"/>
          <w:vertAlign w:val="subscript"/>
        </w:rPr>
        <w:t xml:space="preserve">3</w:t>
      </w:r>
      <w:r>
        <w:rPr>
          <w:rFonts w:ascii="Times New Roman" w:cs="Times New Roman" w:eastAsia="Times New Roman" w:hAnsi="Times New Roman"/>
          <w:sz w:val="24"/>
          <w:szCs w:val="24"/>
        </w:rPr>
        <w:t xml:space="preserve"> and the total O</w:t>
      </w:r>
      <w:r>
        <w:rPr>
          <w:rFonts w:ascii="Times New Roman" w:cs="Times New Roman" w:eastAsia="Times New Roman" w:hAnsi="Times New Roman"/>
          <w:sz w:val="24"/>
          <w:szCs w:val="24"/>
          <w:vertAlign w:val="subscript"/>
        </w:rPr>
        <w:t xml:space="preserve">3</w:t>
      </w:r>
      <w:r>
        <w:rPr>
          <w:rFonts w:ascii="Times New Roman" w:cs="Times New Roman" w:eastAsia="Times New Roman" w:hAnsi="Times New Roman"/>
          <w:sz w:val="24"/>
          <w:szCs w:val="24"/>
        </w:rPr>
        <w:t xml:space="preserve"> column (0.07), as expected for a column dominated by the stratosphere.</w:t>
      </w:r>
    </w:p>
    <w:p>
      <w:pPr>
        <w:keepNext/>
        <w:spacing w:after="80" w:before="120"/>
        <w:jc w:val="center"/>
      </w:pPr>
      <w:r>
        <w:drawing>
          <wp:inline distT="0" distB="0" distL="0" distR="0">
            <wp:extent cx="5724525" cy="4591050"/>
            <wp:effectExtent t="0" r="0" b="0" l="0"/>
            <wp:docPr id="1" name="Figure 15" descr="GWR results for daytime LST: local R2 and local standardised coefficients of AOD, CH4, HCHO, NO2 and CO. Grey cells are not significant after correction for multiple testing."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24525" cy="4591050"/>
                    </a:xfrm>
                    <a:prstGeom prst="rect">
                      <a:avLst/>
                    </a:prstGeom>
                  </pic:spPr>
                </pic:pic>
              </a:graphicData>
            </a:graphic>
          </wp:inline>
        </w:drawing>
      </w:r>
    </w:p>
    <w:p>
      <w:pPr>
        <w:keepLines/>
        <w:spacing w:after="240" w:line="276"/>
        <w:jc w:val="both"/>
      </w:pPr>
      <w:r>
        <w:rPr>
          <w:rFonts w:ascii="Times New Roman" w:cs="Times New Roman" w:eastAsia="Times New Roman" w:hAnsi="Times New Roman"/>
          <w:b/>
          <w:bCs/>
          <w:sz w:val="22"/>
          <w:szCs w:val="22"/>
        </w:rPr>
        <w:t xml:space="preserve">Figure 15. </w:t>
      </w:r>
      <w:r>
        <w:rPr>
          <w:rFonts w:ascii="Times New Roman" w:cs="Times New Roman" w:eastAsia="Times New Roman" w:hAnsi="Times New Roman"/>
          <w:sz w:val="22"/>
          <w:szCs w:val="22"/>
        </w:rPr>
        <w:t xml:space="preserve">GWR results for daytime LST: local </w:t>
      </w:r>
      <w:r>
        <w:rPr>
          <w:rFonts w:ascii="Times New Roman" w:cs="Times New Roman" w:eastAsia="Times New Roman" w:hAnsi="Times New Roman"/>
          <w:i/>
          <w:iCs/>
          <w:sz w:val="22"/>
          <w:szCs w:val="22"/>
        </w:rPr>
        <w:t xml:space="preserve">R</w:t>
      </w:r>
      <w:r>
        <w:rPr>
          <w:rFonts w:ascii="Times New Roman" w:cs="Times New Roman" w:eastAsia="Times New Roman" w:hAnsi="Times New Roman"/>
          <w:sz w:val="22"/>
          <w:szCs w:val="22"/>
          <w:vertAlign w:val="superscript"/>
        </w:rPr>
        <w:t xml:space="preserve">2</w:t>
      </w:r>
      <w:r>
        <w:rPr>
          <w:rFonts w:ascii="Times New Roman" w:cs="Times New Roman" w:eastAsia="Times New Roman" w:hAnsi="Times New Roman"/>
          <w:sz w:val="22"/>
          <w:szCs w:val="22"/>
        </w:rPr>
        <w:t xml:space="preserve"> and local standardised coefficients of AOD, CH</w:t>
      </w:r>
      <w:r>
        <w:rPr>
          <w:rFonts w:ascii="Times New Roman" w:cs="Times New Roman" w:eastAsia="Times New Roman" w:hAnsi="Times New Roman"/>
          <w:sz w:val="22"/>
          <w:szCs w:val="22"/>
          <w:vertAlign w:val="subscript"/>
        </w:rPr>
        <w:t xml:space="preserve">4</w:t>
      </w:r>
      <w:r>
        <w:rPr>
          <w:rFonts w:ascii="Times New Roman" w:cs="Times New Roman" w:eastAsia="Times New Roman" w:hAnsi="Times New Roman"/>
          <w:sz w:val="22"/>
          <w:szCs w:val="22"/>
        </w:rPr>
        <w:t xml:space="preserve">, HCHO, NO</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and CO. Grey cells are not significant after correction for multiple testing.</w:t>
      </w:r>
    </w:p>
    <w:p>
      <w:pPr>
        <w:spacing w:after="160" w:line="360"/>
        <w:jc w:val="both"/>
      </w:pPr>
      <w:r>
        <w:rPr>
          <w:rFonts w:ascii="Times New Roman" w:cs="Times New Roman" w:eastAsia="Times New Roman" w:hAnsi="Times New Roman"/>
          <w:sz w:val="24"/>
          <w:szCs w:val="24"/>
        </w:rPr>
        <w:t xml:space="preserve">Mean PM</w:t>
      </w:r>
      <w:r>
        <w:rPr>
          <w:rFonts w:ascii="Times New Roman" w:cs="Times New Roman" w:eastAsia="Times New Roman" w:hAnsi="Times New Roman"/>
          <w:sz w:val="24"/>
          <w:szCs w:val="24"/>
          <w:vertAlign w:val="subscript"/>
        </w:rPr>
        <w:t xml:space="preserve">2.5</w:t>
      </w:r>
      <w:r>
        <w:rPr>
          <w:rFonts w:ascii="Times New Roman" w:cs="Times New Roman" w:eastAsia="Times New Roman" w:hAnsi="Times New Roman"/>
          <w:sz w:val="24"/>
          <w:szCs w:val="24"/>
        </w:rPr>
        <w:t xml:space="preserve"> at the 16 stations ranged from 39.8 µg m</w:t>
      </w:r>
      <w:r>
        <w:rPr>
          <w:rFonts w:ascii="Times New Roman" w:cs="Times New Roman" w:eastAsia="Times New Roman" w:hAnsi="Times New Roman"/>
          <w:sz w:val="24"/>
          <w:szCs w:val="24"/>
          <w:vertAlign w:val="superscript"/>
        </w:rPr>
        <w:t xml:space="preserve">−3</w:t>
      </w:r>
      <w:r>
        <w:rPr>
          <w:rFonts w:ascii="Times New Roman" w:cs="Times New Roman" w:eastAsia="Times New Roman" w:hAnsi="Times New Roman"/>
          <w:sz w:val="24"/>
          <w:szCs w:val="24"/>
        </w:rPr>
        <w:t xml:space="preserve"> in Barishal to 141.0 µg m</w:t>
      </w:r>
      <w:r>
        <w:rPr>
          <w:rFonts w:ascii="Times New Roman" w:cs="Times New Roman" w:eastAsia="Times New Roman" w:hAnsi="Times New Roman"/>
          <w:sz w:val="24"/>
          <w:szCs w:val="24"/>
          <w:vertAlign w:val="superscript"/>
        </w:rPr>
        <w:t xml:space="preserve">−3</w:t>
      </w:r>
      <w:r>
        <w:rPr>
          <w:rFonts w:ascii="Times New Roman" w:cs="Times New Roman" w:eastAsia="Times New Roman" w:hAnsi="Times New Roman"/>
          <w:sz w:val="24"/>
          <w:szCs w:val="24"/>
        </w:rPr>
        <w:t xml:space="preserve"> in Narayanganj (Table 10). Every station exceeded the WHO annual guideline, by a factor of 8 to 28, and the national annual standard, by a factor of 1.1 to 4.0. Mean PM</w:t>
      </w:r>
      <w:r>
        <w:rPr>
          <w:rFonts w:ascii="Times New Roman" w:cs="Times New Roman" w:eastAsia="Times New Roman" w:hAnsi="Times New Roman"/>
          <w:sz w:val="24"/>
          <w:szCs w:val="24"/>
          <w:vertAlign w:val="subscript"/>
        </w:rPr>
        <w:t xml:space="preserve">10</w:t>
      </w:r>
      <w:r>
        <w:rPr>
          <w:rFonts w:ascii="Times New Roman" w:cs="Times New Roman" w:eastAsia="Times New Roman" w:hAnsi="Times New Roman"/>
          <w:sz w:val="24"/>
          <w:szCs w:val="24"/>
        </w:rPr>
        <w:t xml:space="preserve"> at the 15 stations with data ranged from 70.1 to 234.6 µg m</w:t>
      </w:r>
      <w:r>
        <w:rPr>
          <w:rFonts w:ascii="Times New Roman" w:cs="Times New Roman" w:eastAsia="Times New Roman" w:hAnsi="Times New Roman"/>
          <w:sz w:val="24"/>
          <w:szCs w:val="24"/>
          <w:vertAlign w:val="superscript"/>
        </w:rPr>
        <w:t xml:space="preserve">−3</w:t>
      </w:r>
      <w:r>
        <w:rPr>
          <w:rFonts w:ascii="Times New Roman" w:cs="Times New Roman" w:eastAsia="Times New Roman" w:hAnsi="Times New Roman"/>
          <w:sz w:val="24"/>
          <w:szCs w:val="24"/>
        </w:rPr>
        <w:t xml:space="preserve">, and all stations exceeded both limits. These means are based on the months with sufficient data, which differ between stations, so values for stations with few valid months are weighted towards the dry season.</w:t>
      </w:r>
    </w:p>
    <w:p>
      <w:pPr>
        <w:pStyle w:val="Heading1"/>
        <w:keepNext/>
        <w:spacing w:after="140" w:before="280" w:line="360"/>
      </w:pPr>
      <w:r>
        <w:rPr>
          <w:rFonts w:ascii="Times New Roman" w:cs="Times New Roman" w:eastAsia="Times New Roman" w:hAnsi="Times New Roman"/>
          <w:b/>
          <w:bCs/>
          <w:color w:val="000000"/>
          <w:sz w:val="26"/>
          <w:szCs w:val="26"/>
        </w:rPr>
        <w:t xml:space="preserve">5. Discussion</w:t>
      </w:r>
    </w:p>
    <w:p>
      <w:pPr>
        <w:pStyle w:val="Heading2"/>
        <w:keepNext/>
        <w:spacing w:after="120" w:before="200" w:line="360"/>
      </w:pPr>
      <w:r>
        <w:rPr>
          <w:rFonts w:ascii="Times New Roman" w:cs="Times New Roman" w:eastAsia="Times New Roman" w:hAnsi="Times New Roman"/>
          <w:b/>
          <w:bCs/>
          <w:i/>
          <w:iCs/>
          <w:color w:val="000000"/>
          <w:sz w:val="24"/>
          <w:szCs w:val="24"/>
        </w:rPr>
        <w:t xml:space="preserve">5.1 Pollution Hotspots and Their Likely Sources</w:t>
      </w:r>
    </w:p>
    <w:p>
      <w:pPr>
        <w:spacing w:after="160" w:line="360"/>
        <w:jc w:val="both"/>
      </w:pPr>
      <w:r>
        <w:rPr>
          <w:rFonts w:ascii="Times New Roman" w:cs="Times New Roman" w:eastAsia="Times New Roman" w:hAnsi="Times New Roman"/>
          <w:sz w:val="24"/>
          <w:szCs w:val="24"/>
        </w:rPr>
        <w:t xml:space="preserve">Two spatial regimes emerge from the maps and from the PCA. The first is regional. AOD, CO and, to a lesser extent, UVAI decline from west to east, with the highest values in the districts adjoining the Indo-Gangetic Plain. This agrees with earlier satellite and ground-based studies, which found the highest aerosol loads in the west of Bangladesh and a decline towards the south-east (Zaman et al., 2021), and with the build-up of fine particulate matter across the Indo-Gangetic Plain in the cool season (Ojha et al., 2020).</w:t>
      </w:r>
    </w:p>
    <w:p>
      <w:pPr>
        <w:keepNext/>
        <w:spacing w:after="80" w:before="120"/>
        <w:jc w:val="center"/>
      </w:pPr>
      <w:r>
        <w:drawing>
          <wp:inline distT="0" distB="0" distL="0" distR="0">
            <wp:extent cx="5724525" cy="4591050"/>
            <wp:effectExtent t="0" r="0" b="0" l="0"/>
            <wp:docPr id="1" name="Figure 16" descr="GWR results for nighttime LST: local R2 and local standardised coefficients of AOD, CH4, HCHO, NO2 and CO. Grey cells are not significant after correction for multiple testing."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24525" cy="4591050"/>
                    </a:xfrm>
                    <a:prstGeom prst="rect">
                      <a:avLst/>
                    </a:prstGeom>
                  </pic:spPr>
                </pic:pic>
              </a:graphicData>
            </a:graphic>
          </wp:inline>
        </w:drawing>
      </w:r>
    </w:p>
    <w:p>
      <w:pPr>
        <w:keepLines/>
        <w:spacing w:after="240" w:line="276"/>
        <w:jc w:val="both"/>
      </w:pPr>
      <w:r>
        <w:rPr>
          <w:rFonts w:ascii="Times New Roman" w:cs="Times New Roman" w:eastAsia="Times New Roman" w:hAnsi="Times New Roman"/>
          <w:b/>
          <w:bCs/>
          <w:sz w:val="22"/>
          <w:szCs w:val="22"/>
        </w:rPr>
        <w:t xml:space="preserve">Figure 16. </w:t>
      </w:r>
      <w:r>
        <w:rPr>
          <w:rFonts w:ascii="Times New Roman" w:cs="Times New Roman" w:eastAsia="Times New Roman" w:hAnsi="Times New Roman"/>
          <w:sz w:val="22"/>
          <w:szCs w:val="22"/>
        </w:rPr>
        <w:t xml:space="preserve">GWR results for nighttime LST: local </w:t>
      </w:r>
      <w:r>
        <w:rPr>
          <w:rFonts w:ascii="Times New Roman" w:cs="Times New Roman" w:eastAsia="Times New Roman" w:hAnsi="Times New Roman"/>
          <w:i/>
          <w:iCs/>
          <w:sz w:val="22"/>
          <w:szCs w:val="22"/>
        </w:rPr>
        <w:t xml:space="preserve">R</w:t>
      </w:r>
      <w:r>
        <w:rPr>
          <w:rFonts w:ascii="Times New Roman" w:cs="Times New Roman" w:eastAsia="Times New Roman" w:hAnsi="Times New Roman"/>
          <w:sz w:val="22"/>
          <w:szCs w:val="22"/>
          <w:vertAlign w:val="superscript"/>
        </w:rPr>
        <w:t xml:space="preserve">2</w:t>
      </w:r>
      <w:r>
        <w:rPr>
          <w:rFonts w:ascii="Times New Roman" w:cs="Times New Roman" w:eastAsia="Times New Roman" w:hAnsi="Times New Roman"/>
          <w:sz w:val="22"/>
          <w:szCs w:val="22"/>
        </w:rPr>
        <w:t xml:space="preserve"> and local standardised coefficients of AOD, CH</w:t>
      </w:r>
      <w:r>
        <w:rPr>
          <w:rFonts w:ascii="Times New Roman" w:cs="Times New Roman" w:eastAsia="Times New Roman" w:hAnsi="Times New Roman"/>
          <w:sz w:val="22"/>
          <w:szCs w:val="22"/>
          <w:vertAlign w:val="subscript"/>
        </w:rPr>
        <w:t xml:space="preserve">4</w:t>
      </w:r>
      <w:r>
        <w:rPr>
          <w:rFonts w:ascii="Times New Roman" w:cs="Times New Roman" w:eastAsia="Times New Roman" w:hAnsi="Times New Roman"/>
          <w:sz w:val="22"/>
          <w:szCs w:val="22"/>
        </w:rPr>
        <w:t xml:space="preserve">, HCHO, NO</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and CO. Grey cells are not significant after correction for multiple testing.</w:t>
      </w:r>
    </w:p>
    <w:p>
      <w:pPr>
        <w:keepNext/>
        <w:spacing w:after="100" w:before="240" w:line="276"/>
        <w:jc w:val="left"/>
      </w:pPr>
      <w:r>
        <w:rPr>
          <w:rFonts w:ascii="Times New Roman" w:cs="Times New Roman" w:eastAsia="Times New Roman" w:hAnsi="Times New Roman"/>
          <w:b/>
          <w:bCs/>
          <w:sz w:val="22"/>
          <w:szCs w:val="22"/>
        </w:rPr>
        <w:t xml:space="preserve">Table 9. </w:t>
      </w:r>
      <w:r>
        <w:rPr>
          <w:rFonts w:ascii="Times New Roman" w:cs="Times New Roman" w:eastAsia="Times New Roman" w:hAnsi="Times New Roman"/>
          <w:sz w:val="22"/>
          <w:szCs w:val="22"/>
        </w:rPr>
        <w:t xml:space="preserve">Correlation between monthly station measurements and satellite values at the station locations in 2025.</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1826"/>
        <w:gridCol w:w="700"/>
        <w:gridCol w:w="800"/>
        <w:gridCol w:w="1000"/>
        <w:gridCol w:w="800"/>
        <w:gridCol w:w="700"/>
        <w:gridCol w:w="800"/>
        <w:gridCol w:w="1100"/>
      </w:tblGrid>
      <w:tr>
        <w:trPr>
          <w:cantSplit/>
          <w:tblHeader/>
        </w:trPr>
        <w:tc>
          <w:tcPr>
            <w:tcW w:type="dxa" w:w="1300"/>
            <w:gridSpan w:val="1"/>
            <w:tcBorders>
              <w:top w:val="single" w:color="000000" w:sz="12"/>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p>
        </w:tc>
        <w:tc>
          <w:tcPr>
            <w:tcW w:type="dxa" w:w="1826"/>
            <w:gridSpan w:val="1"/>
            <w:tcBorders>
              <w:top w:val="single" w:color="000000" w:sz="12"/>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p>
        </w:tc>
        <w:tc>
          <w:tcPr>
            <w:tcW w:type="dxa" w:w="3300"/>
            <w:gridSpan w:val="4"/>
            <w:tcBorders>
              <w:top w:val="single" w:color="000000" w:sz="12"/>
              <w:left w:val="none" w:color="FFFFFF" w:sz="0"/>
              <w:bottom w:val="single" w:color="000000" w:sz="4"/>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sz w:val="20"/>
                <w:szCs w:val="20"/>
              </w:rPr>
              <w:t xml:space="preserve">Station-months</w:t>
            </w:r>
          </w:p>
        </w:tc>
        <w:tc>
          <w:tcPr>
            <w:tcW w:type="dxa" w:w="2600"/>
            <w:gridSpan w:val="3"/>
            <w:tcBorders>
              <w:top w:val="single" w:color="000000" w:sz="12"/>
              <w:left w:val="none" w:color="FFFFFF" w:sz="0"/>
              <w:bottom w:val="single" w:color="000000" w:sz="4"/>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sz w:val="20"/>
                <w:szCs w:val="20"/>
              </w:rPr>
              <w:t xml:space="preserve">Station means</w:t>
            </w:r>
          </w:p>
        </w:tc>
      </w:tr>
      <w:tr>
        <w:trPr>
          <w:cantSplit/>
          <w:tblHeader/>
        </w:trPr>
        <w:tc>
          <w:tcPr>
            <w:tcW w:type="dxa" w:w="1300"/>
            <w:gridSpan w:val="1"/>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sz w:val="20"/>
                <w:szCs w:val="20"/>
              </w:rPr>
              <w:t xml:space="preserve">Station variable</w:t>
            </w:r>
          </w:p>
        </w:tc>
        <w:tc>
          <w:tcPr>
            <w:tcW w:type="dxa" w:w="1826"/>
            <w:gridSpan w:val="1"/>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sz w:val="20"/>
                <w:szCs w:val="20"/>
              </w:rPr>
              <w:t xml:space="preserve">Satellite variable</w:t>
            </w:r>
          </w:p>
        </w:tc>
        <w:tc>
          <w:tcPr>
            <w:tcW w:type="dxa" w:w="700"/>
            <w:gridSpan w:val="1"/>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i/>
                <w:iCs/>
                <w:sz w:val="20"/>
                <w:szCs w:val="20"/>
              </w:rPr>
              <w:t xml:space="preserve">n</w:t>
            </w:r>
          </w:p>
        </w:tc>
        <w:tc>
          <w:tcPr>
            <w:tcW w:type="dxa" w:w="800"/>
            <w:gridSpan w:val="1"/>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i/>
                <w:iCs/>
                <w:sz w:val="20"/>
                <w:szCs w:val="20"/>
              </w:rPr>
              <w:t xml:space="preserve">r</w:t>
            </w:r>
          </w:p>
        </w:tc>
        <w:tc>
          <w:tcPr>
            <w:tcW w:type="dxa" w:w="1000"/>
            <w:gridSpan w:val="1"/>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i/>
                <w:iCs/>
                <w:sz w:val="20"/>
                <w:szCs w:val="20"/>
              </w:rPr>
              <w:t xml:space="preserve">p</w:t>
            </w:r>
          </w:p>
        </w:tc>
        <w:tc>
          <w:tcPr>
            <w:tcW w:type="dxa" w:w="800"/>
            <w:gridSpan w:val="1"/>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i/>
                <w:iCs/>
                <w:sz w:val="20"/>
                <w:szCs w:val="20"/>
              </w:rPr>
              <w:t xml:space="preserve">ρ</w:t>
            </w:r>
          </w:p>
        </w:tc>
        <w:tc>
          <w:tcPr>
            <w:tcW w:type="dxa" w:w="700"/>
            <w:gridSpan w:val="1"/>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i/>
                <w:iCs/>
                <w:sz w:val="20"/>
                <w:szCs w:val="20"/>
              </w:rPr>
              <w:t xml:space="preserve">n</w:t>
            </w:r>
          </w:p>
        </w:tc>
        <w:tc>
          <w:tcPr>
            <w:tcW w:type="dxa" w:w="800"/>
            <w:gridSpan w:val="1"/>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i/>
                <w:iCs/>
                <w:sz w:val="20"/>
                <w:szCs w:val="20"/>
              </w:rPr>
              <w:t xml:space="preserve">r</w:t>
            </w:r>
          </w:p>
        </w:tc>
        <w:tc>
          <w:tcPr>
            <w:tcW w:type="dxa" w:w="1100"/>
            <w:gridSpan w:val="1"/>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i/>
                <w:iCs/>
                <w:sz w:val="20"/>
                <w:szCs w:val="20"/>
              </w:rPr>
              <w:t xml:space="preserve">p</w:t>
            </w:r>
          </w:p>
        </w:tc>
      </w:tr>
      <w:tr>
        <w:trPr>
          <w:cantSplit/>
        </w:trPr>
        <w:tc>
          <w:tcPr>
            <w:tcW w:type="dxa" w:w="13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PM</w:t>
            </w:r>
            <w:r>
              <w:rPr>
                <w:rFonts w:ascii="Times New Roman" w:cs="Times New Roman" w:eastAsia="Times New Roman" w:hAnsi="Times New Roman"/>
                <w:b w:val="false"/>
                <w:bCs w:val="false"/>
                <w:sz w:val="20"/>
                <w:szCs w:val="20"/>
                <w:vertAlign w:val="subscript"/>
              </w:rPr>
              <w:t xml:space="preserve">2.5</w:t>
            </w:r>
          </w:p>
        </w:tc>
        <w:tc>
          <w:tcPr>
            <w:tcW w:type="dxa" w:w="18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AOD</w:t>
            </w:r>
          </w:p>
        </w:tc>
        <w:tc>
          <w:tcPr>
            <w:tcW w:type="dxa" w:w="7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132</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0.50</w:t>
            </w:r>
          </w:p>
        </w:tc>
        <w:tc>
          <w:tcPr>
            <w:tcW w:type="dxa" w:w="10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&lt; 0.001</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0.54</w:t>
            </w:r>
          </w:p>
        </w:tc>
        <w:tc>
          <w:tcPr>
            <w:tcW w:type="dxa" w:w="7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16</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0.51</w:t>
            </w:r>
          </w:p>
        </w:tc>
        <w:tc>
          <w:tcPr>
            <w:tcW w:type="dxa" w:w="11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0.046</w:t>
            </w:r>
          </w:p>
        </w:tc>
      </w:tr>
      <w:tr>
        <w:trPr>
          <w:cantSplit/>
        </w:trPr>
        <w:tc>
          <w:tcPr>
            <w:tcW w:type="dxa" w:w="13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PM</w:t>
            </w:r>
            <w:r>
              <w:rPr>
                <w:rFonts w:ascii="Times New Roman" w:cs="Times New Roman" w:eastAsia="Times New Roman" w:hAnsi="Times New Roman"/>
                <w:b w:val="false"/>
                <w:bCs w:val="false"/>
                <w:sz w:val="20"/>
                <w:szCs w:val="20"/>
                <w:vertAlign w:val="subscript"/>
              </w:rPr>
              <w:t xml:space="preserve">10</w:t>
            </w:r>
          </w:p>
        </w:tc>
        <w:tc>
          <w:tcPr>
            <w:tcW w:type="dxa" w:w="18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AOD</w:t>
            </w:r>
          </w:p>
        </w:tc>
        <w:tc>
          <w:tcPr>
            <w:tcW w:type="dxa" w:w="7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103</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0.60</w:t>
            </w:r>
          </w:p>
        </w:tc>
        <w:tc>
          <w:tcPr>
            <w:tcW w:type="dxa" w:w="10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&lt; 0.001</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0.65</w:t>
            </w:r>
          </w:p>
        </w:tc>
        <w:tc>
          <w:tcPr>
            <w:tcW w:type="dxa" w:w="7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15</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0.62</w:t>
            </w:r>
          </w:p>
        </w:tc>
        <w:tc>
          <w:tcPr>
            <w:tcW w:type="dxa" w:w="11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0.013</w:t>
            </w:r>
          </w:p>
        </w:tc>
      </w:tr>
      <w:tr>
        <w:trPr>
          <w:cantSplit/>
        </w:trPr>
        <w:tc>
          <w:tcPr>
            <w:tcW w:type="dxa" w:w="13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PM</w:t>
            </w:r>
            <w:r>
              <w:rPr>
                <w:rFonts w:ascii="Times New Roman" w:cs="Times New Roman" w:eastAsia="Times New Roman" w:hAnsi="Times New Roman"/>
                <w:b w:val="false"/>
                <w:bCs w:val="false"/>
                <w:sz w:val="20"/>
                <w:szCs w:val="20"/>
                <w:vertAlign w:val="subscript"/>
              </w:rPr>
              <w:t xml:space="preserve">2.5</w:t>
            </w:r>
          </w:p>
        </w:tc>
        <w:tc>
          <w:tcPr>
            <w:tcW w:type="dxa" w:w="18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UVAI</w:t>
            </w:r>
          </w:p>
        </w:tc>
        <w:tc>
          <w:tcPr>
            <w:tcW w:type="dxa" w:w="7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155</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0.72</w:t>
            </w:r>
          </w:p>
        </w:tc>
        <w:tc>
          <w:tcPr>
            <w:tcW w:type="dxa" w:w="10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&lt; 0.001</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0.75</w:t>
            </w:r>
          </w:p>
        </w:tc>
        <w:tc>
          <w:tcPr>
            <w:tcW w:type="dxa" w:w="7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16</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0.71</w:t>
            </w:r>
          </w:p>
        </w:tc>
        <w:tc>
          <w:tcPr>
            <w:tcW w:type="dxa" w:w="11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0.002</w:t>
            </w:r>
          </w:p>
        </w:tc>
      </w:tr>
      <w:tr>
        <w:trPr>
          <w:cantSplit/>
        </w:trPr>
        <w:tc>
          <w:tcPr>
            <w:tcW w:type="dxa" w:w="13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NO</w:t>
            </w:r>
            <w:r>
              <w:rPr>
                <w:rFonts w:ascii="Times New Roman" w:cs="Times New Roman" w:eastAsia="Times New Roman" w:hAnsi="Times New Roman"/>
                <w:b w:val="false"/>
                <w:bCs w:val="false"/>
                <w:sz w:val="20"/>
                <w:szCs w:val="20"/>
                <w:vertAlign w:val="subscript"/>
              </w:rPr>
              <w:t xml:space="preserve">2</w:t>
            </w:r>
          </w:p>
        </w:tc>
        <w:tc>
          <w:tcPr>
            <w:tcW w:type="dxa" w:w="18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NO</w:t>
            </w:r>
            <w:r>
              <w:rPr>
                <w:rFonts w:ascii="Times New Roman" w:cs="Times New Roman" w:eastAsia="Times New Roman" w:hAnsi="Times New Roman"/>
                <w:b w:val="false"/>
                <w:bCs w:val="false"/>
                <w:sz w:val="20"/>
                <w:szCs w:val="20"/>
                <w:vertAlign w:val="subscript"/>
              </w:rPr>
              <w:t xml:space="preserve">2</w:t>
            </w:r>
            <w:r>
              <w:rPr>
                <w:rFonts w:ascii="Times New Roman" w:cs="Times New Roman" w:eastAsia="Times New Roman" w:hAnsi="Times New Roman"/>
                <w:b w:val="false"/>
                <w:bCs w:val="false"/>
                <w:sz w:val="20"/>
                <w:szCs w:val="20"/>
              </w:rPr>
              <w:t xml:space="preserve"> column</w:t>
            </w:r>
          </w:p>
        </w:tc>
        <w:tc>
          <w:tcPr>
            <w:tcW w:type="dxa" w:w="7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117</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0.41</w:t>
            </w:r>
          </w:p>
        </w:tc>
        <w:tc>
          <w:tcPr>
            <w:tcW w:type="dxa" w:w="10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&lt; 0.001</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0.46</w:t>
            </w:r>
          </w:p>
        </w:tc>
        <w:tc>
          <w:tcPr>
            <w:tcW w:type="dxa" w:w="7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15</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0.12</w:t>
            </w:r>
          </w:p>
        </w:tc>
        <w:tc>
          <w:tcPr>
            <w:tcW w:type="dxa" w:w="11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0.673</w:t>
            </w:r>
          </w:p>
        </w:tc>
      </w:tr>
      <w:tr>
        <w:trPr>
          <w:cantSplit/>
        </w:trPr>
        <w:tc>
          <w:tcPr>
            <w:tcW w:type="dxa" w:w="13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SO</w:t>
            </w:r>
            <w:r>
              <w:rPr>
                <w:rFonts w:ascii="Times New Roman" w:cs="Times New Roman" w:eastAsia="Times New Roman" w:hAnsi="Times New Roman"/>
                <w:b w:val="false"/>
                <w:bCs w:val="false"/>
                <w:sz w:val="20"/>
                <w:szCs w:val="20"/>
                <w:vertAlign w:val="subscript"/>
              </w:rPr>
              <w:t xml:space="preserve">2</w:t>
            </w:r>
          </w:p>
        </w:tc>
        <w:tc>
          <w:tcPr>
            <w:tcW w:type="dxa" w:w="18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SO</w:t>
            </w:r>
            <w:r>
              <w:rPr>
                <w:rFonts w:ascii="Times New Roman" w:cs="Times New Roman" w:eastAsia="Times New Roman" w:hAnsi="Times New Roman"/>
                <w:b w:val="false"/>
                <w:bCs w:val="false"/>
                <w:sz w:val="20"/>
                <w:szCs w:val="20"/>
                <w:vertAlign w:val="subscript"/>
              </w:rPr>
              <w:t xml:space="preserve">2</w:t>
            </w:r>
            <w:r>
              <w:rPr>
                <w:rFonts w:ascii="Times New Roman" w:cs="Times New Roman" w:eastAsia="Times New Roman" w:hAnsi="Times New Roman"/>
                <w:b w:val="false"/>
                <w:bCs w:val="false"/>
                <w:sz w:val="20"/>
                <w:szCs w:val="20"/>
              </w:rPr>
              <w:t xml:space="preserve"> column</w:t>
            </w:r>
          </w:p>
        </w:tc>
        <w:tc>
          <w:tcPr>
            <w:tcW w:type="dxa" w:w="7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134</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0.27</w:t>
            </w:r>
          </w:p>
        </w:tc>
        <w:tc>
          <w:tcPr>
            <w:tcW w:type="dxa" w:w="10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0.002</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0.23</w:t>
            </w:r>
          </w:p>
        </w:tc>
        <w:tc>
          <w:tcPr>
            <w:tcW w:type="dxa" w:w="7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15</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−0.11</w:t>
            </w:r>
          </w:p>
        </w:tc>
        <w:tc>
          <w:tcPr>
            <w:tcW w:type="dxa" w:w="11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0.696</w:t>
            </w:r>
          </w:p>
        </w:tc>
      </w:tr>
      <w:tr>
        <w:trPr>
          <w:cantSplit/>
        </w:trPr>
        <w:tc>
          <w:tcPr>
            <w:tcW w:type="dxa" w:w="13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CO</w:t>
            </w:r>
          </w:p>
        </w:tc>
        <w:tc>
          <w:tcPr>
            <w:tcW w:type="dxa" w:w="18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CO column</w:t>
            </w:r>
          </w:p>
        </w:tc>
        <w:tc>
          <w:tcPr>
            <w:tcW w:type="dxa" w:w="7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128</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0.17</w:t>
            </w:r>
          </w:p>
        </w:tc>
        <w:tc>
          <w:tcPr>
            <w:tcW w:type="dxa" w:w="10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0.056</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0.21</w:t>
            </w:r>
          </w:p>
        </w:tc>
        <w:tc>
          <w:tcPr>
            <w:tcW w:type="dxa" w:w="7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15</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0.50</w:t>
            </w:r>
          </w:p>
        </w:tc>
        <w:tc>
          <w:tcPr>
            <w:tcW w:type="dxa" w:w="11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0.059</w:t>
            </w:r>
          </w:p>
        </w:tc>
      </w:tr>
      <w:tr>
        <w:trPr>
          <w:cantSplit/>
        </w:trPr>
        <w:tc>
          <w:tcPr>
            <w:tcW w:type="dxa" w:w="1300"/>
            <w:gridSpan w:val="1"/>
            <w:tcBorders>
              <w:top w:val="none" w:color="FFFFFF" w:sz="0"/>
              <w:left w:val="none" w:color="FFFFFF" w:sz="0"/>
              <w:bottom w:val="single" w:color="000000" w:sz="12"/>
              <w:right w:val="none" w:color="FFFFFF" w:sz="0"/>
            </w:tcBorders>
            <w:tcMar>
              <w:top w:type="dxa" w:w="40"/>
              <w:left w:type="dxa" w:w="60"/>
              <w:bottom w:type="dxa" w:w="40"/>
              <w:right w:type="dxa" w:w="60"/>
            </w:tcMar>
            <w:vAlign w:val="center"/>
          </w:tcPr>
          <w:p>
            <w:pPr>
              <w:keepNext w:val="false"/>
              <w:spacing w:after="0" w:line="240"/>
              <w:jc w:val="left"/>
            </w:pPr>
            <w:r>
              <w:rPr>
                <w:rFonts w:ascii="Times New Roman" w:cs="Times New Roman" w:eastAsia="Times New Roman" w:hAnsi="Times New Roman"/>
                <w:b w:val="false"/>
                <w:bCs w:val="false"/>
                <w:sz w:val="20"/>
                <w:szCs w:val="20"/>
              </w:rPr>
              <w:t xml:space="preserve">O</w:t>
            </w:r>
            <w:r>
              <w:rPr>
                <w:rFonts w:ascii="Times New Roman" w:cs="Times New Roman" w:eastAsia="Times New Roman" w:hAnsi="Times New Roman"/>
                <w:b w:val="false"/>
                <w:bCs w:val="false"/>
                <w:sz w:val="20"/>
                <w:szCs w:val="20"/>
                <w:vertAlign w:val="subscript"/>
              </w:rPr>
              <w:t xml:space="preserve">3</w:t>
            </w:r>
          </w:p>
        </w:tc>
        <w:tc>
          <w:tcPr>
            <w:tcW w:type="dxa" w:w="1826"/>
            <w:gridSpan w:val="1"/>
            <w:tcBorders>
              <w:top w:val="none" w:color="FFFFFF" w:sz="0"/>
              <w:left w:val="none" w:color="FFFFFF" w:sz="0"/>
              <w:bottom w:val="single" w:color="000000" w:sz="12"/>
              <w:right w:val="none" w:color="FFFFFF" w:sz="0"/>
            </w:tcBorders>
            <w:tcMar>
              <w:top w:type="dxa" w:w="40"/>
              <w:left w:type="dxa" w:w="60"/>
              <w:bottom w:type="dxa" w:w="40"/>
              <w:right w:type="dxa" w:w="60"/>
            </w:tcMar>
            <w:vAlign w:val="center"/>
          </w:tcPr>
          <w:p>
            <w:pPr>
              <w:keepNext w:val="false"/>
              <w:spacing w:after="0" w:line="240"/>
              <w:jc w:val="left"/>
            </w:pPr>
            <w:r>
              <w:rPr>
                <w:rFonts w:ascii="Times New Roman" w:cs="Times New Roman" w:eastAsia="Times New Roman" w:hAnsi="Times New Roman"/>
                <w:b w:val="false"/>
                <w:bCs w:val="false"/>
                <w:sz w:val="20"/>
                <w:szCs w:val="20"/>
              </w:rPr>
              <w:t xml:space="preserve">O</w:t>
            </w:r>
            <w:r>
              <w:rPr>
                <w:rFonts w:ascii="Times New Roman" w:cs="Times New Roman" w:eastAsia="Times New Roman" w:hAnsi="Times New Roman"/>
                <w:b w:val="false"/>
                <w:bCs w:val="false"/>
                <w:sz w:val="20"/>
                <w:szCs w:val="20"/>
                <w:vertAlign w:val="subscript"/>
              </w:rPr>
              <w:t xml:space="preserve">3</w:t>
            </w:r>
            <w:r>
              <w:rPr>
                <w:rFonts w:ascii="Times New Roman" w:cs="Times New Roman" w:eastAsia="Times New Roman" w:hAnsi="Times New Roman"/>
                <w:b w:val="false"/>
                <w:bCs w:val="false"/>
                <w:sz w:val="20"/>
                <w:szCs w:val="20"/>
              </w:rPr>
              <w:t xml:space="preserve"> total column</w:t>
            </w:r>
          </w:p>
        </w:tc>
        <w:tc>
          <w:tcPr>
            <w:tcW w:type="dxa" w:w="700"/>
            <w:gridSpan w:val="1"/>
            <w:tcBorders>
              <w:top w:val="none" w:color="FFFFFF" w:sz="0"/>
              <w:left w:val="none" w:color="FFFFFF" w:sz="0"/>
              <w:bottom w:val="single" w:color="000000" w:sz="12"/>
              <w:right w:val="none" w:color="FFFFFF" w:sz="0"/>
            </w:tcBorders>
            <w:tcMar>
              <w:top w:type="dxa" w:w="40"/>
              <w:left w:type="dxa" w:w="60"/>
              <w:bottom w:type="dxa" w:w="40"/>
              <w:right w:type="dxa" w:w="60"/>
            </w:tcMar>
            <w:vAlign w:val="center"/>
          </w:tcPr>
          <w:p>
            <w:pPr>
              <w:keepNext w:val="false"/>
              <w:spacing w:after="0" w:line="240"/>
              <w:jc w:val="center"/>
            </w:pPr>
            <w:r>
              <w:rPr>
                <w:rFonts w:ascii="Times New Roman" w:cs="Times New Roman" w:eastAsia="Times New Roman" w:hAnsi="Times New Roman"/>
                <w:b w:val="false"/>
                <w:bCs w:val="false"/>
                <w:sz w:val="20"/>
                <w:szCs w:val="20"/>
              </w:rPr>
              <w:t xml:space="preserve">127</w:t>
            </w:r>
          </w:p>
        </w:tc>
        <w:tc>
          <w:tcPr>
            <w:tcW w:type="dxa" w:w="800"/>
            <w:gridSpan w:val="1"/>
            <w:tcBorders>
              <w:top w:val="none" w:color="FFFFFF" w:sz="0"/>
              <w:left w:val="none" w:color="FFFFFF" w:sz="0"/>
              <w:bottom w:val="single" w:color="000000" w:sz="12"/>
              <w:right w:val="none" w:color="FFFFFF" w:sz="0"/>
            </w:tcBorders>
            <w:tcMar>
              <w:top w:type="dxa" w:w="40"/>
              <w:left w:type="dxa" w:w="60"/>
              <w:bottom w:type="dxa" w:w="40"/>
              <w:right w:type="dxa" w:w="60"/>
            </w:tcMar>
            <w:vAlign w:val="center"/>
          </w:tcPr>
          <w:p>
            <w:pPr>
              <w:keepNext w:val="false"/>
              <w:spacing w:after="0" w:line="240"/>
              <w:jc w:val="center"/>
            </w:pPr>
            <w:r>
              <w:rPr>
                <w:rFonts w:ascii="Times New Roman" w:cs="Times New Roman" w:eastAsia="Times New Roman" w:hAnsi="Times New Roman"/>
                <w:b w:val="false"/>
                <w:bCs w:val="false"/>
                <w:sz w:val="20"/>
                <w:szCs w:val="20"/>
              </w:rPr>
              <w:t xml:space="preserve">0.07</w:t>
            </w:r>
          </w:p>
        </w:tc>
        <w:tc>
          <w:tcPr>
            <w:tcW w:type="dxa" w:w="1000"/>
            <w:gridSpan w:val="1"/>
            <w:tcBorders>
              <w:top w:val="none" w:color="FFFFFF" w:sz="0"/>
              <w:left w:val="none" w:color="FFFFFF" w:sz="0"/>
              <w:bottom w:val="single" w:color="000000" w:sz="12"/>
              <w:right w:val="none" w:color="FFFFFF" w:sz="0"/>
            </w:tcBorders>
            <w:tcMar>
              <w:top w:type="dxa" w:w="40"/>
              <w:left w:type="dxa" w:w="60"/>
              <w:bottom w:type="dxa" w:w="40"/>
              <w:right w:type="dxa" w:w="60"/>
            </w:tcMar>
            <w:vAlign w:val="center"/>
          </w:tcPr>
          <w:p>
            <w:pPr>
              <w:keepNext w:val="false"/>
              <w:spacing w:after="0" w:line="240"/>
              <w:jc w:val="center"/>
            </w:pPr>
            <w:r>
              <w:rPr>
                <w:rFonts w:ascii="Times New Roman" w:cs="Times New Roman" w:eastAsia="Times New Roman" w:hAnsi="Times New Roman"/>
                <w:b w:val="false"/>
                <w:bCs w:val="false"/>
                <w:sz w:val="20"/>
                <w:szCs w:val="20"/>
              </w:rPr>
              <w:t xml:space="preserve">0.407</w:t>
            </w:r>
          </w:p>
        </w:tc>
        <w:tc>
          <w:tcPr>
            <w:tcW w:type="dxa" w:w="800"/>
            <w:gridSpan w:val="1"/>
            <w:tcBorders>
              <w:top w:val="none" w:color="FFFFFF" w:sz="0"/>
              <w:left w:val="none" w:color="FFFFFF" w:sz="0"/>
              <w:bottom w:val="single" w:color="000000" w:sz="12"/>
              <w:right w:val="none" w:color="FFFFFF" w:sz="0"/>
            </w:tcBorders>
            <w:tcMar>
              <w:top w:type="dxa" w:w="40"/>
              <w:left w:type="dxa" w:w="60"/>
              <w:bottom w:type="dxa" w:w="40"/>
              <w:right w:type="dxa" w:w="60"/>
            </w:tcMar>
            <w:vAlign w:val="center"/>
          </w:tcPr>
          <w:p>
            <w:pPr>
              <w:keepNext w:val="false"/>
              <w:spacing w:after="0" w:line="240"/>
              <w:jc w:val="center"/>
            </w:pPr>
            <w:r>
              <w:rPr>
                <w:rFonts w:ascii="Times New Roman" w:cs="Times New Roman" w:eastAsia="Times New Roman" w:hAnsi="Times New Roman"/>
                <w:b w:val="false"/>
                <w:bCs w:val="false"/>
                <w:sz w:val="20"/>
                <w:szCs w:val="20"/>
              </w:rPr>
              <w:t xml:space="preserve">0.10</w:t>
            </w:r>
          </w:p>
        </w:tc>
        <w:tc>
          <w:tcPr>
            <w:tcW w:type="dxa" w:w="700"/>
            <w:gridSpan w:val="1"/>
            <w:tcBorders>
              <w:top w:val="none" w:color="FFFFFF" w:sz="0"/>
              <w:left w:val="none" w:color="FFFFFF" w:sz="0"/>
              <w:bottom w:val="single" w:color="000000" w:sz="12"/>
              <w:right w:val="none" w:color="FFFFFF" w:sz="0"/>
            </w:tcBorders>
            <w:tcMar>
              <w:top w:type="dxa" w:w="40"/>
              <w:left w:type="dxa" w:w="60"/>
              <w:bottom w:type="dxa" w:w="40"/>
              <w:right w:type="dxa" w:w="60"/>
            </w:tcMar>
            <w:vAlign w:val="center"/>
          </w:tcPr>
          <w:p>
            <w:pPr>
              <w:keepNext w:val="false"/>
              <w:spacing w:after="0" w:line="240"/>
              <w:jc w:val="center"/>
            </w:pPr>
            <w:r>
              <w:rPr>
                <w:rFonts w:ascii="Times New Roman" w:cs="Times New Roman" w:eastAsia="Times New Roman" w:hAnsi="Times New Roman"/>
                <w:b w:val="false"/>
                <w:bCs w:val="false"/>
                <w:sz w:val="20"/>
                <w:szCs w:val="20"/>
              </w:rPr>
              <w:t xml:space="preserve">16</w:t>
            </w:r>
          </w:p>
        </w:tc>
        <w:tc>
          <w:tcPr>
            <w:tcW w:type="dxa" w:w="800"/>
            <w:gridSpan w:val="1"/>
            <w:tcBorders>
              <w:top w:val="none" w:color="FFFFFF" w:sz="0"/>
              <w:left w:val="none" w:color="FFFFFF" w:sz="0"/>
              <w:bottom w:val="single" w:color="000000" w:sz="12"/>
              <w:right w:val="none" w:color="FFFFFF" w:sz="0"/>
            </w:tcBorders>
            <w:tcMar>
              <w:top w:type="dxa" w:w="40"/>
              <w:left w:type="dxa" w:w="60"/>
              <w:bottom w:type="dxa" w:w="40"/>
              <w:right w:type="dxa" w:w="60"/>
            </w:tcMar>
            <w:vAlign w:val="center"/>
          </w:tcPr>
          <w:p>
            <w:pPr>
              <w:keepNext w:val="false"/>
              <w:spacing w:after="0" w:line="240"/>
              <w:jc w:val="center"/>
            </w:pPr>
            <w:r>
              <w:rPr>
                <w:rFonts w:ascii="Times New Roman" w:cs="Times New Roman" w:eastAsia="Times New Roman" w:hAnsi="Times New Roman"/>
                <w:b w:val="false"/>
                <w:bCs w:val="false"/>
                <w:sz w:val="20"/>
                <w:szCs w:val="20"/>
              </w:rPr>
              <w:t xml:space="preserve">−0.10</w:t>
            </w:r>
          </w:p>
        </w:tc>
        <w:tc>
          <w:tcPr>
            <w:tcW w:type="dxa" w:w="1100"/>
            <w:gridSpan w:val="1"/>
            <w:tcBorders>
              <w:top w:val="none" w:color="FFFFFF" w:sz="0"/>
              <w:left w:val="none" w:color="FFFFFF" w:sz="0"/>
              <w:bottom w:val="single" w:color="000000" w:sz="12"/>
              <w:right w:val="none" w:color="FFFFFF" w:sz="0"/>
            </w:tcBorders>
            <w:tcMar>
              <w:top w:type="dxa" w:w="40"/>
              <w:left w:type="dxa" w:w="60"/>
              <w:bottom w:type="dxa" w:w="40"/>
              <w:right w:type="dxa" w:w="60"/>
            </w:tcMar>
            <w:vAlign w:val="center"/>
          </w:tcPr>
          <w:p>
            <w:pPr>
              <w:keepNext w:val="false"/>
              <w:spacing w:after="0" w:line="240"/>
              <w:jc w:val="center"/>
            </w:pPr>
            <w:r>
              <w:rPr>
                <w:rFonts w:ascii="Times New Roman" w:cs="Times New Roman" w:eastAsia="Times New Roman" w:hAnsi="Times New Roman"/>
                <w:b w:val="false"/>
                <w:bCs w:val="false"/>
                <w:sz w:val="20"/>
                <w:szCs w:val="20"/>
              </w:rPr>
              <w:t xml:space="preserve">0.716</w:t>
            </w:r>
          </w:p>
        </w:tc>
      </w:tr>
    </w:tbl>
    <w:p>
      <w:pPr>
        <w:spacing w:after="260" w:before="80" w:line="252"/>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 = Pearson coefficient; </w:t>
      </w:r>
      <w:r>
        <w:rPr>
          <w:rFonts w:ascii="Times New Roman" w:cs="Times New Roman" w:eastAsia="Times New Roman" w:hAnsi="Times New Roman"/>
          <w:i/>
          <w:iCs/>
          <w:sz w:val="20"/>
          <w:szCs w:val="20"/>
        </w:rPr>
        <w:t xml:space="preserve">ρ</w:t>
      </w:r>
      <w:r>
        <w:rPr>
          <w:rFonts w:ascii="Times New Roman" w:cs="Times New Roman" w:eastAsia="Times New Roman" w:hAnsi="Times New Roman"/>
          <w:sz w:val="20"/>
          <w:szCs w:val="20"/>
        </w:rPr>
        <w:t xml:space="preserve"> = Spearman coefficient. Station-months with less than 50% data capture were excluded. Satellite values are means of 3 × 3 pixels of the monthly composites.</w:t>
      </w:r>
    </w:p>
    <w:p>
      <w:pPr>
        <w:spacing w:after="160" w:line="360"/>
        <w:jc w:val="both"/>
      </w:pPr>
      <w:r>
        <w:rPr>
          <w:rFonts w:ascii="Times New Roman" w:cs="Times New Roman" w:eastAsia="Times New Roman" w:hAnsi="Times New Roman"/>
          <w:sz w:val="24"/>
          <w:szCs w:val="24"/>
        </w:rPr>
        <w:t xml:space="preserve">CO has an atmospheric lifetime of weeks to months, so its distribution reflects regional transport more than local emissions, which explains its close association with AOD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 0.79).</w:t>
      </w:r>
    </w:p>
    <w:p>
      <w:pPr>
        <w:keepNext/>
        <w:spacing w:after="80" w:before="120"/>
        <w:jc w:val="center"/>
      </w:pPr>
      <w:r>
        <w:drawing>
          <wp:inline distT="0" distB="0" distL="0" distR="0">
            <wp:extent cx="5724525" cy="2867025"/>
            <wp:effectExtent t="0" r="0" b="0" l="0"/>
            <wp:docPr id="1" name="Figure 17" descr="Monthly station measurements against satellite values at the station locations in 2025: (a) PM2.5 and AOD, (b) PM10 and AOD, (c) PM2.5 and UVAI, (d) NO2, (e) SO2, (f) CO and (g) O3. Colours indicate the month; lines are least squares fits. Gaseous pollutants at the stations are in the units reported by the Department of Environment.  p &lt; 0.01.  p &lt; 0.001. ns = not significant."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24525" cy="2867025"/>
                    </a:xfrm>
                    <a:prstGeom prst="rect">
                      <a:avLst/>
                    </a:prstGeom>
                  </pic:spPr>
                </pic:pic>
              </a:graphicData>
            </a:graphic>
          </wp:inline>
        </w:drawing>
      </w:r>
    </w:p>
    <w:p>
      <w:pPr>
        <w:keepLines/>
        <w:spacing w:after="240" w:line="276"/>
        <w:jc w:val="both"/>
      </w:pPr>
      <w:r>
        <w:rPr>
          <w:rFonts w:ascii="Times New Roman" w:cs="Times New Roman" w:eastAsia="Times New Roman" w:hAnsi="Times New Roman"/>
          <w:b/>
          <w:bCs/>
          <w:sz w:val="22"/>
          <w:szCs w:val="22"/>
        </w:rPr>
        <w:t xml:space="preserve">Figure 17. </w:t>
      </w:r>
      <w:r>
        <w:rPr>
          <w:rFonts w:ascii="Times New Roman" w:cs="Times New Roman" w:eastAsia="Times New Roman" w:hAnsi="Times New Roman"/>
          <w:sz w:val="22"/>
          <w:szCs w:val="22"/>
        </w:rPr>
        <w:t xml:space="preserve">Monthly station measurements against satellite values at the station locations in 2025: (a) PM</w:t>
      </w:r>
      <w:r>
        <w:rPr>
          <w:rFonts w:ascii="Times New Roman" w:cs="Times New Roman" w:eastAsia="Times New Roman" w:hAnsi="Times New Roman"/>
          <w:sz w:val="22"/>
          <w:szCs w:val="22"/>
          <w:vertAlign w:val="subscript"/>
        </w:rPr>
        <w:t xml:space="preserve">2.5</w:t>
      </w:r>
      <w:r>
        <w:rPr>
          <w:rFonts w:ascii="Times New Roman" w:cs="Times New Roman" w:eastAsia="Times New Roman" w:hAnsi="Times New Roman"/>
          <w:sz w:val="22"/>
          <w:szCs w:val="22"/>
        </w:rPr>
        <w:t xml:space="preserve"> and AOD, (b) PM</w:t>
      </w:r>
      <w:r>
        <w:rPr>
          <w:rFonts w:ascii="Times New Roman" w:cs="Times New Roman" w:eastAsia="Times New Roman" w:hAnsi="Times New Roman"/>
          <w:sz w:val="22"/>
          <w:szCs w:val="22"/>
          <w:vertAlign w:val="subscript"/>
        </w:rPr>
        <w:t xml:space="preserve">10</w:t>
      </w:r>
      <w:r>
        <w:rPr>
          <w:rFonts w:ascii="Times New Roman" w:cs="Times New Roman" w:eastAsia="Times New Roman" w:hAnsi="Times New Roman"/>
          <w:sz w:val="22"/>
          <w:szCs w:val="22"/>
        </w:rPr>
        <w:t xml:space="preserve"> and AOD, (c) PM</w:t>
      </w:r>
      <w:r>
        <w:rPr>
          <w:rFonts w:ascii="Times New Roman" w:cs="Times New Roman" w:eastAsia="Times New Roman" w:hAnsi="Times New Roman"/>
          <w:sz w:val="22"/>
          <w:szCs w:val="22"/>
          <w:vertAlign w:val="subscript"/>
        </w:rPr>
        <w:t xml:space="preserve">2.5</w:t>
      </w:r>
      <w:r>
        <w:rPr>
          <w:rFonts w:ascii="Times New Roman" w:cs="Times New Roman" w:eastAsia="Times New Roman" w:hAnsi="Times New Roman"/>
          <w:sz w:val="22"/>
          <w:szCs w:val="22"/>
        </w:rPr>
        <w:t xml:space="preserve"> and UVAI, (d) NO</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(e) SO</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(f) CO and (g) O</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Colours indicate the month; lines are least squares fits. Gaseous pollutants at the stations are in the units reported by the Department of Environment. **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&lt; 0.01. ***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&lt; 0.001. ns = not significant.</w:t>
      </w:r>
    </w:p>
    <w:p>
      <w:pPr>
        <w:keepNext/>
        <w:spacing w:after="100" w:before="240" w:line="276"/>
        <w:jc w:val="left"/>
      </w:pPr>
      <w:r>
        <w:rPr>
          <w:rFonts w:ascii="Times New Roman" w:cs="Times New Roman" w:eastAsia="Times New Roman" w:hAnsi="Times New Roman"/>
          <w:b/>
          <w:bCs/>
          <w:sz w:val="22"/>
          <w:szCs w:val="22"/>
        </w:rPr>
        <w:t xml:space="preserve">Table 10. </w:t>
      </w:r>
      <w:r>
        <w:rPr>
          <w:rFonts w:ascii="Times New Roman" w:cs="Times New Roman" w:eastAsia="Times New Roman" w:hAnsi="Times New Roman"/>
          <w:sz w:val="22"/>
          <w:szCs w:val="22"/>
        </w:rPr>
        <w:t xml:space="preserve">Mean PM</w:t>
      </w:r>
      <w:r>
        <w:rPr>
          <w:rFonts w:ascii="Times New Roman" w:cs="Times New Roman" w:eastAsia="Times New Roman" w:hAnsi="Times New Roman"/>
          <w:sz w:val="22"/>
          <w:szCs w:val="22"/>
          <w:vertAlign w:val="subscript"/>
        </w:rPr>
        <w:t xml:space="preserve">2.5</w:t>
      </w:r>
      <w:r>
        <w:rPr>
          <w:rFonts w:ascii="Times New Roman" w:cs="Times New Roman" w:eastAsia="Times New Roman" w:hAnsi="Times New Roman"/>
          <w:sz w:val="22"/>
          <w:szCs w:val="22"/>
        </w:rPr>
        <w:t xml:space="preserve"> and PM</w:t>
      </w:r>
      <w:r>
        <w:rPr>
          <w:rFonts w:ascii="Times New Roman" w:cs="Times New Roman" w:eastAsia="Times New Roman" w:hAnsi="Times New Roman"/>
          <w:sz w:val="22"/>
          <w:szCs w:val="22"/>
          <w:vertAlign w:val="subscript"/>
        </w:rPr>
        <w:t xml:space="preserve">10</w:t>
      </w:r>
      <w:r>
        <w:rPr>
          <w:rFonts w:ascii="Times New Roman" w:cs="Times New Roman" w:eastAsia="Times New Roman" w:hAnsi="Times New Roman"/>
          <w:sz w:val="22"/>
          <w:szCs w:val="22"/>
        </w:rPr>
        <w:t xml:space="preserve"> concentrations at the Department of Environment stations in 2025 and their ratio to the WHO guideline and the national standard.</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226"/>
        <w:gridCol w:w="1000"/>
        <w:gridCol w:w="800"/>
        <w:gridCol w:w="800"/>
        <w:gridCol w:w="800"/>
        <w:gridCol w:w="1000"/>
        <w:gridCol w:w="800"/>
        <w:gridCol w:w="800"/>
        <w:gridCol w:w="800"/>
      </w:tblGrid>
      <w:tr>
        <w:trPr>
          <w:cantSplit/>
          <w:tblHeader/>
        </w:trPr>
        <w:tc>
          <w:tcPr>
            <w:tcW w:type="dxa" w:w="2226"/>
            <w:gridSpan w:val="1"/>
            <w:tcBorders>
              <w:top w:val="single" w:color="000000" w:sz="12"/>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p>
        </w:tc>
        <w:tc>
          <w:tcPr>
            <w:tcW w:type="dxa" w:w="3400"/>
            <w:gridSpan w:val="4"/>
            <w:tcBorders>
              <w:top w:val="single" w:color="000000" w:sz="12"/>
              <w:left w:val="none" w:color="FFFFFF" w:sz="0"/>
              <w:bottom w:val="single" w:color="000000" w:sz="4"/>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sz w:val="20"/>
                <w:szCs w:val="20"/>
              </w:rPr>
              <w:t xml:space="preserve">PM</w:t>
            </w:r>
            <w:r>
              <w:rPr>
                <w:rFonts w:ascii="Times New Roman" w:cs="Times New Roman" w:eastAsia="Times New Roman" w:hAnsi="Times New Roman"/>
                <w:sz w:val="20"/>
                <w:szCs w:val="20"/>
                <w:vertAlign w:val="subscript"/>
              </w:rPr>
              <w:t xml:space="preserve">2.5</w:t>
            </w:r>
          </w:p>
        </w:tc>
        <w:tc>
          <w:tcPr>
            <w:tcW w:type="dxa" w:w="3400"/>
            <w:gridSpan w:val="4"/>
            <w:tcBorders>
              <w:top w:val="single" w:color="000000" w:sz="12"/>
              <w:left w:val="none" w:color="FFFFFF" w:sz="0"/>
              <w:bottom w:val="single" w:color="000000" w:sz="4"/>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sz w:val="20"/>
                <w:szCs w:val="20"/>
              </w:rPr>
              <w:t xml:space="preserve">PM</w:t>
            </w:r>
            <w:r>
              <w:rPr>
                <w:rFonts w:ascii="Times New Roman" w:cs="Times New Roman" w:eastAsia="Times New Roman" w:hAnsi="Times New Roman"/>
                <w:sz w:val="20"/>
                <w:szCs w:val="20"/>
                <w:vertAlign w:val="subscript"/>
              </w:rPr>
              <w:t xml:space="preserve">10</w:t>
            </w:r>
          </w:p>
        </w:tc>
      </w:tr>
      <w:tr>
        <w:trPr>
          <w:cantSplit/>
          <w:tblHeader/>
        </w:trPr>
        <w:tc>
          <w:tcPr>
            <w:tcW w:type="dxa" w:w="2226"/>
            <w:gridSpan w:val="1"/>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sz w:val="20"/>
                <w:szCs w:val="20"/>
              </w:rPr>
              <w:t xml:space="preserve">Station</w:t>
            </w:r>
          </w:p>
        </w:tc>
        <w:tc>
          <w:tcPr>
            <w:tcW w:type="dxa" w:w="1000"/>
            <w:gridSpan w:val="1"/>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sz w:val="20"/>
                <w:szCs w:val="20"/>
              </w:rPr>
              <w:t xml:space="preserve">Mean (µg m</w:t>
            </w:r>
            <w:r>
              <w:rPr>
                <w:rFonts w:ascii="Times New Roman" w:cs="Times New Roman" w:eastAsia="Times New Roman" w:hAnsi="Times New Roman"/>
                <w:sz w:val="20"/>
                <w:szCs w:val="20"/>
                <w:vertAlign w:val="superscript"/>
              </w:rPr>
              <w:t xml:space="preserve">−3</w:t>
            </w:r>
            <w:r>
              <w:rPr>
                <w:rFonts w:ascii="Times New Roman" w:cs="Times New Roman" w:eastAsia="Times New Roman" w:hAnsi="Times New Roman"/>
                <w:sz w:val="20"/>
                <w:szCs w:val="20"/>
              </w:rPr>
              <w:t xml:space="preserve">)</w:t>
            </w:r>
          </w:p>
        </w:tc>
        <w:tc>
          <w:tcPr>
            <w:tcW w:type="dxa" w:w="800"/>
            <w:gridSpan w:val="1"/>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sz w:val="20"/>
                <w:szCs w:val="20"/>
              </w:rPr>
              <w:t xml:space="preserve">Months</w:t>
            </w:r>
          </w:p>
        </w:tc>
        <w:tc>
          <w:tcPr>
            <w:tcW w:type="dxa" w:w="800"/>
            <w:gridSpan w:val="1"/>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sz w:val="20"/>
                <w:szCs w:val="20"/>
              </w:rPr>
              <w:t xml:space="preserve">× WHO</w:t>
            </w:r>
          </w:p>
        </w:tc>
        <w:tc>
          <w:tcPr>
            <w:tcW w:type="dxa" w:w="800"/>
            <w:gridSpan w:val="1"/>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sz w:val="20"/>
                <w:szCs w:val="20"/>
              </w:rPr>
              <w:t xml:space="preserve">× BD</w:t>
            </w:r>
          </w:p>
        </w:tc>
        <w:tc>
          <w:tcPr>
            <w:tcW w:type="dxa" w:w="1000"/>
            <w:gridSpan w:val="1"/>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sz w:val="20"/>
                <w:szCs w:val="20"/>
              </w:rPr>
              <w:t xml:space="preserve">Mean (µg m</w:t>
            </w:r>
            <w:r>
              <w:rPr>
                <w:rFonts w:ascii="Times New Roman" w:cs="Times New Roman" w:eastAsia="Times New Roman" w:hAnsi="Times New Roman"/>
                <w:sz w:val="20"/>
                <w:szCs w:val="20"/>
                <w:vertAlign w:val="superscript"/>
              </w:rPr>
              <w:t xml:space="preserve">−3</w:t>
            </w:r>
            <w:r>
              <w:rPr>
                <w:rFonts w:ascii="Times New Roman" w:cs="Times New Roman" w:eastAsia="Times New Roman" w:hAnsi="Times New Roman"/>
                <w:sz w:val="20"/>
                <w:szCs w:val="20"/>
              </w:rPr>
              <w:t xml:space="preserve">)</w:t>
            </w:r>
          </w:p>
        </w:tc>
        <w:tc>
          <w:tcPr>
            <w:tcW w:type="dxa" w:w="800"/>
            <w:gridSpan w:val="1"/>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sz w:val="20"/>
                <w:szCs w:val="20"/>
              </w:rPr>
              <w:t xml:space="preserve">Months</w:t>
            </w:r>
          </w:p>
        </w:tc>
        <w:tc>
          <w:tcPr>
            <w:tcW w:type="dxa" w:w="800"/>
            <w:gridSpan w:val="1"/>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sz w:val="20"/>
                <w:szCs w:val="20"/>
              </w:rPr>
              <w:t xml:space="preserve">× WHO</w:t>
            </w:r>
          </w:p>
        </w:tc>
        <w:tc>
          <w:tcPr>
            <w:tcW w:type="dxa" w:w="800"/>
            <w:gridSpan w:val="1"/>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sz w:val="20"/>
                <w:szCs w:val="20"/>
              </w:rPr>
              <w:t xml:space="preserve">× BD</w:t>
            </w:r>
          </w:p>
        </w:tc>
      </w:tr>
      <w:tr>
        <w:trPr>
          <w:cantSplit/>
        </w:trPr>
        <w:tc>
          <w:tcPr>
            <w:tcW w:type="dxa" w:w="22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Agrabad, Chattogram</w:t>
            </w:r>
          </w:p>
        </w:tc>
        <w:tc>
          <w:tcPr>
            <w:tcW w:type="dxa" w:w="10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122.1</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4</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24.4</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3.5</w:t>
            </w:r>
          </w:p>
        </w:tc>
        <w:tc>
          <w:tcPr>
            <w:tcW w:type="dxa" w:w="10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234.6</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3</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15.6</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4.7</w:t>
            </w:r>
          </w:p>
        </w:tc>
      </w:tr>
      <w:tr>
        <w:trPr>
          <w:cantSplit/>
        </w:trPr>
        <w:tc>
          <w:tcPr>
            <w:tcW w:type="dxa" w:w="22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BARC Farmgate, Dhaka</w:t>
            </w:r>
          </w:p>
        </w:tc>
        <w:tc>
          <w:tcPr>
            <w:tcW w:type="dxa" w:w="10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73.0</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11</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14.6</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2.1</w:t>
            </w:r>
          </w:p>
        </w:tc>
        <w:tc>
          <w:tcPr>
            <w:tcW w:type="dxa" w:w="10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133.5</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8.9</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2.7</w:t>
            </w:r>
          </w:p>
        </w:tc>
      </w:tr>
      <w:tr>
        <w:trPr>
          <w:cantSplit/>
        </w:trPr>
        <w:tc>
          <w:tcPr>
            <w:tcW w:type="dxa" w:w="22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Barishal</w:t>
            </w:r>
          </w:p>
        </w:tc>
        <w:tc>
          <w:tcPr>
            <w:tcW w:type="dxa" w:w="10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39.8</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8.0</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1.1</w:t>
            </w:r>
          </w:p>
        </w:tc>
        <w:tc>
          <w:tcPr>
            <w:tcW w:type="dxa" w:w="10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w:t>
            </w:r>
          </w:p>
        </w:tc>
      </w:tr>
      <w:tr>
        <w:trPr>
          <w:cantSplit/>
        </w:trPr>
        <w:tc>
          <w:tcPr>
            <w:tcW w:type="dxa" w:w="22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Cumilla</w:t>
            </w:r>
          </w:p>
        </w:tc>
        <w:tc>
          <w:tcPr>
            <w:tcW w:type="dxa" w:w="10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68.3</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11</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13.7</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2.0</w:t>
            </w:r>
          </w:p>
        </w:tc>
        <w:tc>
          <w:tcPr>
            <w:tcW w:type="dxa" w:w="10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79.5</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8</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5.3</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1.6</w:t>
            </w:r>
          </w:p>
        </w:tc>
      </w:tr>
      <w:tr>
        <w:trPr>
          <w:cantSplit/>
        </w:trPr>
        <w:tc>
          <w:tcPr>
            <w:tcW w:type="dxa" w:w="22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Darus-Salam, Dhaka</w:t>
            </w:r>
          </w:p>
        </w:tc>
        <w:tc>
          <w:tcPr>
            <w:tcW w:type="dxa" w:w="10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98.8</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8</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19.8</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2.8</w:t>
            </w:r>
          </w:p>
        </w:tc>
        <w:tc>
          <w:tcPr>
            <w:tcW w:type="dxa" w:w="10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145.3</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5</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9.7</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2.9</w:t>
            </w:r>
          </w:p>
        </w:tc>
      </w:tr>
      <w:tr>
        <w:trPr>
          <w:cantSplit/>
        </w:trPr>
        <w:tc>
          <w:tcPr>
            <w:tcW w:type="dxa" w:w="22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DoE Agargaon, Dhaka</w:t>
            </w:r>
          </w:p>
        </w:tc>
        <w:tc>
          <w:tcPr>
            <w:tcW w:type="dxa" w:w="10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77.1</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11</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15.4</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2.2</w:t>
            </w:r>
          </w:p>
        </w:tc>
        <w:tc>
          <w:tcPr>
            <w:tcW w:type="dxa" w:w="10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143.3</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11</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9.6</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2.9</w:t>
            </w:r>
          </w:p>
        </w:tc>
      </w:tr>
      <w:tr>
        <w:trPr>
          <w:cantSplit/>
        </w:trPr>
        <w:tc>
          <w:tcPr>
            <w:tcW w:type="dxa" w:w="22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Gazipur</w:t>
            </w:r>
          </w:p>
        </w:tc>
        <w:tc>
          <w:tcPr>
            <w:tcW w:type="dxa" w:w="10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99.2</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6</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19.8</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2.8</w:t>
            </w:r>
          </w:p>
        </w:tc>
        <w:tc>
          <w:tcPr>
            <w:tcW w:type="dxa" w:w="10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129.2</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9</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8.6</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2.6</w:t>
            </w:r>
          </w:p>
        </w:tc>
      </w:tr>
      <w:tr>
        <w:trPr>
          <w:cantSplit/>
        </w:trPr>
        <w:tc>
          <w:tcPr>
            <w:tcW w:type="dxa" w:w="22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Khulna</w:t>
            </w:r>
          </w:p>
        </w:tc>
        <w:tc>
          <w:tcPr>
            <w:tcW w:type="dxa" w:w="10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60.6</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11</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12.1</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1.7</w:t>
            </w:r>
          </w:p>
        </w:tc>
        <w:tc>
          <w:tcPr>
            <w:tcW w:type="dxa" w:w="10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111.1</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11</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7.4</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2.2</w:t>
            </w:r>
          </w:p>
        </w:tc>
      </w:tr>
      <w:tr>
        <w:trPr>
          <w:cantSplit/>
        </w:trPr>
        <w:tc>
          <w:tcPr>
            <w:tcW w:type="dxa" w:w="22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Mymensingh</w:t>
            </w:r>
          </w:p>
        </w:tc>
        <w:tc>
          <w:tcPr>
            <w:tcW w:type="dxa" w:w="10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91.5</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11</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18.3</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2.6</w:t>
            </w:r>
          </w:p>
        </w:tc>
        <w:tc>
          <w:tcPr>
            <w:tcW w:type="dxa" w:w="10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161.6</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11</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10.8</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3.2</w:t>
            </w:r>
          </w:p>
        </w:tc>
      </w:tr>
      <w:tr>
        <w:trPr>
          <w:cantSplit/>
        </w:trPr>
        <w:tc>
          <w:tcPr>
            <w:tcW w:type="dxa" w:w="22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Narayanganj</w:t>
            </w:r>
          </w:p>
        </w:tc>
        <w:tc>
          <w:tcPr>
            <w:tcW w:type="dxa" w:w="10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141.0</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6</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28.2</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4.0</w:t>
            </w:r>
          </w:p>
        </w:tc>
        <w:tc>
          <w:tcPr>
            <w:tcW w:type="dxa" w:w="10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190.8</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2</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12.7</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3.8</w:t>
            </w:r>
          </w:p>
        </w:tc>
      </w:tr>
      <w:tr>
        <w:trPr>
          <w:cantSplit/>
        </w:trPr>
        <w:tc>
          <w:tcPr>
            <w:tcW w:type="dxa" w:w="22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Narsingdi</w:t>
            </w:r>
          </w:p>
        </w:tc>
        <w:tc>
          <w:tcPr>
            <w:tcW w:type="dxa" w:w="10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81.4</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11</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16.3</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2.3</w:t>
            </w:r>
          </w:p>
        </w:tc>
        <w:tc>
          <w:tcPr>
            <w:tcW w:type="dxa" w:w="10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70.1</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6</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4.7</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1.4</w:t>
            </w:r>
          </w:p>
        </w:tc>
      </w:tr>
      <w:tr>
        <w:trPr>
          <w:cantSplit/>
        </w:trPr>
        <w:tc>
          <w:tcPr>
            <w:tcW w:type="dxa" w:w="22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Rajshahi</w:t>
            </w:r>
          </w:p>
        </w:tc>
        <w:tc>
          <w:tcPr>
            <w:tcW w:type="dxa" w:w="10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96.4</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11</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19.3</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2.8</w:t>
            </w:r>
          </w:p>
        </w:tc>
        <w:tc>
          <w:tcPr>
            <w:tcW w:type="dxa" w:w="10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149.2</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11</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9.9</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3.0</w:t>
            </w:r>
          </w:p>
        </w:tc>
      </w:tr>
      <w:tr>
        <w:trPr>
          <w:cantSplit/>
        </w:trPr>
        <w:tc>
          <w:tcPr>
            <w:tcW w:type="dxa" w:w="22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Rangpur</w:t>
            </w:r>
          </w:p>
        </w:tc>
        <w:tc>
          <w:tcPr>
            <w:tcW w:type="dxa" w:w="10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108.2</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11</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21.6</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3.1</w:t>
            </w:r>
          </w:p>
        </w:tc>
        <w:tc>
          <w:tcPr>
            <w:tcW w:type="dxa" w:w="10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133.2</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8.9</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2.7</w:t>
            </w:r>
          </w:p>
        </w:tc>
      </w:tr>
      <w:tr>
        <w:trPr>
          <w:cantSplit/>
        </w:trPr>
        <w:tc>
          <w:tcPr>
            <w:tcW w:type="dxa" w:w="22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Savar</w:t>
            </w:r>
          </w:p>
        </w:tc>
        <w:tc>
          <w:tcPr>
            <w:tcW w:type="dxa" w:w="10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84.1</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11</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16.8</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2.4</w:t>
            </w:r>
          </w:p>
        </w:tc>
        <w:tc>
          <w:tcPr>
            <w:tcW w:type="dxa" w:w="10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157.6</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7</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10.5</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3.2</w:t>
            </w:r>
          </w:p>
        </w:tc>
      </w:tr>
      <w:tr>
        <w:trPr>
          <w:cantSplit/>
        </w:trPr>
        <w:tc>
          <w:tcPr>
            <w:tcW w:type="dxa" w:w="22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20"/>
                <w:szCs w:val="20"/>
              </w:rPr>
              <w:t xml:space="preserve">Sylhet</w:t>
            </w:r>
          </w:p>
        </w:tc>
        <w:tc>
          <w:tcPr>
            <w:tcW w:type="dxa" w:w="10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50.1</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11</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10.0</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1.4</w:t>
            </w:r>
          </w:p>
        </w:tc>
        <w:tc>
          <w:tcPr>
            <w:tcW w:type="dxa" w:w="10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114.4</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11</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7.6</w:t>
            </w:r>
          </w:p>
        </w:tc>
        <w:tc>
          <w:tcPr>
            <w:tcW w:type="dxa" w:w="8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20"/>
                <w:szCs w:val="20"/>
              </w:rPr>
              <w:t xml:space="preserve">2.3</w:t>
            </w:r>
          </w:p>
        </w:tc>
      </w:tr>
      <w:tr>
        <w:trPr>
          <w:cantSplit/>
        </w:trPr>
        <w:tc>
          <w:tcPr>
            <w:tcW w:type="dxa" w:w="2226"/>
            <w:gridSpan w:val="1"/>
            <w:tcBorders>
              <w:top w:val="none" w:color="FFFFFF" w:sz="0"/>
              <w:left w:val="none" w:color="FFFFFF" w:sz="0"/>
              <w:bottom w:val="single" w:color="000000" w:sz="12"/>
              <w:right w:val="none" w:color="FFFFFF" w:sz="0"/>
            </w:tcBorders>
            <w:tcMar>
              <w:top w:type="dxa" w:w="40"/>
              <w:left w:type="dxa" w:w="60"/>
              <w:bottom w:type="dxa" w:w="40"/>
              <w:right w:type="dxa" w:w="60"/>
            </w:tcMar>
            <w:vAlign w:val="center"/>
          </w:tcPr>
          <w:p>
            <w:pPr>
              <w:keepNext w:val="false"/>
              <w:spacing w:after="0" w:line="240"/>
              <w:jc w:val="left"/>
            </w:pPr>
            <w:r>
              <w:rPr>
                <w:rFonts w:ascii="Times New Roman" w:cs="Times New Roman" w:eastAsia="Times New Roman" w:hAnsi="Times New Roman"/>
                <w:b w:val="false"/>
                <w:bCs w:val="false"/>
                <w:sz w:val="20"/>
                <w:szCs w:val="20"/>
              </w:rPr>
              <w:t xml:space="preserve">TV Station, Chattogram</w:t>
            </w:r>
          </w:p>
        </w:tc>
        <w:tc>
          <w:tcPr>
            <w:tcW w:type="dxa" w:w="1000"/>
            <w:gridSpan w:val="1"/>
            <w:tcBorders>
              <w:top w:val="none" w:color="FFFFFF" w:sz="0"/>
              <w:left w:val="none" w:color="FFFFFF" w:sz="0"/>
              <w:bottom w:val="single" w:color="000000" w:sz="12"/>
              <w:right w:val="none" w:color="FFFFFF" w:sz="0"/>
            </w:tcBorders>
            <w:tcMar>
              <w:top w:type="dxa" w:w="40"/>
              <w:left w:type="dxa" w:w="60"/>
              <w:bottom w:type="dxa" w:w="40"/>
              <w:right w:type="dxa" w:w="60"/>
            </w:tcMar>
            <w:vAlign w:val="center"/>
          </w:tcPr>
          <w:p>
            <w:pPr>
              <w:keepNext w:val="false"/>
              <w:spacing w:after="0" w:line="240"/>
              <w:jc w:val="center"/>
            </w:pPr>
            <w:r>
              <w:rPr>
                <w:rFonts w:ascii="Times New Roman" w:cs="Times New Roman" w:eastAsia="Times New Roman" w:hAnsi="Times New Roman"/>
                <w:b w:val="false"/>
                <w:bCs w:val="false"/>
                <w:sz w:val="20"/>
                <w:szCs w:val="20"/>
              </w:rPr>
              <w:t xml:space="preserve">69.9</w:t>
            </w:r>
          </w:p>
        </w:tc>
        <w:tc>
          <w:tcPr>
            <w:tcW w:type="dxa" w:w="800"/>
            <w:gridSpan w:val="1"/>
            <w:tcBorders>
              <w:top w:val="none" w:color="FFFFFF" w:sz="0"/>
              <w:left w:val="none" w:color="FFFFFF" w:sz="0"/>
              <w:bottom w:val="single" w:color="000000" w:sz="12"/>
              <w:right w:val="none" w:color="FFFFFF" w:sz="0"/>
            </w:tcBorders>
            <w:tcMar>
              <w:top w:type="dxa" w:w="40"/>
              <w:left w:type="dxa" w:w="60"/>
              <w:bottom w:type="dxa" w:w="40"/>
              <w:right w:type="dxa" w:w="60"/>
            </w:tcMar>
            <w:vAlign w:val="center"/>
          </w:tcPr>
          <w:p>
            <w:pPr>
              <w:keepNext w:val="false"/>
              <w:spacing w:after="0" w:line="240"/>
              <w:jc w:val="center"/>
            </w:pPr>
            <w:r>
              <w:rPr>
                <w:rFonts w:ascii="Times New Roman" w:cs="Times New Roman" w:eastAsia="Times New Roman" w:hAnsi="Times New Roman"/>
                <w:b w:val="false"/>
                <w:bCs w:val="false"/>
                <w:sz w:val="20"/>
                <w:szCs w:val="20"/>
              </w:rPr>
              <w:t xml:space="preserve">11</w:t>
            </w:r>
          </w:p>
        </w:tc>
        <w:tc>
          <w:tcPr>
            <w:tcW w:type="dxa" w:w="800"/>
            <w:gridSpan w:val="1"/>
            <w:tcBorders>
              <w:top w:val="none" w:color="FFFFFF" w:sz="0"/>
              <w:left w:val="none" w:color="FFFFFF" w:sz="0"/>
              <w:bottom w:val="single" w:color="000000" w:sz="12"/>
              <w:right w:val="none" w:color="FFFFFF" w:sz="0"/>
            </w:tcBorders>
            <w:tcMar>
              <w:top w:type="dxa" w:w="40"/>
              <w:left w:type="dxa" w:w="60"/>
              <w:bottom w:type="dxa" w:w="40"/>
              <w:right w:type="dxa" w:w="60"/>
            </w:tcMar>
            <w:vAlign w:val="center"/>
          </w:tcPr>
          <w:p>
            <w:pPr>
              <w:keepNext w:val="false"/>
              <w:spacing w:after="0" w:line="240"/>
              <w:jc w:val="center"/>
            </w:pPr>
            <w:r>
              <w:rPr>
                <w:rFonts w:ascii="Times New Roman" w:cs="Times New Roman" w:eastAsia="Times New Roman" w:hAnsi="Times New Roman"/>
                <w:b w:val="false"/>
                <w:bCs w:val="false"/>
                <w:sz w:val="20"/>
                <w:szCs w:val="20"/>
              </w:rPr>
              <w:t xml:space="preserve">14.0</w:t>
            </w:r>
          </w:p>
        </w:tc>
        <w:tc>
          <w:tcPr>
            <w:tcW w:type="dxa" w:w="800"/>
            <w:gridSpan w:val="1"/>
            <w:tcBorders>
              <w:top w:val="none" w:color="FFFFFF" w:sz="0"/>
              <w:left w:val="none" w:color="FFFFFF" w:sz="0"/>
              <w:bottom w:val="single" w:color="000000" w:sz="12"/>
              <w:right w:val="none" w:color="FFFFFF" w:sz="0"/>
            </w:tcBorders>
            <w:tcMar>
              <w:top w:type="dxa" w:w="40"/>
              <w:left w:type="dxa" w:w="60"/>
              <w:bottom w:type="dxa" w:w="40"/>
              <w:right w:type="dxa" w:w="60"/>
            </w:tcMar>
            <w:vAlign w:val="center"/>
          </w:tcPr>
          <w:p>
            <w:pPr>
              <w:keepNext w:val="false"/>
              <w:spacing w:after="0" w:line="240"/>
              <w:jc w:val="center"/>
            </w:pPr>
            <w:r>
              <w:rPr>
                <w:rFonts w:ascii="Times New Roman" w:cs="Times New Roman" w:eastAsia="Times New Roman" w:hAnsi="Times New Roman"/>
                <w:b w:val="false"/>
                <w:bCs w:val="false"/>
                <w:sz w:val="20"/>
                <w:szCs w:val="20"/>
              </w:rPr>
              <w:t xml:space="preserve">2.0</w:t>
            </w:r>
          </w:p>
        </w:tc>
        <w:tc>
          <w:tcPr>
            <w:tcW w:type="dxa" w:w="1000"/>
            <w:gridSpan w:val="1"/>
            <w:tcBorders>
              <w:top w:val="none" w:color="FFFFFF" w:sz="0"/>
              <w:left w:val="none" w:color="FFFFFF" w:sz="0"/>
              <w:bottom w:val="single" w:color="000000" w:sz="12"/>
              <w:right w:val="none" w:color="FFFFFF" w:sz="0"/>
            </w:tcBorders>
            <w:tcMar>
              <w:top w:type="dxa" w:w="40"/>
              <w:left w:type="dxa" w:w="60"/>
              <w:bottom w:type="dxa" w:w="40"/>
              <w:right w:type="dxa" w:w="60"/>
            </w:tcMar>
            <w:vAlign w:val="center"/>
          </w:tcPr>
          <w:p>
            <w:pPr>
              <w:keepNext w:val="false"/>
              <w:spacing w:after="0" w:line="240"/>
              <w:jc w:val="center"/>
            </w:pPr>
            <w:r>
              <w:rPr>
                <w:rFonts w:ascii="Times New Roman" w:cs="Times New Roman" w:eastAsia="Times New Roman" w:hAnsi="Times New Roman"/>
                <w:b w:val="false"/>
                <w:bCs w:val="false"/>
                <w:sz w:val="20"/>
                <w:szCs w:val="20"/>
              </w:rPr>
              <w:t xml:space="preserve">72.7</w:t>
            </w:r>
          </w:p>
        </w:tc>
        <w:tc>
          <w:tcPr>
            <w:tcW w:type="dxa" w:w="800"/>
            <w:gridSpan w:val="1"/>
            <w:tcBorders>
              <w:top w:val="none" w:color="FFFFFF" w:sz="0"/>
              <w:left w:val="none" w:color="FFFFFF" w:sz="0"/>
              <w:bottom w:val="single" w:color="000000" w:sz="12"/>
              <w:right w:val="none" w:color="FFFFFF" w:sz="0"/>
            </w:tcBorders>
            <w:tcMar>
              <w:top w:type="dxa" w:w="40"/>
              <w:left w:type="dxa" w:w="60"/>
              <w:bottom w:type="dxa" w:w="40"/>
              <w:right w:type="dxa" w:w="60"/>
            </w:tcMar>
            <w:vAlign w:val="center"/>
          </w:tcPr>
          <w:p>
            <w:pPr>
              <w:keepNext w:val="false"/>
              <w:spacing w:after="0" w:line="240"/>
              <w:jc w:val="center"/>
            </w:pPr>
            <w:r>
              <w:rPr>
                <w:rFonts w:ascii="Times New Roman" w:cs="Times New Roman" w:eastAsia="Times New Roman" w:hAnsi="Times New Roman"/>
                <w:b w:val="false"/>
                <w:bCs w:val="false"/>
                <w:sz w:val="20"/>
                <w:szCs w:val="20"/>
              </w:rPr>
              <w:t xml:space="preserve">8</w:t>
            </w:r>
          </w:p>
        </w:tc>
        <w:tc>
          <w:tcPr>
            <w:tcW w:type="dxa" w:w="800"/>
            <w:gridSpan w:val="1"/>
            <w:tcBorders>
              <w:top w:val="none" w:color="FFFFFF" w:sz="0"/>
              <w:left w:val="none" w:color="FFFFFF" w:sz="0"/>
              <w:bottom w:val="single" w:color="000000" w:sz="12"/>
              <w:right w:val="none" w:color="FFFFFF" w:sz="0"/>
            </w:tcBorders>
            <w:tcMar>
              <w:top w:type="dxa" w:w="40"/>
              <w:left w:type="dxa" w:w="60"/>
              <w:bottom w:type="dxa" w:w="40"/>
              <w:right w:type="dxa" w:w="60"/>
            </w:tcMar>
            <w:vAlign w:val="center"/>
          </w:tcPr>
          <w:p>
            <w:pPr>
              <w:keepNext w:val="false"/>
              <w:spacing w:after="0" w:line="240"/>
              <w:jc w:val="center"/>
            </w:pPr>
            <w:r>
              <w:rPr>
                <w:rFonts w:ascii="Times New Roman" w:cs="Times New Roman" w:eastAsia="Times New Roman" w:hAnsi="Times New Roman"/>
                <w:b w:val="false"/>
                <w:bCs w:val="false"/>
                <w:sz w:val="20"/>
                <w:szCs w:val="20"/>
              </w:rPr>
              <w:t xml:space="preserve">4.8</w:t>
            </w:r>
          </w:p>
        </w:tc>
        <w:tc>
          <w:tcPr>
            <w:tcW w:type="dxa" w:w="800"/>
            <w:gridSpan w:val="1"/>
            <w:tcBorders>
              <w:top w:val="none" w:color="FFFFFF" w:sz="0"/>
              <w:left w:val="none" w:color="FFFFFF" w:sz="0"/>
              <w:bottom w:val="single" w:color="000000" w:sz="12"/>
              <w:right w:val="none" w:color="FFFFFF" w:sz="0"/>
            </w:tcBorders>
            <w:tcMar>
              <w:top w:type="dxa" w:w="40"/>
              <w:left w:type="dxa" w:w="60"/>
              <w:bottom w:type="dxa" w:w="40"/>
              <w:right w:type="dxa" w:w="60"/>
            </w:tcMar>
            <w:vAlign w:val="center"/>
          </w:tcPr>
          <w:p>
            <w:pPr>
              <w:keepNext w:val="false"/>
              <w:spacing w:after="0" w:line="240"/>
              <w:jc w:val="center"/>
            </w:pPr>
            <w:r>
              <w:rPr>
                <w:rFonts w:ascii="Times New Roman" w:cs="Times New Roman" w:eastAsia="Times New Roman" w:hAnsi="Times New Roman"/>
                <w:b w:val="false"/>
                <w:bCs w:val="false"/>
                <w:sz w:val="20"/>
                <w:szCs w:val="20"/>
              </w:rPr>
              <w:t xml:space="preserve">1.5</w:t>
            </w:r>
          </w:p>
        </w:tc>
      </w:tr>
    </w:tbl>
    <w:p>
      <w:pPr>
        <w:spacing w:after="260" w:before="80" w:line="252"/>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Means are calculated over the months with at least 50% data capture (number given under Months); the report for May was not available. × WHO = ratio to the WHO annual guideline level (5 µg m</w:t>
      </w:r>
      <w:r>
        <w:rPr>
          <w:rFonts w:ascii="Times New Roman" w:cs="Times New Roman" w:eastAsia="Times New Roman" w:hAnsi="Times New Roman"/>
          <w:sz w:val="20"/>
          <w:szCs w:val="20"/>
          <w:vertAlign w:val="superscript"/>
        </w:rPr>
        <w:t xml:space="preserve">−3</w:t>
      </w:r>
      <w:r>
        <w:rPr>
          <w:rFonts w:ascii="Times New Roman" w:cs="Times New Roman" w:eastAsia="Times New Roman" w:hAnsi="Times New Roman"/>
          <w:sz w:val="20"/>
          <w:szCs w:val="20"/>
        </w:rPr>
        <w:t xml:space="preserve"> for PM</w:t>
      </w:r>
      <w:r>
        <w:rPr>
          <w:rFonts w:ascii="Times New Roman" w:cs="Times New Roman" w:eastAsia="Times New Roman" w:hAnsi="Times New Roman"/>
          <w:sz w:val="20"/>
          <w:szCs w:val="20"/>
          <w:vertAlign w:val="subscript"/>
        </w:rPr>
        <w:t xml:space="preserve">2.5</w:t>
      </w:r>
      <w:r>
        <w:rPr>
          <w:rFonts w:ascii="Times New Roman" w:cs="Times New Roman" w:eastAsia="Times New Roman" w:hAnsi="Times New Roman"/>
          <w:sz w:val="20"/>
          <w:szCs w:val="20"/>
        </w:rPr>
        <w:t xml:space="preserve"> and 15 µg m</w:t>
      </w:r>
      <w:r>
        <w:rPr>
          <w:rFonts w:ascii="Times New Roman" w:cs="Times New Roman" w:eastAsia="Times New Roman" w:hAnsi="Times New Roman"/>
          <w:sz w:val="20"/>
          <w:szCs w:val="20"/>
          <w:vertAlign w:val="superscript"/>
        </w:rPr>
        <w:t xml:space="preserve">−3</w:t>
      </w:r>
      <w:r>
        <w:rPr>
          <w:rFonts w:ascii="Times New Roman" w:cs="Times New Roman" w:eastAsia="Times New Roman" w:hAnsi="Times New Roman"/>
          <w:sz w:val="20"/>
          <w:szCs w:val="20"/>
        </w:rPr>
        <w:t xml:space="preserve"> for PM</w:t>
      </w:r>
      <w:r>
        <w:rPr>
          <w:rFonts w:ascii="Times New Roman" w:cs="Times New Roman" w:eastAsia="Times New Roman" w:hAnsi="Times New Roman"/>
          <w:sz w:val="20"/>
          <w:szCs w:val="20"/>
          <w:vertAlign w:val="subscript"/>
        </w:rPr>
        <w:t xml:space="preserve">10</w:t>
      </w:r>
      <w:r>
        <w:rPr>
          <w:rFonts w:ascii="Times New Roman" w:cs="Times New Roman" w:eastAsia="Times New Roman" w:hAnsi="Times New Roman"/>
          <w:sz w:val="20"/>
          <w:szCs w:val="20"/>
        </w:rPr>
        <w:t xml:space="preserve">). × BD = ratio to the national annual standard (35 and 50 µg m</w:t>
      </w:r>
      <w:r>
        <w:rPr>
          <w:rFonts w:ascii="Times New Roman" w:cs="Times New Roman" w:eastAsia="Times New Roman" w:hAnsi="Times New Roman"/>
          <w:sz w:val="20"/>
          <w:szCs w:val="20"/>
          <w:vertAlign w:val="superscript"/>
        </w:rPr>
        <w:t xml:space="preserve">−3</w:t>
      </w:r>
      <w:r>
        <w:rPr>
          <w:rFonts w:ascii="Times New Roman" w:cs="Times New Roman" w:eastAsia="Times New Roman" w:hAnsi="Times New Roman"/>
          <w:sz w:val="20"/>
          <w:szCs w:val="20"/>
        </w:rPr>
        <w:t xml:space="preserve">). Because the means do not cover a full year, the ratios are indicative.</w:t>
      </w:r>
    </w:p>
    <w:p>
      <w:pPr>
        <w:spacing w:after="160" w:line="360"/>
        <w:jc w:val="both"/>
      </w:pPr>
      <w:r>
        <w:rPr>
          <w:rFonts w:ascii="Times New Roman" w:cs="Times New Roman" w:eastAsia="Times New Roman" w:hAnsi="Times New Roman"/>
          <w:sz w:val="24"/>
          <w:szCs w:val="24"/>
        </w:rPr>
        <w:t xml:space="preserve">The second regime is local. NO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has a lifetime of only a few hours and therefore stays close to its combustion sources. Its column over the Dhaka conurbation was about five times the national mean, in line with the Dhaka–Gazipur–Narayanganj hotspot reported from earlier Sentinel-5P analyses (Acharjee et al., 2026; Shobnom et al., 2023). HCHO and CH</w:t>
      </w:r>
      <w:r>
        <w:rPr>
          <w:rFonts w:ascii="Times New Roman" w:cs="Times New Roman" w:eastAsia="Times New Roman" w:hAnsi="Times New Roman"/>
          <w:sz w:val="24"/>
          <w:szCs w:val="24"/>
          <w:vertAlign w:val="subscript"/>
        </w:rPr>
        <w:t xml:space="preserve">4</w:t>
      </w:r>
      <w:r>
        <w:rPr>
          <w:rFonts w:ascii="Times New Roman" w:cs="Times New Roman" w:eastAsia="Times New Roman" w:hAnsi="Times New Roman"/>
          <w:sz w:val="24"/>
          <w:szCs w:val="24"/>
        </w:rPr>
        <w:t xml:space="preserve"> peaked in the same area. Elevated HCHO over a megacity points to the oxidation of anthropogenic volatile organic compounds, in addition to the biogenic and biomass-burning sources that dominate regionally (Hoque et al., 2022; Surl et al., 2018). The urban CH</w:t>
      </w:r>
      <w:r>
        <w:rPr>
          <w:rFonts w:ascii="Times New Roman" w:cs="Times New Roman" w:eastAsia="Times New Roman" w:hAnsi="Times New Roman"/>
          <w:sz w:val="24"/>
          <w:szCs w:val="24"/>
          <w:vertAlign w:val="subscript"/>
        </w:rPr>
        <w:t xml:space="preserve">4</w:t>
      </w:r>
      <w:r>
        <w:rPr>
          <w:rFonts w:ascii="Times New Roman" w:cs="Times New Roman" w:eastAsia="Times New Roman" w:hAnsi="Times New Roman"/>
          <w:sz w:val="24"/>
          <w:szCs w:val="24"/>
        </w:rPr>
        <w:t xml:space="preserve"> enhancement is consistent with emissions from waste, wastewater and gas distribution, superimposed on the large rice and wetland source of the delta (Subramanian et al., 2026; Zhang et al., 2020); source attribution, however, is beyond what the column data alone can support. The clustering of brick kilns around Dhaka (Guttikunda et al., 2013) may contribute to the SO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and aerosol signals in the centre of the country. The SO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maximum in the south-west should be interpreted cautiously, because TROPOMI SO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has a low signal-to-noise ratio for weak sources (Fioletov et al., 2020) and retrievals near the coast and over mangrove forest may be affected by surface conditions.</w:t>
      </w:r>
    </w:p>
    <w:p>
      <w:pPr>
        <w:pStyle w:val="Heading2"/>
        <w:keepNext/>
        <w:spacing w:after="120" w:before="200" w:line="360"/>
      </w:pPr>
      <w:r>
        <w:rPr>
          <w:rFonts w:ascii="Times New Roman" w:cs="Times New Roman" w:eastAsia="Times New Roman" w:hAnsi="Times New Roman"/>
          <w:b/>
          <w:bCs/>
          <w:i/>
          <w:iCs/>
          <w:color w:val="000000"/>
          <w:sz w:val="24"/>
          <w:szCs w:val="24"/>
        </w:rPr>
        <w:t xml:space="preserve">5.2 Seasonality</w:t>
      </w:r>
    </w:p>
    <w:p>
      <w:pPr>
        <w:spacing w:after="160" w:line="360"/>
        <w:jc w:val="both"/>
      </w:pPr>
      <w:r>
        <w:rPr>
          <w:rFonts w:ascii="Times New Roman" w:cs="Times New Roman" w:eastAsia="Times New Roman" w:hAnsi="Times New Roman"/>
          <w:sz w:val="24"/>
          <w:szCs w:val="24"/>
        </w:rPr>
        <w:t xml:space="preserve">The seasonal cycle is controlled by the monsoon. In winter, low rainfall, weak winds and a shallow boundary layer allow pollutants to accumulate, and seasonal sources such as brick kilns and biomass burning are active; in the monsoon, frequent rain removes aerosols and soluble gases and clean marine air is advected from the Bay of Bengal. The winter and pre-monsoon maxima of NO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CO, SO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and AOD found here agree with the dry-season peaks reported for Dhaka from satellite data (Rahman et al., 2025) and from DoE measurements (Khan et al., 2023), and with the spring and winter aerosol maxima over Bangladesh (Ali et al., 2022). The pre-monsoon maximum of HCHO coincides with the highest temperatures and with the biomass-burning season in South Asia, both of which increase the production of HCHO (Hoque et al., 2022; Surl et al., 2018). The spring maximum of total-column O</w:t>
      </w:r>
      <w:r>
        <w:rPr>
          <w:rFonts w:ascii="Times New Roman" w:cs="Times New Roman" w:eastAsia="Times New Roman" w:hAnsi="Times New Roman"/>
          <w:sz w:val="24"/>
          <w:szCs w:val="24"/>
          <w:vertAlign w:val="subscript"/>
        </w:rPr>
        <w:t xml:space="preserve">3</w:t>
      </w:r>
      <w:r>
        <w:rPr>
          <w:rFonts w:ascii="Times New Roman" w:cs="Times New Roman" w:eastAsia="Times New Roman" w:hAnsi="Times New Roman"/>
          <w:sz w:val="24"/>
          <w:szCs w:val="24"/>
        </w:rPr>
        <w:t xml:space="preserve"> is a feature of the stratospheric column and not of surface ozone. The apparent monsoon maximum of CH</w:t>
      </w:r>
      <w:r>
        <w:rPr>
          <w:rFonts w:ascii="Times New Roman" w:cs="Times New Roman" w:eastAsia="Times New Roman" w:hAnsi="Times New Roman"/>
          <w:sz w:val="24"/>
          <w:szCs w:val="24"/>
          <w:vertAlign w:val="subscript"/>
        </w:rPr>
        <w:t xml:space="preserve">4</w:t>
      </w:r>
      <w:r>
        <w:rPr>
          <w:rFonts w:ascii="Times New Roman" w:cs="Times New Roman" w:eastAsia="Times New Roman" w:hAnsi="Times New Roman"/>
          <w:sz w:val="24"/>
          <w:szCs w:val="24"/>
        </w:rPr>
        <w:t xml:space="preserve"> rests on very few observations; inverse modelling indicates a strong monsoon influence on South Asian methane emissions (Subramanian et al., 2026), but the TROPOMI coverage in this study is too limited to confirm it.</w:t>
      </w:r>
    </w:p>
    <w:p>
      <w:pPr>
        <w:pStyle w:val="Heading2"/>
        <w:keepNext/>
        <w:spacing w:after="120" w:before="200" w:line="360"/>
      </w:pPr>
      <w:r>
        <w:rPr>
          <w:rFonts w:ascii="Times New Roman" w:cs="Times New Roman" w:eastAsia="Times New Roman" w:hAnsi="Times New Roman"/>
          <w:b/>
          <w:bCs/>
          <w:i/>
          <w:iCs/>
          <w:color w:val="000000"/>
          <w:sz w:val="24"/>
          <w:szCs w:val="24"/>
        </w:rPr>
        <w:t xml:space="preserve">5.3 Relationship Between Land Surface Temperature and Pollutants</w:t>
      </w:r>
    </w:p>
    <w:p>
      <w:pPr>
        <w:spacing w:after="160" w:line="360"/>
        <w:jc w:val="both"/>
      </w:pPr>
      <w:r>
        <w:rPr>
          <w:rFonts w:ascii="Times New Roman" w:cs="Times New Roman" w:eastAsia="Times New Roman" w:hAnsi="Times New Roman"/>
          <w:sz w:val="24"/>
          <w:szCs w:val="24"/>
        </w:rPr>
        <w:t xml:space="preserve">On the annual scale, daytime LST was positively associated with the urban group of pollutants (CH</w:t>
      </w:r>
      <w:r>
        <w:rPr>
          <w:rFonts w:ascii="Times New Roman" w:cs="Times New Roman" w:eastAsia="Times New Roman" w:hAnsi="Times New Roman"/>
          <w:sz w:val="24"/>
          <w:szCs w:val="24"/>
          <w:vertAlign w:val="subscript"/>
        </w:rPr>
        <w:t xml:space="preserve">4</w:t>
      </w:r>
      <w:r>
        <w:rPr>
          <w:rFonts w:ascii="Times New Roman" w:cs="Times New Roman" w:eastAsia="Times New Roman" w:hAnsi="Times New Roman"/>
          <w:sz w:val="24"/>
          <w:szCs w:val="24"/>
        </w:rPr>
        <w:t xml:space="preserve">, NO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and HCHO). The most plausible explanation is a common cause. Built-up and industrial land is warmer during the day because of its low vegetation cover and high heat storage (Peng et al., 2012; Zhou et al., 2019), and the same land emits pollutants; neither variable needs to drive the other. The negative annual correlations of nighttime LST with O</w:t>
      </w:r>
      <w:r>
        <w:rPr>
          <w:rFonts w:ascii="Times New Roman" w:cs="Times New Roman" w:eastAsia="Times New Roman" w:hAnsi="Times New Roman"/>
          <w:sz w:val="24"/>
          <w:szCs w:val="24"/>
          <w:vertAlign w:val="subscript"/>
        </w:rPr>
        <w:t xml:space="preserve">3</w:t>
      </w:r>
      <w:r>
        <w:rPr>
          <w:rFonts w:ascii="Times New Roman" w:cs="Times New Roman" w:eastAsia="Times New Roman" w:hAnsi="Times New Roman"/>
          <w:sz w:val="24"/>
          <w:szCs w:val="24"/>
        </w:rPr>
        <w:t xml:space="preserve">, UVAI and AOD largely reflect geography: the north-west of the country is both the coolest region at night and the region with the highest aerosol load and total ozone.</w:t>
      </w:r>
    </w:p>
    <w:p>
      <w:pPr>
        <w:spacing w:after="160" w:line="360"/>
        <w:jc w:val="both"/>
      </w:pPr>
      <w:r>
        <w:rPr>
          <w:rFonts w:ascii="Times New Roman" w:cs="Times New Roman" w:eastAsia="Times New Roman" w:hAnsi="Times New Roman"/>
          <w:sz w:val="24"/>
          <w:szCs w:val="24"/>
        </w:rPr>
        <w:t xml:space="preserve">The seasonal analysis shows that these annual relationships conceal a reversal of sign. In winter, the most polluted north-western districts are also the coolest, which produces negative correlations between LST and AOD, CO and O</w:t>
      </w:r>
      <w:r>
        <w:rPr>
          <w:rFonts w:ascii="Times New Roman" w:cs="Times New Roman" w:eastAsia="Times New Roman" w:hAnsi="Times New Roman"/>
          <w:sz w:val="24"/>
          <w:szCs w:val="24"/>
          <w:vertAlign w:val="subscript"/>
        </w:rPr>
        <w:t xml:space="preserve">3</w:t>
      </w:r>
      <w:r>
        <w:rPr>
          <w:rFonts w:ascii="Times New Roman" w:cs="Times New Roman" w:eastAsia="Times New Roman" w:hAnsi="Times New Roman"/>
          <w:sz w:val="24"/>
          <w:szCs w:val="24"/>
        </w:rPr>
        <w:t xml:space="preserve">. A direct radiative contribution is physically plausible, because a thick aerosol layer reduces the solar radiation reaching the surface (Ramanathan et al., 2001), but the present data cannot separate this effect from the regional temperature gradient. During and after the monsoon, the regional aerosol gradient weakens and the urban signal dominates, so that warmer cells are also more polluted. This reversal has a practical consequence: studies that report a single annual coefficient between LST and a pollutant, as is common in this literature, may obtain results that depend on the mix of seasons in the data.</w:t>
      </w:r>
    </w:p>
    <w:p>
      <w:pPr>
        <w:spacing w:after="160" w:line="360"/>
        <w:jc w:val="both"/>
      </w:pPr>
      <w:r>
        <w:rPr>
          <w:rFonts w:ascii="Times New Roman" w:cs="Times New Roman" w:eastAsia="Times New Roman" w:hAnsi="Times New Roman"/>
          <w:sz w:val="24"/>
          <w:szCs w:val="24"/>
        </w:rPr>
        <w:t xml:space="preserve">The GWR results add a spatial dimension. Explained variance increased from about 0.24 to more than 0.9 when the coefficients were allowed to vary in space, and the local coefficients of several pollutants took both signs. AOD had a predominantly positive local association with nighttime LST, particularly in the south-west and along the south-eastern coast. This is consistent with the enhancement of downward longwave radiation by aerosols at night (Cao et al., 2016), although the local coefficients are associations and not estimates of a causal effect. The contrast between the positive daytime and negative nighttime coefficients of CH</w:t>
      </w:r>
      <w:r>
        <w:rPr>
          <w:rFonts w:ascii="Times New Roman" w:cs="Times New Roman" w:eastAsia="Times New Roman" w:hAnsi="Times New Roman"/>
          <w:sz w:val="24"/>
          <w:szCs w:val="24"/>
          <w:vertAlign w:val="subscript"/>
        </w:rPr>
        <w:t xml:space="preserve">4</w:t>
      </w:r>
      <w:r>
        <w:rPr>
          <w:rFonts w:ascii="Times New Roman" w:cs="Times New Roman" w:eastAsia="Times New Roman" w:hAnsi="Times New Roman"/>
          <w:sz w:val="24"/>
          <w:szCs w:val="24"/>
        </w:rPr>
        <w:t xml:space="preserve"> suggests that CH</w:t>
      </w:r>
      <w:r>
        <w:rPr>
          <w:rFonts w:ascii="Times New Roman" w:cs="Times New Roman" w:eastAsia="Times New Roman" w:hAnsi="Times New Roman"/>
          <w:sz w:val="24"/>
          <w:szCs w:val="24"/>
          <w:vertAlign w:val="subscript"/>
        </w:rPr>
        <w:t xml:space="preserve">4</w:t>
      </w:r>
      <w:r>
        <w:rPr>
          <w:rFonts w:ascii="Times New Roman" w:cs="Times New Roman" w:eastAsia="Times New Roman" w:hAnsi="Times New Roman"/>
          <w:sz w:val="24"/>
          <w:szCs w:val="24"/>
        </w:rPr>
        <w:t xml:space="preserve"> acts mainly as a marker of land cover: areas with high CH</w:t>
      </w:r>
      <w:r>
        <w:rPr>
          <w:rFonts w:ascii="Times New Roman" w:cs="Times New Roman" w:eastAsia="Times New Roman" w:hAnsi="Times New Roman"/>
          <w:sz w:val="24"/>
          <w:szCs w:val="24"/>
          <w:vertAlign w:val="subscript"/>
        </w:rPr>
        <w:t xml:space="preserve">4</w:t>
      </w:r>
      <w:r>
        <w:rPr>
          <w:rFonts w:ascii="Times New Roman" w:cs="Times New Roman" w:eastAsia="Times New Roman" w:hAnsi="Times New Roman"/>
          <w:sz w:val="24"/>
          <w:szCs w:val="24"/>
        </w:rPr>
        <w:t xml:space="preserve">, such as cities and intensively cultivated land, are warm during the day, whereas wet and irrigated land cools less at night than its surroundings.</w:t>
      </w:r>
    </w:p>
    <w:p>
      <w:pPr>
        <w:pStyle w:val="Heading2"/>
        <w:keepNext/>
        <w:spacing w:after="120" w:before="200" w:line="360"/>
      </w:pPr>
      <w:r>
        <w:rPr>
          <w:rFonts w:ascii="Times New Roman" w:cs="Times New Roman" w:eastAsia="Times New Roman" w:hAnsi="Times New Roman"/>
          <w:b/>
          <w:bCs/>
          <w:i/>
          <w:iCs/>
          <w:color w:val="000000"/>
          <w:sz w:val="24"/>
          <w:szCs w:val="24"/>
        </w:rPr>
        <w:t xml:space="preserve">5.4 Comparison With Previous Studies</w:t>
      </w:r>
    </w:p>
    <w:p>
      <w:pPr>
        <w:spacing w:after="160" w:line="360"/>
        <w:jc w:val="both"/>
      </w:pPr>
      <w:r>
        <w:rPr>
          <w:rFonts w:ascii="Times New Roman" w:cs="Times New Roman" w:eastAsia="Times New Roman" w:hAnsi="Times New Roman"/>
          <w:sz w:val="24"/>
          <w:szCs w:val="24"/>
        </w:rPr>
        <w:t xml:space="preserve">Table 11 compares the main findings with those of related studies. The signs of the annual relationships between daytime LST and CH</w:t>
      </w:r>
      <w:r>
        <w:rPr>
          <w:rFonts w:ascii="Times New Roman" w:cs="Times New Roman" w:eastAsia="Times New Roman" w:hAnsi="Times New Roman"/>
          <w:sz w:val="24"/>
          <w:szCs w:val="24"/>
          <w:vertAlign w:val="subscript"/>
        </w:rPr>
        <w:t xml:space="preserve">4</w:t>
      </w:r>
      <w:r>
        <w:rPr>
          <w:rFonts w:ascii="Times New Roman" w:cs="Times New Roman" w:eastAsia="Times New Roman" w:hAnsi="Times New Roman"/>
          <w:sz w:val="24"/>
          <w:szCs w:val="24"/>
        </w:rPr>
        <w:t xml:space="preserve">, UVAI, HCHO and O</w:t>
      </w:r>
      <w:r>
        <w:rPr>
          <w:rFonts w:ascii="Times New Roman" w:cs="Times New Roman" w:eastAsia="Times New Roman" w:hAnsi="Times New Roman"/>
          <w:sz w:val="24"/>
          <w:szCs w:val="24"/>
          <w:vertAlign w:val="subscript"/>
        </w:rPr>
        <w:t xml:space="preserve">3</w:t>
      </w:r>
      <w:r>
        <w:rPr>
          <w:rFonts w:ascii="Times New Roman" w:cs="Times New Roman" w:eastAsia="Times New Roman" w:hAnsi="Times New Roman"/>
          <w:sz w:val="24"/>
          <w:szCs w:val="24"/>
        </w:rPr>
        <w:t xml:space="preserve"> agree with those reported by Sameh et al. (2026) for Sharkia Governorate in Egypt, but the coefficients are considerably smaller (for example, 0.48 against 0.86 for CH</w:t>
      </w:r>
      <w:r>
        <w:rPr>
          <w:rFonts w:ascii="Times New Roman" w:cs="Times New Roman" w:eastAsia="Times New Roman" w:hAnsi="Times New Roman"/>
          <w:sz w:val="24"/>
          <w:szCs w:val="24"/>
          <w:vertAlign w:val="subscript"/>
        </w:rPr>
        <w:t xml:space="preserve">4</w:t>
      </w:r>
      <w:r>
        <w:rPr>
          <w:rFonts w:ascii="Times New Roman" w:cs="Times New Roman" w:eastAsia="Times New Roman" w:hAnsi="Times New Roman"/>
          <w:sz w:val="24"/>
          <w:szCs w:val="24"/>
        </w:rPr>
        <w:t xml:space="preserve">). This is expected. The Egyptian study covered a single governorate with a clear contrast between an industrial south and an agricultural north, whereas the present study covers an entire country with heterogeneous land cover, a monsoon climate and strong regional gradients that are unrelated to local emissions. Weak global relationships between LST and CO, NO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and SO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were also reported for Metro Manila (Broqueza et al., 2024), and stronger relationships in the most urbanised cities of Pakistan (Munawar et al., 2026). The UHI intensity obtained here for Dhaka, 0.85 °C on average over the conurbation and up to 3.7 °C in the urban core at 0.05° resolution, is of the same order as the daytime surface UHI of 2.74 °C reported by Dewan et al. (2021).</w:t>
      </w:r>
    </w:p>
    <w:p>
      <w:pPr>
        <w:keepNext/>
        <w:spacing w:after="100" w:before="240" w:line="276"/>
        <w:jc w:val="left"/>
      </w:pPr>
      <w:r>
        <w:rPr>
          <w:rFonts w:ascii="Times New Roman" w:cs="Times New Roman" w:eastAsia="Times New Roman" w:hAnsi="Times New Roman"/>
          <w:b/>
          <w:bCs/>
          <w:sz w:val="22"/>
          <w:szCs w:val="22"/>
        </w:rPr>
        <w:t xml:space="preserve">Table 11. </w:t>
      </w:r>
      <w:r>
        <w:rPr>
          <w:rFonts w:ascii="Times New Roman" w:cs="Times New Roman" w:eastAsia="Times New Roman" w:hAnsi="Times New Roman"/>
          <w:sz w:val="22"/>
          <w:szCs w:val="22"/>
        </w:rPr>
        <w:t xml:space="preserve">Comparison of the main findings with those of related studies.</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2300"/>
        <w:gridCol w:w="2700"/>
        <w:gridCol w:w="2526"/>
      </w:tblGrid>
      <w:tr>
        <w:trPr>
          <w:cantSplit/>
          <w:tblHeader/>
        </w:trPr>
        <w:tc>
          <w:tcPr>
            <w:tcW w:type="dxa" w:w="1500"/>
            <w:gridSpan w:val="1"/>
            <w:tcBorders>
              <w:top w:val="single" w:color="000000" w:sz="12"/>
              <w:left w:val="none" w:color="FFFFFF" w:sz="0"/>
              <w:bottom w:val="single" w:color="000000" w:sz="6"/>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sz w:val="19"/>
                <w:szCs w:val="19"/>
              </w:rPr>
              <w:t xml:space="preserve">Study</w:t>
            </w:r>
          </w:p>
        </w:tc>
        <w:tc>
          <w:tcPr>
            <w:tcW w:type="dxa" w:w="2300"/>
            <w:gridSpan w:val="1"/>
            <w:tcBorders>
              <w:top w:val="single" w:color="000000" w:sz="12"/>
              <w:left w:val="none" w:color="FFFFFF" w:sz="0"/>
              <w:bottom w:val="single" w:color="000000" w:sz="6"/>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sz w:val="19"/>
                <w:szCs w:val="19"/>
              </w:rPr>
              <w:t xml:space="preserve">Area, period and data</w:t>
            </w:r>
          </w:p>
        </w:tc>
        <w:tc>
          <w:tcPr>
            <w:tcW w:type="dxa" w:w="2700"/>
            <w:gridSpan w:val="1"/>
            <w:tcBorders>
              <w:top w:val="single" w:color="000000" w:sz="12"/>
              <w:left w:val="none" w:color="FFFFFF" w:sz="0"/>
              <w:bottom w:val="single" w:color="000000" w:sz="6"/>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sz w:val="19"/>
                <w:szCs w:val="19"/>
              </w:rPr>
              <w:t xml:space="preserve">Main finding</w:t>
            </w:r>
          </w:p>
        </w:tc>
        <w:tc>
          <w:tcPr>
            <w:tcW w:type="dxa" w:w="2526"/>
            <w:gridSpan w:val="1"/>
            <w:tcBorders>
              <w:top w:val="single" w:color="000000" w:sz="12"/>
              <w:left w:val="none" w:color="FFFFFF" w:sz="0"/>
              <w:bottom w:val="single" w:color="000000" w:sz="6"/>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sz w:val="19"/>
                <w:szCs w:val="19"/>
              </w:rPr>
              <w:t xml:space="preserve">Comparison with this study</w:t>
            </w:r>
          </w:p>
        </w:tc>
      </w:tr>
      <w:tr>
        <w:trPr>
          <w:cantSplit/>
        </w:trPr>
        <w:tc>
          <w:tcPr>
            <w:tcW w:type="dxa" w:w="15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19"/>
                <w:szCs w:val="19"/>
              </w:rPr>
              <w:t xml:space="preserve">Sameh et al. (2026)</w:t>
            </w:r>
          </w:p>
        </w:tc>
        <w:tc>
          <w:tcPr>
            <w:tcW w:type="dxa" w:w="23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19"/>
                <w:szCs w:val="19"/>
              </w:rPr>
              <w:t xml:space="preserve">Sharkia Governorate, Egypt, 2024; Sentinel-5P, MODIS AOD and LST</w:t>
            </w:r>
          </w:p>
        </w:tc>
        <w:tc>
          <w:tcPr>
            <w:tcW w:type="dxa" w:w="27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19"/>
                <w:szCs w:val="19"/>
              </w:rPr>
              <w:t xml:space="preserve">LST correlated with CH</w:t>
            </w:r>
            <w:r>
              <w:rPr>
                <w:rFonts w:ascii="Times New Roman" w:cs="Times New Roman" w:eastAsia="Times New Roman" w:hAnsi="Times New Roman"/>
                <w:b w:val="false"/>
                <w:bCs w:val="false"/>
                <w:sz w:val="19"/>
                <w:szCs w:val="19"/>
                <w:vertAlign w:val="subscript"/>
              </w:rPr>
              <w:t xml:space="preserve">4</w:t>
            </w:r>
            <w:r>
              <w:rPr>
                <w:rFonts w:ascii="Times New Roman" w:cs="Times New Roman" w:eastAsia="Times New Roman" w:hAnsi="Times New Roman"/>
                <w:b w:val="false"/>
                <w:bCs w:val="false"/>
                <w:sz w:val="19"/>
                <w:szCs w:val="19"/>
              </w:rPr>
              <w:t xml:space="preserve"> (0.86), UVAI (0.89), HCHO (0.43) and O</w:t>
            </w:r>
            <w:r>
              <w:rPr>
                <w:rFonts w:ascii="Times New Roman" w:cs="Times New Roman" w:eastAsia="Times New Roman" w:hAnsi="Times New Roman"/>
                <w:b w:val="false"/>
                <w:bCs w:val="false"/>
                <w:sz w:val="19"/>
                <w:szCs w:val="19"/>
                <w:vertAlign w:val="subscript"/>
              </w:rPr>
              <w:t xml:space="preserve">3</w:t>
            </w:r>
            <w:r>
              <w:rPr>
                <w:rFonts w:ascii="Times New Roman" w:cs="Times New Roman" w:eastAsia="Times New Roman" w:hAnsi="Times New Roman"/>
                <w:b w:val="false"/>
                <w:bCs w:val="false"/>
                <w:sz w:val="19"/>
                <w:szCs w:val="19"/>
              </w:rPr>
              <w:t xml:space="preserve"> (−0.79); local GWR R</w:t>
            </w:r>
            <w:r>
              <w:rPr>
                <w:rFonts w:ascii="Times New Roman" w:cs="Times New Roman" w:eastAsia="Times New Roman" w:hAnsi="Times New Roman"/>
                <w:b w:val="false"/>
                <w:bCs w:val="false"/>
                <w:sz w:val="19"/>
                <w:szCs w:val="19"/>
                <w:vertAlign w:val="superscript"/>
              </w:rPr>
              <w:t xml:space="preserve">2</w:t>
            </w:r>
            <w:r>
              <w:rPr>
                <w:rFonts w:ascii="Times New Roman" w:cs="Times New Roman" w:eastAsia="Times New Roman" w:hAnsi="Times New Roman"/>
                <w:b w:val="false"/>
                <w:bCs w:val="false"/>
                <w:sz w:val="19"/>
                <w:szCs w:val="19"/>
              </w:rPr>
              <w:t xml:space="preserve"> above 0.8 in hotspots</w:t>
            </w:r>
          </w:p>
        </w:tc>
        <w:tc>
          <w:tcPr>
            <w:tcW w:type="dxa" w:w="25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19"/>
                <w:szCs w:val="19"/>
              </w:rPr>
              <w:t xml:space="preserve">Same signs, weaker coefficients (0.48, 0.22, 0.30 and −0.14); mean local R</w:t>
            </w:r>
            <w:r>
              <w:rPr>
                <w:rFonts w:ascii="Times New Roman" w:cs="Times New Roman" w:eastAsia="Times New Roman" w:hAnsi="Times New Roman"/>
                <w:b w:val="false"/>
                <w:bCs w:val="false"/>
                <w:sz w:val="19"/>
                <w:szCs w:val="19"/>
                <w:vertAlign w:val="superscript"/>
              </w:rPr>
              <w:t xml:space="preserve">2</w:t>
            </w:r>
            <w:r>
              <w:rPr>
                <w:rFonts w:ascii="Times New Roman" w:cs="Times New Roman" w:eastAsia="Times New Roman" w:hAnsi="Times New Roman"/>
                <w:b w:val="false"/>
                <w:bCs w:val="false"/>
                <w:sz w:val="19"/>
                <w:szCs w:val="19"/>
              </w:rPr>
              <w:t xml:space="preserve"> of 0.64</w:t>
            </w:r>
          </w:p>
        </w:tc>
      </w:tr>
      <w:tr>
        <w:trPr>
          <w:cantSplit/>
        </w:trPr>
        <w:tc>
          <w:tcPr>
            <w:tcW w:type="dxa" w:w="15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19"/>
                <w:szCs w:val="19"/>
              </w:rPr>
              <w:t xml:space="preserve">Munawar et al. (2026)</w:t>
            </w:r>
          </w:p>
        </w:tc>
        <w:tc>
          <w:tcPr>
            <w:tcW w:type="dxa" w:w="23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19"/>
                <w:szCs w:val="19"/>
              </w:rPr>
              <w:t xml:space="preserve">Four cities, Pakistan, 2018–2023; Sentinel-5P NO</w:t>
            </w:r>
            <w:r>
              <w:rPr>
                <w:rFonts w:ascii="Times New Roman" w:cs="Times New Roman" w:eastAsia="Times New Roman" w:hAnsi="Times New Roman"/>
                <w:b w:val="false"/>
                <w:bCs w:val="false"/>
                <w:sz w:val="19"/>
                <w:szCs w:val="19"/>
                <w:vertAlign w:val="subscript"/>
              </w:rPr>
              <w:t xml:space="preserve">2</w:t>
            </w:r>
            <w:r>
              <w:rPr>
                <w:rFonts w:ascii="Times New Roman" w:cs="Times New Roman" w:eastAsia="Times New Roman" w:hAnsi="Times New Roman"/>
                <w:b w:val="false"/>
                <w:bCs w:val="false"/>
                <w:sz w:val="19"/>
                <w:szCs w:val="19"/>
              </w:rPr>
              <w:t xml:space="preserve">, CO and O</w:t>
            </w:r>
            <w:r>
              <w:rPr>
                <w:rFonts w:ascii="Times New Roman" w:cs="Times New Roman" w:eastAsia="Times New Roman" w:hAnsi="Times New Roman"/>
                <w:b w:val="false"/>
                <w:bCs w:val="false"/>
                <w:sz w:val="19"/>
                <w:szCs w:val="19"/>
                <w:vertAlign w:val="subscript"/>
              </w:rPr>
              <w:t xml:space="preserve">3</w:t>
            </w:r>
          </w:p>
        </w:tc>
        <w:tc>
          <w:tcPr>
            <w:tcW w:type="dxa" w:w="27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19"/>
                <w:szCs w:val="19"/>
              </w:rPr>
              <w:t xml:space="preserve">Strongest links between LST and pollutants in the most urbanised cities</w:t>
            </w:r>
          </w:p>
        </w:tc>
        <w:tc>
          <w:tcPr>
            <w:tcW w:type="dxa" w:w="25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19"/>
                <w:szCs w:val="19"/>
              </w:rPr>
              <w:t xml:space="preserve">Consistent: positive associations concentrated around urban centres</w:t>
            </w:r>
          </w:p>
        </w:tc>
      </w:tr>
      <w:tr>
        <w:trPr>
          <w:cantSplit/>
        </w:trPr>
        <w:tc>
          <w:tcPr>
            <w:tcW w:type="dxa" w:w="15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19"/>
                <w:szCs w:val="19"/>
              </w:rPr>
              <w:t xml:space="preserve">Broqueza et al. (2024)</w:t>
            </w:r>
          </w:p>
        </w:tc>
        <w:tc>
          <w:tcPr>
            <w:tcW w:type="dxa" w:w="23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19"/>
                <w:szCs w:val="19"/>
              </w:rPr>
              <w:t xml:space="preserve">Metro Manila, Philippines, 2019–2023; Sentinel-5P CO, NO</w:t>
            </w:r>
            <w:r>
              <w:rPr>
                <w:rFonts w:ascii="Times New Roman" w:cs="Times New Roman" w:eastAsia="Times New Roman" w:hAnsi="Times New Roman"/>
                <w:b w:val="false"/>
                <w:bCs w:val="false"/>
                <w:sz w:val="19"/>
                <w:szCs w:val="19"/>
                <w:vertAlign w:val="subscript"/>
              </w:rPr>
              <w:t xml:space="preserve">2</w:t>
            </w:r>
            <w:r>
              <w:rPr>
                <w:rFonts w:ascii="Times New Roman" w:cs="Times New Roman" w:eastAsia="Times New Roman" w:hAnsi="Times New Roman"/>
                <w:b w:val="false"/>
                <w:bCs w:val="false"/>
                <w:sz w:val="19"/>
                <w:szCs w:val="19"/>
              </w:rPr>
              <w:t xml:space="preserve"> and SO</w:t>
            </w:r>
            <w:r>
              <w:rPr>
                <w:rFonts w:ascii="Times New Roman" w:cs="Times New Roman" w:eastAsia="Times New Roman" w:hAnsi="Times New Roman"/>
                <w:b w:val="false"/>
                <w:bCs w:val="false"/>
                <w:sz w:val="19"/>
                <w:szCs w:val="19"/>
                <w:vertAlign w:val="subscript"/>
              </w:rPr>
              <w:t xml:space="preserve">2</w:t>
            </w:r>
            <w:r>
              <w:rPr>
                <w:rFonts w:ascii="Times New Roman" w:cs="Times New Roman" w:eastAsia="Times New Roman" w:hAnsi="Times New Roman"/>
                <w:b w:val="false"/>
                <w:bCs w:val="false"/>
                <w:sz w:val="19"/>
                <w:szCs w:val="19"/>
              </w:rPr>
              <w:t xml:space="preserve">, MODIS LST</w:t>
            </w:r>
          </w:p>
        </w:tc>
        <w:tc>
          <w:tcPr>
            <w:tcW w:type="dxa" w:w="27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19"/>
                <w:szCs w:val="19"/>
              </w:rPr>
              <w:t xml:space="preserve">Weak links between LST and CO and NO</w:t>
            </w:r>
            <w:r>
              <w:rPr>
                <w:rFonts w:ascii="Times New Roman" w:cs="Times New Roman" w:eastAsia="Times New Roman" w:hAnsi="Times New Roman"/>
                <w:b w:val="false"/>
                <w:bCs w:val="false"/>
                <w:sz w:val="19"/>
                <w:szCs w:val="19"/>
                <w:vertAlign w:val="subscript"/>
              </w:rPr>
              <w:t xml:space="preserve">2</w:t>
            </w:r>
            <w:r>
              <w:rPr>
                <w:rFonts w:ascii="Times New Roman" w:cs="Times New Roman" w:eastAsia="Times New Roman" w:hAnsi="Times New Roman"/>
                <w:b w:val="false"/>
                <w:bCs w:val="false"/>
                <w:sz w:val="19"/>
                <w:szCs w:val="19"/>
              </w:rPr>
              <w:t xml:space="preserve">; almost none with SO</w:t>
            </w:r>
            <w:r>
              <w:rPr>
                <w:rFonts w:ascii="Times New Roman" w:cs="Times New Roman" w:eastAsia="Times New Roman" w:hAnsi="Times New Roman"/>
                <w:b w:val="false"/>
                <w:bCs w:val="false"/>
                <w:sz w:val="19"/>
                <w:szCs w:val="19"/>
                <w:vertAlign w:val="subscript"/>
              </w:rPr>
              <w:t xml:space="preserve">2</w:t>
            </w:r>
          </w:p>
        </w:tc>
        <w:tc>
          <w:tcPr>
            <w:tcW w:type="dxa" w:w="25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19"/>
                <w:szCs w:val="19"/>
              </w:rPr>
              <w:t xml:space="preserve">Consistent: single pollutants explain at most 23% of the variance of LST</w:t>
            </w:r>
          </w:p>
        </w:tc>
      </w:tr>
      <w:tr>
        <w:trPr>
          <w:cantSplit/>
        </w:trPr>
        <w:tc>
          <w:tcPr>
            <w:tcW w:type="dxa" w:w="15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19"/>
                <w:szCs w:val="19"/>
              </w:rPr>
              <w:t xml:space="preserve">Rahman et al. (2025)</w:t>
            </w:r>
          </w:p>
        </w:tc>
        <w:tc>
          <w:tcPr>
            <w:tcW w:type="dxa" w:w="23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19"/>
                <w:szCs w:val="19"/>
              </w:rPr>
              <w:t xml:space="preserve">Dhaka, 2020–2024; Sentinel-5P CO, NO</w:t>
            </w:r>
            <w:r>
              <w:rPr>
                <w:rFonts w:ascii="Times New Roman" w:cs="Times New Roman" w:eastAsia="Times New Roman" w:hAnsi="Times New Roman"/>
                <w:b w:val="false"/>
                <w:bCs w:val="false"/>
                <w:sz w:val="19"/>
                <w:szCs w:val="19"/>
                <w:vertAlign w:val="subscript"/>
              </w:rPr>
              <w:t xml:space="preserve">2</w:t>
            </w:r>
            <w:r>
              <w:rPr>
                <w:rFonts w:ascii="Times New Roman" w:cs="Times New Roman" w:eastAsia="Times New Roman" w:hAnsi="Times New Roman"/>
                <w:b w:val="false"/>
                <w:bCs w:val="false"/>
                <w:sz w:val="19"/>
                <w:szCs w:val="19"/>
              </w:rPr>
              <w:t xml:space="preserve">, SO</w:t>
            </w:r>
            <w:r>
              <w:rPr>
                <w:rFonts w:ascii="Times New Roman" w:cs="Times New Roman" w:eastAsia="Times New Roman" w:hAnsi="Times New Roman"/>
                <w:b w:val="false"/>
                <w:bCs w:val="false"/>
                <w:sz w:val="19"/>
                <w:szCs w:val="19"/>
                <w:vertAlign w:val="subscript"/>
              </w:rPr>
              <w:t xml:space="preserve">2</w:t>
            </w:r>
            <w:r>
              <w:rPr>
                <w:rFonts w:ascii="Times New Roman" w:cs="Times New Roman" w:eastAsia="Times New Roman" w:hAnsi="Times New Roman"/>
                <w:b w:val="false"/>
                <w:bCs w:val="false"/>
                <w:sz w:val="19"/>
                <w:szCs w:val="19"/>
              </w:rPr>
              <w:t xml:space="preserve"> and O</w:t>
            </w:r>
            <w:r>
              <w:rPr>
                <w:rFonts w:ascii="Times New Roman" w:cs="Times New Roman" w:eastAsia="Times New Roman" w:hAnsi="Times New Roman"/>
                <w:b w:val="false"/>
                <w:bCs w:val="false"/>
                <w:sz w:val="19"/>
                <w:szCs w:val="19"/>
                <w:vertAlign w:val="subscript"/>
              </w:rPr>
              <w:t xml:space="preserve">3</w:t>
            </w:r>
          </w:p>
        </w:tc>
        <w:tc>
          <w:tcPr>
            <w:tcW w:type="dxa" w:w="27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19"/>
                <w:szCs w:val="19"/>
              </w:rPr>
              <w:t xml:space="preserve">CO, NO</w:t>
            </w:r>
            <w:r>
              <w:rPr>
                <w:rFonts w:ascii="Times New Roman" w:cs="Times New Roman" w:eastAsia="Times New Roman" w:hAnsi="Times New Roman"/>
                <w:b w:val="false"/>
                <w:bCs w:val="false"/>
                <w:sz w:val="19"/>
                <w:szCs w:val="19"/>
                <w:vertAlign w:val="subscript"/>
              </w:rPr>
              <w:t xml:space="preserve">2</w:t>
            </w:r>
            <w:r>
              <w:rPr>
                <w:rFonts w:ascii="Times New Roman" w:cs="Times New Roman" w:eastAsia="Times New Roman" w:hAnsi="Times New Roman"/>
                <w:b w:val="false"/>
                <w:bCs w:val="false"/>
                <w:sz w:val="19"/>
                <w:szCs w:val="19"/>
              </w:rPr>
              <w:t xml:space="preserve"> and SO</w:t>
            </w:r>
            <w:r>
              <w:rPr>
                <w:rFonts w:ascii="Times New Roman" w:cs="Times New Roman" w:eastAsia="Times New Roman" w:hAnsi="Times New Roman"/>
                <w:b w:val="false"/>
                <w:bCs w:val="false"/>
                <w:sz w:val="19"/>
                <w:szCs w:val="19"/>
                <w:vertAlign w:val="subscript"/>
              </w:rPr>
              <w:t xml:space="preserve">2</w:t>
            </w:r>
            <w:r>
              <w:rPr>
                <w:rFonts w:ascii="Times New Roman" w:cs="Times New Roman" w:eastAsia="Times New Roman" w:hAnsi="Times New Roman"/>
                <w:b w:val="false"/>
                <w:bCs w:val="false"/>
                <w:sz w:val="19"/>
                <w:szCs w:val="19"/>
              </w:rPr>
              <w:t xml:space="preserve"> peak in the cooler, drier months; O</w:t>
            </w:r>
            <w:r>
              <w:rPr>
                <w:rFonts w:ascii="Times New Roman" w:cs="Times New Roman" w:eastAsia="Times New Roman" w:hAnsi="Times New Roman"/>
                <w:b w:val="false"/>
                <w:bCs w:val="false"/>
                <w:sz w:val="19"/>
                <w:szCs w:val="19"/>
                <w:vertAlign w:val="subscript"/>
              </w:rPr>
              <w:t xml:space="preserve">3</w:t>
            </w:r>
            <w:r>
              <w:rPr>
                <w:rFonts w:ascii="Times New Roman" w:cs="Times New Roman" w:eastAsia="Times New Roman" w:hAnsi="Times New Roman"/>
                <w:b w:val="false"/>
                <w:bCs w:val="false"/>
                <w:sz w:val="19"/>
                <w:szCs w:val="19"/>
              </w:rPr>
              <w:t xml:space="preserve"> peaks in May</w:t>
            </w:r>
          </w:p>
        </w:tc>
        <w:tc>
          <w:tcPr>
            <w:tcW w:type="dxa" w:w="25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19"/>
                <w:szCs w:val="19"/>
              </w:rPr>
              <w:t xml:space="preserve">Consistent: winter and pre-monsoon maxima; O</w:t>
            </w:r>
            <w:r>
              <w:rPr>
                <w:rFonts w:ascii="Times New Roman" w:cs="Times New Roman" w:eastAsia="Times New Roman" w:hAnsi="Times New Roman"/>
                <w:b w:val="false"/>
                <w:bCs w:val="false"/>
                <w:sz w:val="19"/>
                <w:szCs w:val="19"/>
                <w:vertAlign w:val="subscript"/>
              </w:rPr>
              <w:t xml:space="preserve">3</w:t>
            </w:r>
            <w:r>
              <w:rPr>
                <w:rFonts w:ascii="Times New Roman" w:cs="Times New Roman" w:eastAsia="Times New Roman" w:hAnsi="Times New Roman"/>
                <w:b w:val="false"/>
                <w:bCs w:val="false"/>
                <w:sz w:val="19"/>
                <w:szCs w:val="19"/>
              </w:rPr>
              <w:t xml:space="preserve"> maximum in May</w:t>
            </w:r>
          </w:p>
        </w:tc>
      </w:tr>
      <w:tr>
        <w:trPr>
          <w:cantSplit/>
        </w:trPr>
        <w:tc>
          <w:tcPr>
            <w:tcW w:type="dxa" w:w="15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19"/>
                <w:szCs w:val="19"/>
              </w:rPr>
              <w:t xml:space="preserve">Acharjee et al. (2026)</w:t>
            </w:r>
          </w:p>
        </w:tc>
        <w:tc>
          <w:tcPr>
            <w:tcW w:type="dxa" w:w="23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19"/>
                <w:szCs w:val="19"/>
              </w:rPr>
              <w:t xml:space="preserve">64 districts, Bangladesh, 2020–2024; Sentinel-5P</w:t>
            </w:r>
          </w:p>
        </w:tc>
        <w:tc>
          <w:tcPr>
            <w:tcW w:type="dxa" w:w="27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19"/>
                <w:szCs w:val="19"/>
              </w:rPr>
              <w:t xml:space="preserve">Highest NO</w:t>
            </w:r>
            <w:r>
              <w:rPr>
                <w:rFonts w:ascii="Times New Roman" w:cs="Times New Roman" w:eastAsia="Times New Roman" w:hAnsi="Times New Roman"/>
                <w:b w:val="false"/>
                <w:bCs w:val="false"/>
                <w:sz w:val="19"/>
                <w:szCs w:val="19"/>
                <w:vertAlign w:val="subscript"/>
              </w:rPr>
              <w:t xml:space="preserve">2</w:t>
            </w:r>
            <w:r>
              <w:rPr>
                <w:rFonts w:ascii="Times New Roman" w:cs="Times New Roman" w:eastAsia="Times New Roman" w:hAnsi="Times New Roman"/>
                <w:b w:val="false"/>
                <w:bCs w:val="false"/>
                <w:sz w:val="19"/>
                <w:szCs w:val="19"/>
              </w:rPr>
              <w:t xml:space="preserve"> and CH</w:t>
            </w:r>
            <w:r>
              <w:rPr>
                <w:rFonts w:ascii="Times New Roman" w:cs="Times New Roman" w:eastAsia="Times New Roman" w:hAnsi="Times New Roman"/>
                <w:b w:val="false"/>
                <w:bCs w:val="false"/>
                <w:sz w:val="19"/>
                <w:szCs w:val="19"/>
                <w:vertAlign w:val="subscript"/>
              </w:rPr>
              <w:t xml:space="preserve">4</w:t>
            </w:r>
            <w:r>
              <w:rPr>
                <w:rFonts w:ascii="Times New Roman" w:cs="Times New Roman" w:eastAsia="Times New Roman" w:hAnsi="Times New Roman"/>
                <w:b w:val="false"/>
                <w:bCs w:val="false"/>
                <w:sz w:val="19"/>
                <w:szCs w:val="19"/>
              </w:rPr>
              <w:t xml:space="preserve"> in the Dhaka–Gazipur–Munshiganj–Narayanganj cluster</w:t>
            </w:r>
          </w:p>
        </w:tc>
        <w:tc>
          <w:tcPr>
            <w:tcW w:type="dxa" w:w="25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19"/>
                <w:szCs w:val="19"/>
              </w:rPr>
              <w:t xml:space="preserve">Consistent: NO</w:t>
            </w:r>
            <w:r>
              <w:rPr>
                <w:rFonts w:ascii="Times New Roman" w:cs="Times New Roman" w:eastAsia="Times New Roman" w:hAnsi="Times New Roman"/>
                <w:b w:val="false"/>
                <w:bCs w:val="false"/>
                <w:sz w:val="19"/>
                <w:szCs w:val="19"/>
                <w:vertAlign w:val="subscript"/>
              </w:rPr>
              <w:t xml:space="preserve">2</w:t>
            </w:r>
            <w:r>
              <w:rPr>
                <w:rFonts w:ascii="Times New Roman" w:cs="Times New Roman" w:eastAsia="Times New Roman" w:hAnsi="Times New Roman"/>
                <w:b w:val="false"/>
                <w:bCs w:val="false"/>
                <w:sz w:val="19"/>
                <w:szCs w:val="19"/>
              </w:rPr>
              <w:t xml:space="preserve"> and CH</w:t>
            </w:r>
            <w:r>
              <w:rPr>
                <w:rFonts w:ascii="Times New Roman" w:cs="Times New Roman" w:eastAsia="Times New Roman" w:hAnsi="Times New Roman"/>
                <w:b w:val="false"/>
                <w:bCs w:val="false"/>
                <w:sz w:val="19"/>
                <w:szCs w:val="19"/>
                <w:vertAlign w:val="subscript"/>
              </w:rPr>
              <w:t xml:space="preserve">4</w:t>
            </w:r>
            <w:r>
              <w:rPr>
                <w:rFonts w:ascii="Times New Roman" w:cs="Times New Roman" w:eastAsia="Times New Roman" w:hAnsi="Times New Roman"/>
                <w:b w:val="false"/>
                <w:bCs w:val="false"/>
                <w:sz w:val="19"/>
                <w:szCs w:val="19"/>
              </w:rPr>
              <w:t xml:space="preserve"> maxima over the Dhaka conurbation</w:t>
            </w:r>
          </w:p>
        </w:tc>
      </w:tr>
      <w:tr>
        <w:trPr>
          <w:cantSplit/>
        </w:trPr>
        <w:tc>
          <w:tcPr>
            <w:tcW w:type="dxa" w:w="15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19"/>
                <w:szCs w:val="19"/>
              </w:rPr>
              <w:t xml:space="preserve">Zaman et al. (2021)</w:t>
            </w:r>
          </w:p>
        </w:tc>
        <w:tc>
          <w:tcPr>
            <w:tcW w:type="dxa" w:w="23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19"/>
                <w:szCs w:val="19"/>
              </w:rPr>
              <w:t xml:space="preserve">Six cities, Bangladesh; AERONET and MODIS AOD</w:t>
            </w:r>
          </w:p>
        </w:tc>
        <w:tc>
          <w:tcPr>
            <w:tcW w:type="dxa" w:w="27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19"/>
                <w:szCs w:val="19"/>
              </w:rPr>
              <w:t xml:space="preserve">Highest AOD in the west, declining from north-west to south-east</w:t>
            </w:r>
          </w:p>
        </w:tc>
        <w:tc>
          <w:tcPr>
            <w:tcW w:type="dxa" w:w="25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19"/>
                <w:szCs w:val="19"/>
              </w:rPr>
              <w:t xml:space="preserve">Consistent: mean AOD of 0.58 in the west and 0.24 in the east</w:t>
            </w:r>
          </w:p>
        </w:tc>
      </w:tr>
      <w:tr>
        <w:trPr>
          <w:cantSplit/>
        </w:trPr>
        <w:tc>
          <w:tcPr>
            <w:tcW w:type="dxa" w:w="15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19"/>
                <w:szCs w:val="19"/>
              </w:rPr>
              <w:t xml:space="preserve">Dewan et al. (2021)</w:t>
            </w:r>
          </w:p>
        </w:tc>
        <w:tc>
          <w:tcPr>
            <w:tcW w:type="dxa" w:w="23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19"/>
                <w:szCs w:val="19"/>
              </w:rPr>
              <w:t xml:space="preserve">Five cities, Bangladesh, 2000–2019; MODIS LST</w:t>
            </w:r>
          </w:p>
        </w:tc>
        <w:tc>
          <w:tcPr>
            <w:tcW w:type="dxa" w:w="270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19"/>
                <w:szCs w:val="19"/>
              </w:rPr>
              <w:t xml:space="preserve">Mean daytime surface UHI intensity of 2.74 °C in Dhaka</w:t>
            </w:r>
          </w:p>
        </w:tc>
        <w:tc>
          <w:tcPr>
            <w:tcW w:type="dxa" w:w="25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19"/>
                <w:szCs w:val="19"/>
              </w:rPr>
              <w:t xml:space="preserve">Comparable: 0.85 °C over the conurbation, up to 3.7 °C in the core</w:t>
            </w:r>
          </w:p>
        </w:tc>
      </w:tr>
      <w:tr>
        <w:trPr>
          <w:cantSplit/>
        </w:trPr>
        <w:tc>
          <w:tcPr>
            <w:tcW w:type="dxa" w:w="1500"/>
            <w:gridSpan w:val="1"/>
            <w:tcBorders>
              <w:top w:val="none" w:color="FFFFFF" w:sz="0"/>
              <w:left w:val="none" w:color="FFFFFF" w:sz="0"/>
              <w:bottom w:val="single" w:color="000000" w:sz="12"/>
              <w:right w:val="none" w:color="FFFFFF" w:sz="0"/>
            </w:tcBorders>
            <w:tcMar>
              <w:top w:type="dxa" w:w="40"/>
              <w:left w:type="dxa" w:w="60"/>
              <w:bottom w:type="dxa" w:w="40"/>
              <w:right w:type="dxa" w:w="60"/>
            </w:tcMar>
            <w:vAlign w:val="center"/>
          </w:tcPr>
          <w:p>
            <w:pPr>
              <w:keepNext w:val="false"/>
              <w:spacing w:after="0" w:line="240"/>
              <w:jc w:val="left"/>
            </w:pPr>
            <w:r>
              <w:rPr>
                <w:rFonts w:ascii="Times New Roman" w:cs="Times New Roman" w:eastAsia="Times New Roman" w:hAnsi="Times New Roman"/>
                <w:b w:val="false"/>
                <w:bCs w:val="false"/>
                <w:sz w:val="19"/>
                <w:szCs w:val="19"/>
              </w:rPr>
              <w:t xml:space="preserve">Cao et al. (2016)</w:t>
            </w:r>
          </w:p>
        </w:tc>
        <w:tc>
          <w:tcPr>
            <w:tcW w:type="dxa" w:w="2300"/>
            <w:gridSpan w:val="1"/>
            <w:tcBorders>
              <w:top w:val="none" w:color="FFFFFF" w:sz="0"/>
              <w:left w:val="none" w:color="FFFFFF" w:sz="0"/>
              <w:bottom w:val="single" w:color="000000" w:sz="12"/>
              <w:right w:val="none" w:color="FFFFFF" w:sz="0"/>
            </w:tcBorders>
            <w:tcMar>
              <w:top w:type="dxa" w:w="40"/>
              <w:left w:type="dxa" w:w="60"/>
              <w:bottom w:type="dxa" w:w="40"/>
              <w:right w:type="dxa" w:w="60"/>
            </w:tcMar>
            <w:vAlign w:val="center"/>
          </w:tcPr>
          <w:p>
            <w:pPr>
              <w:keepNext w:val="false"/>
              <w:spacing w:after="0" w:line="240"/>
              <w:jc w:val="left"/>
            </w:pPr>
            <w:r>
              <w:rPr>
                <w:rFonts w:ascii="Times New Roman" w:cs="Times New Roman" w:eastAsia="Times New Roman" w:hAnsi="Times New Roman"/>
                <w:b w:val="false"/>
                <w:bCs w:val="false"/>
                <w:sz w:val="19"/>
                <w:szCs w:val="19"/>
              </w:rPr>
              <w:t xml:space="preserve">Cities in China; satellite data and modelling</w:t>
            </w:r>
          </w:p>
        </w:tc>
        <w:tc>
          <w:tcPr>
            <w:tcW w:type="dxa" w:w="2700"/>
            <w:gridSpan w:val="1"/>
            <w:tcBorders>
              <w:top w:val="none" w:color="FFFFFF" w:sz="0"/>
              <w:left w:val="none" w:color="FFFFFF" w:sz="0"/>
              <w:bottom w:val="single" w:color="000000" w:sz="12"/>
              <w:right w:val="none" w:color="FFFFFF" w:sz="0"/>
            </w:tcBorders>
            <w:tcMar>
              <w:top w:type="dxa" w:w="40"/>
              <w:left w:type="dxa" w:w="60"/>
              <w:bottom w:type="dxa" w:w="40"/>
              <w:right w:type="dxa" w:w="60"/>
            </w:tcMar>
            <w:vAlign w:val="center"/>
          </w:tcPr>
          <w:p>
            <w:pPr>
              <w:keepNext w:val="false"/>
              <w:spacing w:after="0" w:line="240"/>
              <w:jc w:val="left"/>
            </w:pPr>
            <w:r>
              <w:rPr>
                <w:rFonts w:ascii="Times New Roman" w:cs="Times New Roman" w:eastAsia="Times New Roman" w:hAnsi="Times New Roman"/>
                <w:b w:val="false"/>
                <w:bCs w:val="false"/>
                <w:sz w:val="19"/>
                <w:szCs w:val="19"/>
              </w:rPr>
              <w:t xml:space="preserve">Haze strengthens the nighttime UHI by increasing downward longwave radiation</w:t>
            </w:r>
          </w:p>
        </w:tc>
        <w:tc>
          <w:tcPr>
            <w:tcW w:type="dxa" w:w="2526"/>
            <w:gridSpan w:val="1"/>
            <w:tcBorders>
              <w:top w:val="none" w:color="FFFFFF" w:sz="0"/>
              <w:left w:val="none" w:color="FFFFFF" w:sz="0"/>
              <w:bottom w:val="single" w:color="000000" w:sz="12"/>
              <w:right w:val="none" w:color="FFFFFF" w:sz="0"/>
            </w:tcBorders>
            <w:tcMar>
              <w:top w:type="dxa" w:w="40"/>
              <w:left w:type="dxa" w:w="60"/>
              <w:bottom w:type="dxa" w:w="40"/>
              <w:right w:type="dxa" w:w="60"/>
            </w:tcMar>
            <w:vAlign w:val="center"/>
          </w:tcPr>
          <w:p>
            <w:pPr>
              <w:keepNext w:val="false"/>
              <w:spacing w:after="0" w:line="240"/>
              <w:jc w:val="left"/>
            </w:pPr>
            <w:r>
              <w:rPr>
                <w:rFonts w:ascii="Times New Roman" w:cs="Times New Roman" w:eastAsia="Times New Roman" w:hAnsi="Times New Roman"/>
                <w:b w:val="false"/>
                <w:bCs w:val="false"/>
                <w:sz w:val="19"/>
                <w:szCs w:val="19"/>
              </w:rPr>
              <w:t xml:space="preserve">Consistent with predominantly positive local coefficients of AOD for nighttime LST</w:t>
            </w:r>
          </w:p>
        </w:tc>
      </w:tr>
    </w:tbl>
    <w:p>
      <w:pPr>
        <w:spacing w:after="260" w:before="80" w:line="252"/>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Coefficients are Pearson correlation coefficients with daytime LST unless stated otherwise.</w:t>
      </w:r>
    </w:p>
    <w:p>
      <w:pPr>
        <w:pStyle w:val="Heading2"/>
        <w:keepNext/>
        <w:spacing w:after="120" w:before="200" w:line="360"/>
      </w:pPr>
      <w:r>
        <w:rPr>
          <w:rFonts w:ascii="Times New Roman" w:cs="Times New Roman" w:eastAsia="Times New Roman" w:hAnsi="Times New Roman"/>
          <w:b/>
          <w:bCs/>
          <w:i/>
          <w:iCs/>
          <w:color w:val="000000"/>
          <w:sz w:val="24"/>
          <w:szCs w:val="24"/>
        </w:rPr>
        <w:t xml:space="preserve">5.5 Implications</w:t>
      </w:r>
    </w:p>
    <w:p>
      <w:pPr>
        <w:spacing w:after="160" w:line="360"/>
        <w:jc w:val="both"/>
      </w:pPr>
      <w:r>
        <w:rPr>
          <w:rFonts w:ascii="Times New Roman" w:cs="Times New Roman" w:eastAsia="Times New Roman" w:hAnsi="Times New Roman"/>
          <w:sz w:val="24"/>
          <w:szCs w:val="24"/>
        </w:rPr>
        <w:t xml:space="preserve">Three implications follow for air quality management. First, the Dhaka conurbation is a persistent hotspot for NO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HCHO, CH</w:t>
      </w:r>
      <w:r>
        <w:rPr>
          <w:rFonts w:ascii="Times New Roman" w:cs="Times New Roman" w:eastAsia="Times New Roman" w:hAnsi="Times New Roman"/>
          <w:sz w:val="24"/>
          <w:szCs w:val="24"/>
          <w:vertAlign w:val="subscript"/>
        </w:rPr>
        <w:t xml:space="preserve">4</w:t>
      </w:r>
      <w:r>
        <w:rPr>
          <w:rFonts w:ascii="Times New Roman" w:cs="Times New Roman" w:eastAsia="Times New Roman" w:hAnsi="Times New Roman"/>
          <w:sz w:val="24"/>
          <w:szCs w:val="24"/>
        </w:rPr>
        <w:t xml:space="preserve"> and surface heat in every season, so measures directed at transport, industry, brick manufacturing and waste in this area would address several problems at the same time. Second, the regional gradient of AOD and CO indicates that a substantial part of the aerosol burden in the western districts is linked to the wider Indo-Gangetic Plain, which calls for regional cooperation in addition to national measures. Third, the comparison with DoE stations shows that satellite AOD and UVAI carry useful information on particulate pollution in areas without monitors, but that they cannot replace surface measurements. Extending the monitoring network beyond the main cities, particularly to the north-west and south-west, would allow satellite products to be calibrated locally.</w:t>
      </w:r>
    </w:p>
    <w:p>
      <w:pPr>
        <w:pStyle w:val="Heading2"/>
        <w:keepNext/>
        <w:spacing w:after="120" w:before="200" w:line="360"/>
      </w:pPr>
      <w:r>
        <w:rPr>
          <w:rFonts w:ascii="Times New Roman" w:cs="Times New Roman" w:eastAsia="Times New Roman" w:hAnsi="Times New Roman"/>
          <w:b/>
          <w:bCs/>
          <w:i/>
          <w:iCs/>
          <w:color w:val="000000"/>
          <w:sz w:val="24"/>
          <w:szCs w:val="24"/>
        </w:rPr>
        <w:t xml:space="preserve">5.6 Limitations</w:t>
      </w:r>
    </w:p>
    <w:p>
      <w:pPr>
        <w:spacing w:after="160" w:line="360"/>
        <w:jc w:val="both"/>
      </w:pPr>
      <w:r>
        <w:rPr>
          <w:rFonts w:ascii="Times New Roman" w:cs="Times New Roman" w:eastAsia="Times New Roman" w:hAnsi="Times New Roman"/>
          <w:sz w:val="24"/>
          <w:szCs w:val="24"/>
        </w:rPr>
        <w:t xml:space="preserve">Several limitations should be kept in mind. First, all satellite variables are column-integrated or optical quantities and not surface concentrations. They cannot be compared directly with air quality standards, and their relationship with surface concentrations varies with boundary-layer height, humidity and aerosol type; TROPOMI tropospheric NO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is also known to be biased low under polluted conditions (Verhoelst et al., 2021). Second, total-column O</w:t>
      </w:r>
      <w:r>
        <w:rPr>
          <w:rFonts w:ascii="Times New Roman" w:cs="Times New Roman" w:eastAsia="Times New Roman" w:hAnsi="Times New Roman"/>
          <w:sz w:val="24"/>
          <w:szCs w:val="24"/>
          <w:vertAlign w:val="subscript"/>
        </w:rPr>
        <w:t xml:space="preserve">3</w:t>
      </w:r>
      <w:r>
        <w:rPr>
          <w:rFonts w:ascii="Times New Roman" w:cs="Times New Roman" w:eastAsia="Times New Roman" w:hAnsi="Times New Roman"/>
          <w:sz w:val="24"/>
          <w:szCs w:val="24"/>
        </w:rPr>
        <w:t xml:space="preserve"> is dominated by the stratosphere, so its associations with LST and other pollutants should not be interpreted in terms of surface photochemistry. Third, cloud removes most CH</w:t>
      </w:r>
      <w:r>
        <w:rPr>
          <w:rFonts w:ascii="Times New Roman" w:cs="Times New Roman" w:eastAsia="Times New Roman" w:hAnsi="Times New Roman"/>
          <w:sz w:val="24"/>
          <w:szCs w:val="24"/>
          <w:vertAlign w:val="subscript"/>
        </w:rPr>
        <w:t xml:space="preserve">4</w:t>
      </w:r>
      <w:r>
        <w:rPr>
          <w:rFonts w:ascii="Times New Roman" w:cs="Times New Roman" w:eastAsia="Times New Roman" w:hAnsi="Times New Roman"/>
          <w:sz w:val="24"/>
          <w:szCs w:val="24"/>
        </w:rPr>
        <w:t xml:space="preserve">, AOD and LST retrievals between June and September, and LST is available only under clear sky; annual and monsoon values are therefore biased towards cloud-free conditions. Fourth, some features are retrieval artefacts: a diagonal discontinuity in annual AOD, elevated UVAI over bright river surfaces, along-track striping in CO and pixel-scale noise in SO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w:t>
      </w:r>
    </w:p>
    <w:p>
      <w:pPr>
        <w:spacing w:after="160" w:line="360"/>
        <w:jc w:val="both"/>
      </w:pPr>
      <w:r>
        <w:rPr>
          <w:rFonts w:ascii="Times New Roman" w:cs="Times New Roman" w:eastAsia="Times New Roman" w:hAnsi="Times New Roman"/>
          <w:sz w:val="24"/>
          <w:szCs w:val="24"/>
        </w:rPr>
        <w:t xml:space="preserve">Fifth, the analysis is cross-sectional and covers a single year, so the relationships describe spatial association in 2025 and not causation or long-term behaviour. Sixth, spatial autocorrelation inflates the significance of global correlations and regressions (Clifford et al., 1989), and effect sizes should be emphasised over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values. Seventh, the optimal GWR bandwidth of 53 neighbours is small relative to the number of parameters, so the high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values partly reflect local overfitting, and local coefficients can be unstable where predictors are collinear (Wheeler &amp; Tiefelsdorf, 2005). The coefficient maps and the shares of significant cells are more informative than the overall fit, and multiscale GWR, which allows each predictor its own bandwidth (Fotheringham et al., 2017), should be tested in future work. Finally, the ground comparison is limited to 16 urban stations and 11 months, the pollutants are compared in different physical units, and station means are based on unequal numbers of months.</w:t>
      </w:r>
    </w:p>
    <w:p>
      <w:pPr>
        <w:pStyle w:val="Heading1"/>
        <w:keepNext/>
        <w:spacing w:after="140" w:before="280" w:line="360"/>
      </w:pPr>
      <w:r>
        <w:rPr>
          <w:rFonts w:ascii="Times New Roman" w:cs="Times New Roman" w:eastAsia="Times New Roman" w:hAnsi="Times New Roman"/>
          <w:b/>
          <w:bCs/>
          <w:color w:val="000000"/>
          <w:sz w:val="26"/>
          <w:szCs w:val="26"/>
        </w:rPr>
        <w:t xml:space="preserve">6. Conclusions</w:t>
      </w:r>
    </w:p>
    <w:p>
      <w:pPr>
        <w:spacing w:after="160" w:line="360"/>
        <w:jc w:val="both"/>
      </w:pPr>
      <w:r>
        <w:rPr>
          <w:rFonts w:ascii="Times New Roman" w:cs="Times New Roman" w:eastAsia="Times New Roman" w:hAnsi="Times New Roman"/>
          <w:sz w:val="24"/>
          <w:szCs w:val="24"/>
        </w:rPr>
        <w:t xml:space="preserve">This study presents, to our knowledge, the first national-scale assessment of the relationship between satellite-observed air pollutants and land surface temperature over Bangladesh, based on Sentinel-5P TROPOMI and MODIS data for 2025 processed in Google Earth Engine. The main conclusions are as follows.</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Air pollution over Bangladesh has two spatial components: a regional west–east gradient in AOD and CO, linked to the Indo-Gangetic Plain, and local hotspots of NO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HCHO and CH</w:t>
      </w:r>
      <w:r>
        <w:rPr>
          <w:rFonts w:ascii="Times New Roman" w:cs="Times New Roman" w:eastAsia="Times New Roman" w:hAnsi="Times New Roman"/>
          <w:sz w:val="24"/>
          <w:szCs w:val="24"/>
          <w:vertAlign w:val="subscript"/>
        </w:rPr>
        <w:t xml:space="preserve">4</w:t>
      </w:r>
      <w:r>
        <w:rPr>
          <w:rFonts w:ascii="Times New Roman" w:cs="Times New Roman" w:eastAsia="Times New Roman" w:hAnsi="Times New Roman"/>
          <w:sz w:val="24"/>
          <w:szCs w:val="24"/>
        </w:rPr>
        <w:t xml:space="preserve"> centred on the Dhaka conurbation, where the surface urban heat island also reaches its maximum of 3.7 °C.</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NO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CO, SO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and AOD are highest in winter and the pre-monsoon season and lowest during the monsoon. Monsoon cloud severely limits CH</w:t>
      </w:r>
      <w:r>
        <w:rPr>
          <w:rFonts w:ascii="Times New Roman" w:cs="Times New Roman" w:eastAsia="Times New Roman" w:hAnsi="Times New Roman"/>
          <w:sz w:val="24"/>
          <w:szCs w:val="24"/>
          <w:vertAlign w:val="subscript"/>
        </w:rPr>
        <w:t xml:space="preserve">4</w:t>
      </w:r>
      <w:r>
        <w:rPr>
          <w:rFonts w:ascii="Times New Roman" w:cs="Times New Roman" w:eastAsia="Times New Roman" w:hAnsi="Times New Roman"/>
          <w:sz w:val="24"/>
          <w:szCs w:val="24"/>
        </w:rPr>
        <w:t xml:space="preserve">, AOD and LST observations from June to September.</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On the annual scale, daytime LST is positively correlated with CH</w:t>
      </w:r>
      <w:r>
        <w:rPr>
          <w:rFonts w:ascii="Times New Roman" w:cs="Times New Roman" w:eastAsia="Times New Roman" w:hAnsi="Times New Roman"/>
          <w:sz w:val="24"/>
          <w:szCs w:val="24"/>
          <w:vertAlign w:val="subscript"/>
        </w:rPr>
        <w:t xml:space="preserve">4</w:t>
      </w:r>
      <w:r>
        <w:rPr>
          <w:rFonts w:ascii="Times New Roman" w:cs="Times New Roman" w:eastAsia="Times New Roman" w:hAnsi="Times New Roman"/>
          <w:sz w:val="24"/>
          <w:szCs w:val="24"/>
        </w:rPr>
        <w:t xml:space="preserve">, NO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SO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and HCHO, but single pollutants explain no more than 23% of its spatial variance. Three principal components explain 74.9% of the total variance and separate a general pollution factor from regional and local patterns.</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The relationships between LST and pollutants change sign between seasons, from negative in winter to positive during and after the monsoon for AOD, CO and O</w:t>
      </w:r>
      <w:r>
        <w:rPr>
          <w:rFonts w:ascii="Times New Roman" w:cs="Times New Roman" w:eastAsia="Times New Roman" w:hAnsi="Times New Roman"/>
          <w:sz w:val="24"/>
          <w:szCs w:val="24"/>
          <w:vertAlign w:val="subscript"/>
        </w:rPr>
        <w:t xml:space="preserve">3</w:t>
      </w:r>
      <w:r>
        <w:rPr>
          <w:rFonts w:ascii="Times New Roman" w:cs="Times New Roman" w:eastAsia="Times New Roman" w:hAnsi="Times New Roman"/>
          <w:sz w:val="24"/>
          <w:szCs w:val="24"/>
        </w:rPr>
        <w:t xml:space="preserve">. Annual coefficients alone are therefore misleading in a monsoon climate.</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GWR raises the explained variance of LST from 0.24 to more than 0.9 and shows that the relationships are spatially non-stationary, with CH</w:t>
      </w:r>
      <w:r>
        <w:rPr>
          <w:rFonts w:ascii="Times New Roman" w:cs="Times New Roman" w:eastAsia="Times New Roman" w:hAnsi="Times New Roman"/>
          <w:sz w:val="24"/>
          <w:szCs w:val="24"/>
          <w:vertAlign w:val="subscript"/>
        </w:rPr>
        <w:t xml:space="preserve">4</w:t>
      </w:r>
      <w:r>
        <w:rPr>
          <w:rFonts w:ascii="Times New Roman" w:cs="Times New Roman" w:eastAsia="Times New Roman" w:hAnsi="Times New Roman"/>
          <w:sz w:val="24"/>
          <w:szCs w:val="24"/>
        </w:rPr>
        <w:t xml:space="preserve"> the most frequently significant local predictor. The high overall fit should be interpreted with caution because of the small bandwidth.</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Satellite AOD and UVAI are moderately correlated with PM</w:t>
      </w:r>
      <w:r>
        <w:rPr>
          <w:rFonts w:ascii="Times New Roman" w:cs="Times New Roman" w:eastAsia="Times New Roman" w:hAnsi="Times New Roman"/>
          <w:sz w:val="24"/>
          <w:szCs w:val="24"/>
          <w:vertAlign w:val="subscript"/>
        </w:rPr>
        <w:t xml:space="preserve">2.5</w:t>
      </w:r>
      <w:r>
        <w:rPr>
          <w:rFonts w:ascii="Times New Roman" w:cs="Times New Roman" w:eastAsia="Times New Roman" w:hAnsi="Times New Roman"/>
          <w:sz w:val="24"/>
          <w:szCs w:val="24"/>
        </w:rPr>
        <w:t xml:space="preserve"> measured at DoE stations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 0.50 and 0.72), and all stations exceed the WHO guideline and the national standard for PM</w:t>
      </w:r>
      <w:r>
        <w:rPr>
          <w:rFonts w:ascii="Times New Roman" w:cs="Times New Roman" w:eastAsia="Times New Roman" w:hAnsi="Times New Roman"/>
          <w:sz w:val="24"/>
          <w:szCs w:val="24"/>
          <w:vertAlign w:val="subscript"/>
        </w:rPr>
        <w:t xml:space="preserve">2.5</w:t>
      </w:r>
      <w:r>
        <w:rPr>
          <w:rFonts w:ascii="Times New Roman" w:cs="Times New Roman" w:eastAsia="Times New Roman" w:hAnsi="Times New Roman"/>
          <w:sz w:val="24"/>
          <w:szCs w:val="24"/>
        </w:rPr>
        <w:t xml:space="preserve"> and PM</w:t>
      </w:r>
      <w:r>
        <w:rPr>
          <w:rFonts w:ascii="Times New Roman" w:cs="Times New Roman" w:eastAsia="Times New Roman" w:hAnsi="Times New Roman"/>
          <w:sz w:val="24"/>
          <w:szCs w:val="24"/>
          <w:vertAlign w:val="subscript"/>
        </w:rPr>
        <w:t xml:space="preserve">10</w:t>
      </w:r>
      <w:r>
        <w:rPr>
          <w:rFonts w:ascii="Times New Roman" w:cs="Times New Roman" w:eastAsia="Times New Roman" w:hAnsi="Times New Roman"/>
          <w:sz w:val="24"/>
          <w:szCs w:val="24"/>
        </w:rPr>
        <w:t xml:space="preserve">.</w:t>
      </w:r>
    </w:p>
    <w:p>
      <w:pPr>
        <w:spacing w:after="160" w:line="360"/>
        <w:jc w:val="both"/>
      </w:pPr>
      <w:r>
        <w:rPr>
          <w:rFonts w:ascii="Times New Roman" w:cs="Times New Roman" w:eastAsia="Times New Roman" w:hAnsi="Times New Roman"/>
          <w:sz w:val="24"/>
          <w:szCs w:val="24"/>
        </w:rPr>
        <w:t xml:space="preserve">Future work should extend the analysis to several years to separate persistent patterns from interannual variability, include land cover, vegetation and meteorological variables as predictors, apply multiscale GWR, and use the DoE station data to calibrate satellite-based estimates of surface particulate matter for Bangladesh.</w:t>
      </w:r>
    </w:p>
    <w:p>
      <w:pPr>
        <w:pStyle w:val="Heading1"/>
        <w:keepNext/>
        <w:spacing w:after="140" w:before="280" w:line="360"/>
      </w:pPr>
      <w:r>
        <w:rPr>
          <w:rFonts w:ascii="Times New Roman" w:cs="Times New Roman" w:eastAsia="Times New Roman" w:hAnsi="Times New Roman"/>
          <w:b/>
          <w:bCs/>
          <w:color w:val="000000"/>
          <w:sz w:val="26"/>
          <w:szCs w:val="26"/>
        </w:rPr>
        <w:t xml:space="preserve">Author Contributions</w:t>
      </w:r>
    </w:p>
    <w:p>
      <w:pPr>
        <w:spacing w:after="160" w:line="360"/>
        <w:jc w:val="both"/>
      </w:pPr>
      <w:r>
        <w:rPr>
          <w:rFonts w:ascii="Times New Roman" w:cs="Times New Roman" w:eastAsia="Times New Roman" w:hAnsi="Times New Roman"/>
          <w:sz w:val="24"/>
          <w:szCs w:val="24"/>
        </w:rPr>
        <w:t xml:space="preserve">[To be completed by the authors.]</w:t>
      </w:r>
    </w:p>
    <w:p>
      <w:pPr>
        <w:pStyle w:val="Heading1"/>
        <w:keepNext/>
        <w:spacing w:after="140" w:before="280" w:line="360"/>
      </w:pPr>
      <w:r>
        <w:rPr>
          <w:rFonts w:ascii="Times New Roman" w:cs="Times New Roman" w:eastAsia="Times New Roman" w:hAnsi="Times New Roman"/>
          <w:b/>
          <w:bCs/>
          <w:color w:val="000000"/>
          <w:sz w:val="26"/>
          <w:szCs w:val="26"/>
        </w:rPr>
        <w:t xml:space="preserve">Funding</w:t>
      </w:r>
    </w:p>
    <w:p>
      <w:pPr>
        <w:spacing w:after="160" w:line="360"/>
        <w:jc w:val="both"/>
      </w:pPr>
      <w:r>
        <w:rPr>
          <w:rFonts w:ascii="Times New Roman" w:cs="Times New Roman" w:eastAsia="Times New Roman" w:hAnsi="Times New Roman"/>
          <w:sz w:val="24"/>
          <w:szCs w:val="24"/>
        </w:rPr>
        <w:t xml:space="preserve">[To be completed by the authors. If none: This research received no specific grant from any funding agency in the public, commercial or not-for-profit sectors.]</w:t>
      </w:r>
    </w:p>
    <w:p>
      <w:pPr>
        <w:pStyle w:val="Heading1"/>
        <w:keepNext/>
        <w:spacing w:after="140" w:before="280" w:line="360"/>
      </w:pPr>
      <w:r>
        <w:rPr>
          <w:rFonts w:ascii="Times New Roman" w:cs="Times New Roman" w:eastAsia="Times New Roman" w:hAnsi="Times New Roman"/>
          <w:b/>
          <w:bCs/>
          <w:color w:val="000000"/>
          <w:sz w:val="26"/>
          <w:szCs w:val="26"/>
        </w:rPr>
        <w:t xml:space="preserve">Data Availability</w:t>
      </w:r>
    </w:p>
    <w:p>
      <w:pPr>
        <w:spacing w:after="160" w:line="360"/>
        <w:jc w:val="both"/>
      </w:pPr>
      <w:r>
        <w:rPr>
          <w:rFonts w:ascii="Times New Roman" w:cs="Times New Roman" w:eastAsia="Times New Roman" w:hAnsi="Times New Roman"/>
          <w:sz w:val="24"/>
          <w:szCs w:val="24"/>
        </w:rPr>
        <w:t xml:space="preserve">All satellite data used in this study are openly available through the Google Earth Engine data catalogue. The Google Earth Engine and Python scripts, the derived tables and the figures are available from the corresponding author on reasonable request and will be released in a public repository on publication. The ground-based data were obtained from the monthly air quality reports of the Department of Environment, Bangladesh.</w:t>
      </w:r>
    </w:p>
    <w:p>
      <w:pPr>
        <w:pStyle w:val="Heading1"/>
        <w:keepNext/>
        <w:spacing w:after="140" w:before="280" w:line="360"/>
      </w:pPr>
      <w:r>
        <w:rPr>
          <w:rFonts w:ascii="Times New Roman" w:cs="Times New Roman" w:eastAsia="Times New Roman" w:hAnsi="Times New Roman"/>
          <w:b/>
          <w:bCs/>
          <w:color w:val="000000"/>
          <w:sz w:val="26"/>
          <w:szCs w:val="26"/>
        </w:rPr>
        <w:t xml:space="preserve">Declaration of Competing Interest</w:t>
      </w:r>
    </w:p>
    <w:p>
      <w:pPr>
        <w:spacing w:after="160" w:line="360"/>
        <w:jc w:val="both"/>
      </w:pPr>
      <w:r>
        <w:rPr>
          <w:rFonts w:ascii="Times New Roman" w:cs="Times New Roman" w:eastAsia="Times New Roman" w:hAnsi="Times New Roman"/>
          <w:sz w:val="24"/>
          <w:szCs w:val="24"/>
        </w:rPr>
        <w:t xml:space="preserve">The authors declare that they have no known competing financial interests or personal relationships that could have appeared to influence the work reported in this paper.</w:t>
      </w:r>
    </w:p>
    <w:p>
      <w:pPr>
        <w:pStyle w:val="Heading1"/>
        <w:keepNext/>
        <w:spacing w:after="140" w:before="280" w:line="360"/>
      </w:pPr>
      <w:r>
        <w:rPr>
          <w:rFonts w:ascii="Times New Roman" w:cs="Times New Roman" w:eastAsia="Times New Roman" w:hAnsi="Times New Roman"/>
          <w:b/>
          <w:bCs/>
          <w:color w:val="000000"/>
          <w:sz w:val="26"/>
          <w:szCs w:val="26"/>
        </w:rPr>
        <w:t xml:space="preserve">Declaration of Generative AI Use</w:t>
      </w:r>
    </w:p>
    <w:p>
      <w:pPr>
        <w:spacing w:after="160" w:line="360"/>
        <w:jc w:val="both"/>
      </w:pPr>
      <w:r>
        <w:rPr>
          <w:rFonts w:ascii="Times New Roman" w:cs="Times New Roman" w:eastAsia="Times New Roman" w:hAnsi="Times New Roman"/>
          <w:sz w:val="24"/>
          <w:szCs w:val="24"/>
        </w:rPr>
        <w:t xml:space="preserve">[To be completed by the authors in line with the policy of the target journal.]</w:t>
      </w:r>
    </w:p>
    <w:p>
      <w:pPr>
        <w:pStyle w:val="Heading1"/>
        <w:keepNext/>
        <w:spacing w:after="140" w:before="280" w:line="360"/>
      </w:pPr>
      <w:r>
        <w:rPr>
          <w:rFonts w:ascii="Times New Roman" w:cs="Times New Roman" w:eastAsia="Times New Roman" w:hAnsi="Times New Roman"/>
          <w:b/>
          <w:bCs/>
          <w:color w:val="000000"/>
          <w:sz w:val="26"/>
          <w:szCs w:val="26"/>
        </w:rPr>
        <w:t xml:space="preserve">Acknowledgements</w:t>
      </w:r>
    </w:p>
    <w:p>
      <w:pPr>
        <w:spacing w:after="160" w:line="360"/>
        <w:jc w:val="both"/>
      </w:pPr>
      <w:r>
        <w:rPr>
          <w:rFonts w:ascii="Times New Roman" w:cs="Times New Roman" w:eastAsia="Times New Roman" w:hAnsi="Times New Roman"/>
          <w:sz w:val="24"/>
          <w:szCs w:val="24"/>
        </w:rPr>
        <w:t xml:space="preserve">The authors thank the European Space Agency and the Copernicus programme for the Sentinel-5P data, NASA for the MODIS products, Google for access to Earth Engine, and the Department of Environment, Government of Bangladesh, for the air quality monitoring reports. [Further acknowledgements to be added by the authors.]</w:t>
      </w:r>
    </w:p>
    <w:p>
      <w:pPr>
        <w:pStyle w:val="Heading1"/>
        <w:keepNext/>
        <w:spacing w:after="140" w:before="280" w:line="360"/>
      </w:pPr>
      <w:r>
        <w:rPr>
          <w:rFonts w:ascii="Times New Roman" w:cs="Times New Roman" w:eastAsia="Times New Roman" w:hAnsi="Times New Roman"/>
          <w:b/>
          <w:bCs/>
          <w:color w:val="000000"/>
          <w:sz w:val="26"/>
          <w:szCs w:val="26"/>
        </w:rPr>
        <w:t xml:space="preserve">References</w:t>
      </w:r>
    </w:p>
    <w:p>
      <w:pPr>
        <w:spacing w:after="120" w:line="360"/>
        <w:ind w:left="720" w:hanging="720"/>
        <w:jc w:val="left"/>
      </w:pPr>
      <w:r>
        <w:rPr>
          <w:rFonts w:ascii="Times New Roman" w:cs="Times New Roman" w:eastAsia="Times New Roman" w:hAnsi="Times New Roman"/>
          <w:sz w:val="24"/>
          <w:szCs w:val="24"/>
        </w:rPr>
        <w:t xml:space="preserve">Acharjee, B., Abdullah, M., Hasan, M., Roy, H., Fahim, T. T., &amp; Rahman, M. M. (2026). Spatiotemporal analysis and machine learning-based profiling of atmospheric pollutants using Sentinel-5P TROPOMI satellite data at tier-two administrative units in Bangladesh. </w:t>
      </w:r>
      <w:r>
        <w:rPr>
          <w:rFonts w:ascii="Times New Roman" w:cs="Times New Roman" w:eastAsia="Times New Roman" w:hAnsi="Times New Roman"/>
          <w:i/>
          <w:iCs/>
          <w:sz w:val="24"/>
          <w:szCs w:val="24"/>
        </w:rPr>
        <w:t xml:space="preserve">Journal of Science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46</w:t>
      </w:r>
      <w:r>
        <w:rPr>
          <w:rFonts w:ascii="Times New Roman" w:cs="Times New Roman" w:eastAsia="Times New Roman" w:hAnsi="Times New Roman"/>
          <w:sz w:val="24"/>
          <w:szCs w:val="24"/>
        </w:rPr>
        <w:t xml:space="preserve">(1), 1–28. https://doi.org/10.59185/jos.v46i1.425</w:t>
      </w:r>
    </w:p>
    <w:p>
      <w:pPr>
        <w:spacing w:after="120" w:line="360"/>
        <w:ind w:left="720" w:hanging="720"/>
        <w:jc w:val="left"/>
      </w:pPr>
      <w:r>
        <w:rPr>
          <w:rFonts w:ascii="Times New Roman" w:cs="Times New Roman" w:eastAsia="Times New Roman" w:hAnsi="Times New Roman"/>
          <w:sz w:val="24"/>
          <w:szCs w:val="24"/>
        </w:rPr>
        <w:t xml:space="preserve">Ali, M. A., Bilal, M., Wang, Y., Qiu, Z., Nichol, J. E., Mhawish, A., de Leeuw, G., Zhang, Y., Shahid, S., Almazroui, M., Islam, M. N., Rahman, M. A., Mondol, S. K., Tiwari, P., &amp; Khedher, K. M. (2022). Spatiotemporal changes in aerosols over Bangladesh using 18 years of MODIS and reanalysis data. </w:t>
      </w:r>
      <w:r>
        <w:rPr>
          <w:rFonts w:ascii="Times New Roman" w:cs="Times New Roman" w:eastAsia="Times New Roman" w:hAnsi="Times New Roman"/>
          <w:i/>
          <w:iCs/>
          <w:sz w:val="24"/>
          <w:szCs w:val="24"/>
        </w:rPr>
        <w:t xml:space="preserve">Journal of Environmental Management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315</w:t>
      </w:r>
      <w:r>
        <w:rPr>
          <w:rFonts w:ascii="Times New Roman" w:cs="Times New Roman" w:eastAsia="Times New Roman" w:hAnsi="Times New Roman"/>
          <w:sz w:val="24"/>
          <w:szCs w:val="24"/>
        </w:rPr>
        <w:t xml:space="preserve">, Article 115097. https://doi.org/10.1016/j.jenvman.2022.115097</w:t>
      </w:r>
    </w:p>
    <w:p>
      <w:pPr>
        <w:spacing w:after="120" w:line="360"/>
        <w:ind w:left="720" w:hanging="720"/>
        <w:jc w:val="left"/>
      </w:pPr>
      <w:r>
        <w:rPr>
          <w:rFonts w:ascii="Times New Roman" w:cs="Times New Roman" w:eastAsia="Times New Roman" w:hAnsi="Times New Roman"/>
          <w:sz w:val="24"/>
          <w:szCs w:val="24"/>
        </w:rPr>
        <w:t xml:space="preserve">Asghari Beirami, B., Shobairi, S. O. R., Gulahmadov, N., Hotam, P., &amp; Farhod, N. (2025). Assessing the impact of urbanization on air pollution and land surface temperature using remote sensing data in Google Earth Engine: A case study of Tehran Province (2018–2022). </w:t>
      </w:r>
      <w:r>
        <w:rPr>
          <w:rFonts w:ascii="Times New Roman" w:cs="Times New Roman" w:eastAsia="Times New Roman" w:hAnsi="Times New Roman"/>
          <w:i/>
          <w:iCs/>
          <w:sz w:val="24"/>
          <w:szCs w:val="24"/>
        </w:rPr>
        <w:t xml:space="preserve">Ecological Questions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36</w:t>
      </w:r>
      <w:r>
        <w:rPr>
          <w:rFonts w:ascii="Times New Roman" w:cs="Times New Roman" w:eastAsia="Times New Roman" w:hAnsi="Times New Roman"/>
          <w:sz w:val="24"/>
          <w:szCs w:val="24"/>
        </w:rPr>
        <w:t xml:space="preserve">(4), 83–97. https://doi.org/10.12775/EQ.2025.038</w:t>
      </w:r>
    </w:p>
    <w:p>
      <w:pPr>
        <w:spacing w:after="120" w:line="360"/>
        <w:ind w:left="720" w:hanging="720"/>
        <w:jc w:val="left"/>
      </w:pPr>
      <w:r>
        <w:rPr>
          <w:rFonts w:ascii="Times New Roman" w:cs="Times New Roman" w:eastAsia="Times New Roman" w:hAnsi="Times New Roman"/>
          <w:sz w:val="24"/>
          <w:szCs w:val="24"/>
        </w:rPr>
        <w:t xml:space="preserve">Bangladesh Bureau of Statistics. (2023). </w:t>
      </w:r>
      <w:r>
        <w:rPr>
          <w:rFonts w:ascii="Times New Roman" w:cs="Times New Roman" w:eastAsia="Times New Roman" w:hAnsi="Times New Roman"/>
          <w:i/>
          <w:iCs/>
          <w:sz w:val="24"/>
          <w:szCs w:val="24"/>
        </w:rPr>
        <w:t xml:space="preserve">Population and housing census 2022: National report</w:t>
      </w:r>
      <w:r>
        <w:rPr>
          <w:rFonts w:ascii="Times New Roman" w:cs="Times New Roman" w:eastAsia="Times New Roman" w:hAnsi="Times New Roman"/>
          <w:sz w:val="24"/>
          <w:szCs w:val="24"/>
        </w:rPr>
        <w:t xml:space="preserve"> (Vol. 1). Statistics and Informatics Division, Ministry of Planning, Government of the People’s Republic of Bangladesh.</w:t>
      </w:r>
    </w:p>
    <w:p>
      <w:pPr>
        <w:spacing w:after="120" w:line="360"/>
        <w:ind w:left="720" w:hanging="720"/>
        <w:jc w:val="left"/>
      </w:pPr>
      <w:r>
        <w:rPr>
          <w:rFonts w:ascii="Times New Roman" w:cs="Times New Roman" w:eastAsia="Times New Roman" w:hAnsi="Times New Roman"/>
          <w:sz w:val="24"/>
          <w:szCs w:val="24"/>
        </w:rPr>
        <w:t xml:space="preserve">Begum, B. A., Hopke, P. K., &amp; Markwitz, A. (2013). Air pollution by fine particulate matter in Bangladesh. </w:t>
      </w:r>
      <w:r>
        <w:rPr>
          <w:rFonts w:ascii="Times New Roman" w:cs="Times New Roman" w:eastAsia="Times New Roman" w:hAnsi="Times New Roman"/>
          <w:i/>
          <w:iCs/>
          <w:sz w:val="24"/>
          <w:szCs w:val="24"/>
        </w:rPr>
        <w:t xml:space="preserve">Atmospheric Pollution Research</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4</w:t>
      </w:r>
      <w:r>
        <w:rPr>
          <w:rFonts w:ascii="Times New Roman" w:cs="Times New Roman" w:eastAsia="Times New Roman" w:hAnsi="Times New Roman"/>
          <w:sz w:val="24"/>
          <w:szCs w:val="24"/>
        </w:rPr>
        <w:t xml:space="preserve">(1), 75–86. https://doi.org/10.5094/APR.2013.008</w:t>
      </w:r>
    </w:p>
    <w:p>
      <w:pPr>
        <w:spacing w:after="120" w:line="360"/>
        <w:ind w:left="720" w:hanging="720"/>
        <w:jc w:val="left"/>
      </w:pPr>
      <w:r>
        <w:rPr>
          <w:rFonts w:ascii="Times New Roman" w:cs="Times New Roman" w:eastAsia="Times New Roman" w:hAnsi="Times New Roman"/>
          <w:sz w:val="24"/>
          <w:szCs w:val="24"/>
        </w:rPr>
        <w:t xml:space="preserve">Borsdorff, T., aan de Brugh, J., Schneider, A., Lorente, A., Birk, M., Wagner, G., Kivi, R., Hase, F., Feist, D. G., Sussmann, R., Rettinger, M., Wunch, D., Warneke, T., &amp; Landgraf, J. (2019). Improving the TROPOMI CO data product: Update of the spectroscopic database and destriping of single orbits. </w:t>
      </w:r>
      <w:r>
        <w:rPr>
          <w:rFonts w:ascii="Times New Roman" w:cs="Times New Roman" w:eastAsia="Times New Roman" w:hAnsi="Times New Roman"/>
          <w:i/>
          <w:iCs/>
          <w:sz w:val="24"/>
          <w:szCs w:val="24"/>
        </w:rPr>
        <w:t xml:space="preserve">Atmospheric Measurement Techniques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12</w:t>
      </w:r>
      <w:r>
        <w:rPr>
          <w:rFonts w:ascii="Times New Roman" w:cs="Times New Roman" w:eastAsia="Times New Roman" w:hAnsi="Times New Roman"/>
          <w:sz w:val="24"/>
          <w:szCs w:val="24"/>
        </w:rPr>
        <w:t xml:space="preserve">, 5443–5455. https://doi.org/10.5194/amt-12-5443-2019</w:t>
      </w:r>
    </w:p>
    <w:p>
      <w:pPr>
        <w:spacing w:after="120" w:line="360"/>
        <w:ind w:left="720" w:hanging="720"/>
        <w:jc w:val="left"/>
      </w:pPr>
      <w:r>
        <w:rPr>
          <w:rFonts w:ascii="Times New Roman" w:cs="Times New Roman" w:eastAsia="Times New Roman" w:hAnsi="Times New Roman"/>
          <w:sz w:val="24"/>
          <w:szCs w:val="24"/>
        </w:rPr>
        <w:t xml:space="preserve">Broqueza, M. J., Cruz, L. M., Mana-ay, M., Jamboy, A. M., &amp; Ramos, R. V. (2024). GIS-based regression analysis of air quality and land surface temperature in Metro Manila airsheds. </w:t>
      </w:r>
      <w:r>
        <w:rPr>
          <w:rFonts w:ascii="Times New Roman" w:cs="Times New Roman" w:eastAsia="Times New Roman" w:hAnsi="Times New Roman"/>
          <w:i/>
          <w:iCs/>
          <w:sz w:val="24"/>
          <w:szCs w:val="24"/>
        </w:rPr>
        <w:t xml:space="preserve">The International Archives of the Photogrammetry, Remote Sensing and Spatial Information Sciences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XLVIII-4/W8-2023</w:t>
      </w:r>
      <w:r>
        <w:rPr>
          <w:rFonts w:ascii="Times New Roman" w:cs="Times New Roman" w:eastAsia="Times New Roman" w:hAnsi="Times New Roman"/>
          <w:sz w:val="24"/>
          <w:szCs w:val="24"/>
        </w:rPr>
        <w:t xml:space="preserve">, 77–83. https://doi.org/10.5194/isprs-archives-XLVIII-4-W8-2023-77-2024</w:t>
      </w:r>
    </w:p>
    <w:p>
      <w:pPr>
        <w:spacing w:after="120" w:line="360"/>
        <w:ind w:left="720" w:hanging="720"/>
        <w:jc w:val="left"/>
      </w:pPr>
      <w:r>
        <w:rPr>
          <w:rFonts w:ascii="Times New Roman" w:cs="Times New Roman" w:eastAsia="Times New Roman" w:hAnsi="Times New Roman"/>
          <w:sz w:val="24"/>
          <w:szCs w:val="24"/>
        </w:rPr>
        <w:t xml:space="preserve">Cao, C., Lee, X., Liu, S., Schultz, N., Xiao, W., Zhang, M., &amp; Zhao, L. (2016). Urban heat islands in China enhanced by haze pollution. </w:t>
      </w:r>
      <w:r>
        <w:rPr>
          <w:rFonts w:ascii="Times New Roman" w:cs="Times New Roman" w:eastAsia="Times New Roman" w:hAnsi="Times New Roman"/>
          <w:i/>
          <w:iCs/>
          <w:sz w:val="24"/>
          <w:szCs w:val="24"/>
        </w:rPr>
        <w:t xml:space="preserve">Nature Communications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7</w:t>
      </w:r>
      <w:r>
        <w:rPr>
          <w:rFonts w:ascii="Times New Roman" w:cs="Times New Roman" w:eastAsia="Times New Roman" w:hAnsi="Times New Roman"/>
          <w:sz w:val="24"/>
          <w:szCs w:val="24"/>
        </w:rPr>
        <w:t xml:space="preserve">, Article 12509. https://doi.org/10.1038/ncomms12509</w:t>
      </w:r>
    </w:p>
    <w:p>
      <w:pPr>
        <w:spacing w:after="120" w:line="360"/>
        <w:ind w:left="720" w:hanging="720"/>
        <w:jc w:val="left"/>
      </w:pPr>
      <w:r>
        <w:rPr>
          <w:rFonts w:ascii="Times New Roman" w:cs="Times New Roman" w:eastAsia="Times New Roman" w:hAnsi="Times New Roman"/>
          <w:sz w:val="24"/>
          <w:szCs w:val="24"/>
        </w:rPr>
        <w:t xml:space="preserve">Clifford, P., Richardson, S., &amp; Hémon, D. (1989). Assessing the significance of the correlation between two spatial processes. </w:t>
      </w:r>
      <w:r>
        <w:rPr>
          <w:rFonts w:ascii="Times New Roman" w:cs="Times New Roman" w:eastAsia="Times New Roman" w:hAnsi="Times New Roman"/>
          <w:i/>
          <w:iCs/>
          <w:sz w:val="24"/>
          <w:szCs w:val="24"/>
        </w:rPr>
        <w:t xml:space="preserve">Biometrics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45</w:t>
      </w:r>
      <w:r>
        <w:rPr>
          <w:rFonts w:ascii="Times New Roman" w:cs="Times New Roman" w:eastAsia="Times New Roman" w:hAnsi="Times New Roman"/>
          <w:sz w:val="24"/>
          <w:szCs w:val="24"/>
        </w:rPr>
        <w:t xml:space="preserve">(1), 123–134. https://doi.org/10.2307/2532039</w:t>
      </w:r>
    </w:p>
    <w:p>
      <w:pPr>
        <w:spacing w:after="120" w:line="360"/>
        <w:ind w:left="720" w:hanging="720"/>
        <w:jc w:val="left"/>
      </w:pPr>
      <w:r>
        <w:rPr>
          <w:rFonts w:ascii="Times New Roman" w:cs="Times New Roman" w:eastAsia="Times New Roman" w:hAnsi="Times New Roman"/>
          <w:sz w:val="24"/>
          <w:szCs w:val="24"/>
        </w:rPr>
        <w:t xml:space="preserve">da Silva, A. R., &amp; Fotheringham, A. S. (2016). The multiple testing issue in geographically weighted regression. </w:t>
      </w:r>
      <w:r>
        <w:rPr>
          <w:rFonts w:ascii="Times New Roman" w:cs="Times New Roman" w:eastAsia="Times New Roman" w:hAnsi="Times New Roman"/>
          <w:i/>
          <w:iCs/>
          <w:sz w:val="24"/>
          <w:szCs w:val="24"/>
        </w:rPr>
        <w:t xml:space="preserve">Geographical Analysis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48</w:t>
      </w:r>
      <w:r>
        <w:rPr>
          <w:rFonts w:ascii="Times New Roman" w:cs="Times New Roman" w:eastAsia="Times New Roman" w:hAnsi="Times New Roman"/>
          <w:sz w:val="24"/>
          <w:szCs w:val="24"/>
        </w:rPr>
        <w:t xml:space="preserve">(3), 233–247. https://doi.org/10.1111/gean.12084</w:t>
      </w:r>
    </w:p>
    <w:p>
      <w:pPr>
        <w:spacing w:after="120" w:line="360"/>
        <w:ind w:left="720" w:hanging="720"/>
        <w:jc w:val="left"/>
      </w:pPr>
      <w:r>
        <w:rPr>
          <w:rFonts w:ascii="Times New Roman" w:cs="Times New Roman" w:eastAsia="Times New Roman" w:hAnsi="Times New Roman"/>
          <w:sz w:val="24"/>
          <w:szCs w:val="24"/>
        </w:rPr>
        <w:t xml:space="preserve">Department of Environment. (2025). </w:t>
      </w:r>
      <w:r>
        <w:rPr>
          <w:rFonts w:ascii="Times New Roman" w:cs="Times New Roman" w:eastAsia="Times New Roman" w:hAnsi="Times New Roman"/>
          <w:i/>
          <w:iCs/>
          <w:sz w:val="24"/>
          <w:szCs w:val="24"/>
        </w:rPr>
        <w:t xml:space="preserve">Monthly air quality monitoring reports, January–December 2025</w:t>
      </w:r>
      <w:r>
        <w:rPr>
          <w:rFonts w:ascii="Times New Roman" w:cs="Times New Roman" w:eastAsia="Times New Roman" w:hAnsi="Times New Roman"/>
          <w:sz w:val="24"/>
          <w:szCs w:val="24"/>
        </w:rPr>
        <w:t xml:space="preserve">. Ministry of Environment, Forest and Climate Change, Government of the People’s Republic of Bangladesh.</w:t>
      </w:r>
    </w:p>
    <w:p>
      <w:pPr>
        <w:spacing w:after="120" w:line="360"/>
        <w:ind w:left="720" w:hanging="720"/>
        <w:jc w:val="left"/>
      </w:pPr>
      <w:r>
        <w:rPr>
          <w:rFonts w:ascii="Times New Roman" w:cs="Times New Roman" w:eastAsia="Times New Roman" w:hAnsi="Times New Roman"/>
          <w:sz w:val="24"/>
          <w:szCs w:val="24"/>
        </w:rPr>
        <w:t xml:space="preserve">De Smedt, I., Theys, N., Yu, H., Danckaert, T., Lerot, C., Compernolle, S., Van Roozendael, M., Richter, A., Hilboll, A., Peters, E., Pedergnana, M., Loyola, D., Beirle, S., Wagner, T., Eskes, H., van Geffen, J., Boersma, K. F., &amp; Veefkind, P. (2018). Algorithm theoretical baseline for formaldehyde retrievals from S5P TROPOMI and from the QA4ECV project. </w:t>
      </w:r>
      <w:r>
        <w:rPr>
          <w:rFonts w:ascii="Times New Roman" w:cs="Times New Roman" w:eastAsia="Times New Roman" w:hAnsi="Times New Roman"/>
          <w:i/>
          <w:iCs/>
          <w:sz w:val="24"/>
          <w:szCs w:val="24"/>
        </w:rPr>
        <w:t xml:space="preserve">Atmospheric Measurement Techniques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11</w:t>
      </w:r>
      <w:r>
        <w:rPr>
          <w:rFonts w:ascii="Times New Roman" w:cs="Times New Roman" w:eastAsia="Times New Roman" w:hAnsi="Times New Roman"/>
          <w:sz w:val="24"/>
          <w:szCs w:val="24"/>
        </w:rPr>
        <w:t xml:space="preserve">(4), 2395–2426. https://doi.org/10.5194/amt-11-2395-2018</w:t>
      </w:r>
    </w:p>
    <w:p>
      <w:pPr>
        <w:spacing w:after="120" w:line="360"/>
        <w:ind w:left="720" w:hanging="720"/>
        <w:jc w:val="left"/>
      </w:pPr>
      <w:r>
        <w:rPr>
          <w:rFonts w:ascii="Times New Roman" w:cs="Times New Roman" w:eastAsia="Times New Roman" w:hAnsi="Times New Roman"/>
          <w:sz w:val="24"/>
          <w:szCs w:val="24"/>
        </w:rPr>
        <w:t xml:space="preserve">Dewan, A., Kiselev, G., Botje, D., Mahmud, G. I., Bhuian, M. H., &amp; Hassan, Q. K. (2021). Surface urban heat island intensity in five major cities of Bangladesh: Patterns, drivers and trends. </w:t>
      </w:r>
      <w:r>
        <w:rPr>
          <w:rFonts w:ascii="Times New Roman" w:cs="Times New Roman" w:eastAsia="Times New Roman" w:hAnsi="Times New Roman"/>
          <w:i/>
          <w:iCs/>
          <w:sz w:val="24"/>
          <w:szCs w:val="24"/>
        </w:rPr>
        <w:t xml:space="preserve">Sustainable Cities and Society</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71</w:t>
      </w:r>
      <w:r>
        <w:rPr>
          <w:rFonts w:ascii="Times New Roman" w:cs="Times New Roman" w:eastAsia="Times New Roman" w:hAnsi="Times New Roman"/>
          <w:sz w:val="24"/>
          <w:szCs w:val="24"/>
        </w:rPr>
        <w:t xml:space="preserve">, Article 102926. https://doi.org/10.1016/j.scs.2021.102926</w:t>
      </w:r>
    </w:p>
    <w:p>
      <w:pPr>
        <w:spacing w:after="120" w:line="360"/>
        <w:ind w:left="720" w:hanging="720"/>
        <w:jc w:val="left"/>
      </w:pPr>
      <w:r>
        <w:rPr>
          <w:rFonts w:ascii="Times New Roman" w:cs="Times New Roman" w:eastAsia="Times New Roman" w:hAnsi="Times New Roman"/>
          <w:sz w:val="24"/>
          <w:szCs w:val="24"/>
        </w:rPr>
        <w:t xml:space="preserve">Fioletov, V., McLinden, C. A., Griffin, D., Theys, N., Loyola, D. G., Hedelt, P., Krotkov, N. A., &amp; Li, C. (2020). Anthropogenic and volcanic point source SO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emissions derived from TROPOMI on board Sentinel-5 Precursor: First results. </w:t>
      </w:r>
      <w:r>
        <w:rPr>
          <w:rFonts w:ascii="Times New Roman" w:cs="Times New Roman" w:eastAsia="Times New Roman" w:hAnsi="Times New Roman"/>
          <w:i/>
          <w:iCs/>
          <w:sz w:val="24"/>
          <w:szCs w:val="24"/>
        </w:rPr>
        <w:t xml:space="preserve">Atmospheric Chemistry and Physics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20</w:t>
      </w:r>
      <w:r>
        <w:rPr>
          <w:rFonts w:ascii="Times New Roman" w:cs="Times New Roman" w:eastAsia="Times New Roman" w:hAnsi="Times New Roman"/>
          <w:sz w:val="24"/>
          <w:szCs w:val="24"/>
        </w:rPr>
        <w:t xml:space="preserve">, 5591–5607. https://doi.org/10.5194/acp-20-5591-2020</w:t>
      </w:r>
    </w:p>
    <w:p>
      <w:pPr>
        <w:spacing w:after="120" w:line="360"/>
        <w:ind w:left="720" w:hanging="720"/>
        <w:jc w:val="left"/>
      </w:pPr>
      <w:r>
        <w:rPr>
          <w:rFonts w:ascii="Times New Roman" w:cs="Times New Roman" w:eastAsia="Times New Roman" w:hAnsi="Times New Roman"/>
          <w:sz w:val="24"/>
          <w:szCs w:val="24"/>
        </w:rPr>
        <w:t xml:space="preserve">Fotheringham, A. S., Brunsdon, C., &amp; Charlton, M. (2002). </w:t>
      </w:r>
      <w:r>
        <w:rPr>
          <w:rFonts w:ascii="Times New Roman" w:cs="Times New Roman" w:eastAsia="Times New Roman" w:hAnsi="Times New Roman"/>
          <w:i/>
          <w:iCs/>
          <w:sz w:val="24"/>
          <w:szCs w:val="24"/>
        </w:rPr>
        <w:t xml:space="preserve">Geographically weighted regression: The analysis of spatially varying relationships</w:t>
      </w:r>
      <w:r>
        <w:rPr>
          <w:rFonts w:ascii="Times New Roman" w:cs="Times New Roman" w:eastAsia="Times New Roman" w:hAnsi="Times New Roman"/>
          <w:sz w:val="24"/>
          <w:szCs w:val="24"/>
        </w:rPr>
        <w:t xml:space="preserve">. Wiley.</w:t>
      </w:r>
    </w:p>
    <w:p>
      <w:pPr>
        <w:spacing w:after="120" w:line="360"/>
        <w:ind w:left="720" w:hanging="720"/>
        <w:jc w:val="left"/>
      </w:pPr>
      <w:r>
        <w:rPr>
          <w:rFonts w:ascii="Times New Roman" w:cs="Times New Roman" w:eastAsia="Times New Roman" w:hAnsi="Times New Roman"/>
          <w:sz w:val="24"/>
          <w:szCs w:val="24"/>
        </w:rPr>
        <w:t xml:space="preserve">Fotheringham, A. S., Yang, W., &amp; Kang, W. (2017). Multiscale geographically weighted regression (MGWR). </w:t>
      </w:r>
      <w:r>
        <w:rPr>
          <w:rFonts w:ascii="Times New Roman" w:cs="Times New Roman" w:eastAsia="Times New Roman" w:hAnsi="Times New Roman"/>
          <w:i/>
          <w:iCs/>
          <w:sz w:val="24"/>
          <w:szCs w:val="24"/>
        </w:rPr>
        <w:t xml:space="preserve">Annals of the American Association of Geographers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107</w:t>
      </w:r>
      <w:r>
        <w:rPr>
          <w:rFonts w:ascii="Times New Roman" w:cs="Times New Roman" w:eastAsia="Times New Roman" w:hAnsi="Times New Roman"/>
          <w:sz w:val="24"/>
          <w:szCs w:val="24"/>
        </w:rPr>
        <w:t xml:space="preserve">(6), 1247–1265. https://doi.org/10.1080/24694452.2017.1352480</w:t>
      </w:r>
    </w:p>
    <w:p>
      <w:pPr>
        <w:spacing w:after="120" w:line="360"/>
        <w:ind w:left="720" w:hanging="720"/>
        <w:jc w:val="left"/>
      </w:pPr>
      <w:r>
        <w:rPr>
          <w:rFonts w:ascii="Times New Roman" w:cs="Times New Roman" w:eastAsia="Times New Roman" w:hAnsi="Times New Roman"/>
          <w:sz w:val="24"/>
          <w:szCs w:val="24"/>
        </w:rPr>
        <w:t xml:space="preserve">Garane, K., Koukouli, M.-E., Verhoelst, T., Lerot, C., Heue, K.-P., Fioletov, V., Balis, D., Bais, A., Bazureau, A., Dehn, A., Goutail, F., Granville, J., Griffin, D., Hubert, D., Keppens, A., Lambert, J.-C., Loyola, D., McLinden, C., Pazmino, A., . . . Zimmer, W. (2019). TROPOMI/S5P total ozone column data: Global ground-based validation and consistency with other satellite missions. </w:t>
      </w:r>
      <w:r>
        <w:rPr>
          <w:rFonts w:ascii="Times New Roman" w:cs="Times New Roman" w:eastAsia="Times New Roman" w:hAnsi="Times New Roman"/>
          <w:i/>
          <w:iCs/>
          <w:sz w:val="24"/>
          <w:szCs w:val="24"/>
        </w:rPr>
        <w:t xml:space="preserve">Atmospheric Measurement Techniques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12</w:t>
      </w:r>
      <w:r>
        <w:rPr>
          <w:rFonts w:ascii="Times New Roman" w:cs="Times New Roman" w:eastAsia="Times New Roman" w:hAnsi="Times New Roman"/>
          <w:sz w:val="24"/>
          <w:szCs w:val="24"/>
        </w:rPr>
        <w:t xml:space="preserve">(10), 5263–5287. https://doi.org/10.5194/amt-12-5263-2019</w:t>
      </w:r>
    </w:p>
    <w:p>
      <w:pPr>
        <w:spacing w:after="120" w:line="360"/>
        <w:ind w:left="720" w:hanging="720"/>
        <w:jc w:val="left"/>
      </w:pPr>
      <w:r>
        <w:rPr>
          <w:rFonts w:ascii="Times New Roman" w:cs="Times New Roman" w:eastAsia="Times New Roman" w:hAnsi="Times New Roman"/>
          <w:sz w:val="24"/>
          <w:szCs w:val="24"/>
        </w:rPr>
        <w:t xml:space="preserve">GBD 2019 Risk Factors Collaborators. (2020). Global burden of 87 risk factors in 204 countries and territories, 1990–2019: A systematic analysis for the Global Burden of Disease Study 2019. </w:t>
      </w:r>
      <w:r>
        <w:rPr>
          <w:rFonts w:ascii="Times New Roman" w:cs="Times New Roman" w:eastAsia="Times New Roman" w:hAnsi="Times New Roman"/>
          <w:i/>
          <w:iCs/>
          <w:sz w:val="24"/>
          <w:szCs w:val="24"/>
        </w:rPr>
        <w:t xml:space="preserve">The Lancet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396</w:t>
      </w:r>
      <w:r>
        <w:rPr>
          <w:rFonts w:ascii="Times New Roman" w:cs="Times New Roman" w:eastAsia="Times New Roman" w:hAnsi="Times New Roman"/>
          <w:sz w:val="24"/>
          <w:szCs w:val="24"/>
        </w:rPr>
        <w:t xml:space="preserve">(10258), 1223–1249. https://doi.org/10.1016/S0140-6736(20)30752-2</w:t>
      </w:r>
    </w:p>
    <w:p>
      <w:pPr>
        <w:spacing w:after="120" w:line="360"/>
        <w:ind w:left="720" w:hanging="720"/>
        <w:jc w:val="left"/>
      </w:pPr>
      <w:r>
        <w:rPr>
          <w:rFonts w:ascii="Times New Roman" w:cs="Times New Roman" w:eastAsia="Times New Roman" w:hAnsi="Times New Roman"/>
          <w:sz w:val="24"/>
          <w:szCs w:val="24"/>
        </w:rPr>
        <w:t xml:space="preserve">Gorelick, N., Hancher, M., Dixon, M., Ilyushchenko, S., Thau, D., &amp; Moore, R. (2017). Google Earth Engine: Planetary-scale geospatial analysis for everyone. </w:t>
      </w:r>
      <w:r>
        <w:rPr>
          <w:rFonts w:ascii="Times New Roman" w:cs="Times New Roman" w:eastAsia="Times New Roman" w:hAnsi="Times New Roman"/>
          <w:i/>
          <w:iCs/>
          <w:sz w:val="24"/>
          <w:szCs w:val="24"/>
        </w:rPr>
        <w:t xml:space="preserve">Remote Sensing of Environment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202</w:t>
      </w:r>
      <w:r>
        <w:rPr>
          <w:rFonts w:ascii="Times New Roman" w:cs="Times New Roman" w:eastAsia="Times New Roman" w:hAnsi="Times New Roman"/>
          <w:sz w:val="24"/>
          <w:szCs w:val="24"/>
        </w:rPr>
        <w:t xml:space="preserve">, 18–27. https://doi.org/10.1016/j.rse.2017.06.031</w:t>
      </w:r>
    </w:p>
    <w:p>
      <w:pPr>
        <w:spacing w:after="120" w:line="360"/>
        <w:ind w:left="720" w:hanging="720"/>
        <w:jc w:val="left"/>
      </w:pPr>
      <w:r>
        <w:rPr>
          <w:rFonts w:ascii="Times New Roman" w:cs="Times New Roman" w:eastAsia="Times New Roman" w:hAnsi="Times New Roman"/>
          <w:sz w:val="24"/>
          <w:szCs w:val="24"/>
        </w:rPr>
        <w:t xml:space="preserve">Guttikunda, S. K., Begum, B. A., &amp; Wadud, Z. (2013). Particulate pollution from brick kiln clusters in the Greater Dhaka region, Bangladesh. </w:t>
      </w:r>
      <w:r>
        <w:rPr>
          <w:rFonts w:ascii="Times New Roman" w:cs="Times New Roman" w:eastAsia="Times New Roman" w:hAnsi="Times New Roman"/>
          <w:i/>
          <w:iCs/>
          <w:sz w:val="24"/>
          <w:szCs w:val="24"/>
        </w:rPr>
        <w:t xml:space="preserve">Air Quality, Atmosphere &amp; Health</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6</w:t>
      </w:r>
      <w:r>
        <w:rPr>
          <w:rFonts w:ascii="Times New Roman" w:cs="Times New Roman" w:eastAsia="Times New Roman" w:hAnsi="Times New Roman"/>
          <w:sz w:val="24"/>
          <w:szCs w:val="24"/>
        </w:rPr>
        <w:t xml:space="preserve">(2), 357–365. https://doi.org/10.1007/s11869-012-0187-2</w:t>
      </w:r>
    </w:p>
    <w:p>
      <w:pPr>
        <w:spacing w:after="120" w:line="360"/>
        <w:ind w:left="720" w:hanging="720"/>
        <w:jc w:val="left"/>
      </w:pPr>
      <w:r>
        <w:rPr>
          <w:rFonts w:ascii="Times New Roman" w:cs="Times New Roman" w:eastAsia="Times New Roman" w:hAnsi="Times New Roman"/>
          <w:sz w:val="24"/>
          <w:szCs w:val="24"/>
        </w:rPr>
        <w:t xml:space="preserve">Hampel, F. R. (1974). The influence curve and its role in robust estimation. </w:t>
      </w:r>
      <w:r>
        <w:rPr>
          <w:rFonts w:ascii="Times New Roman" w:cs="Times New Roman" w:eastAsia="Times New Roman" w:hAnsi="Times New Roman"/>
          <w:i/>
          <w:iCs/>
          <w:sz w:val="24"/>
          <w:szCs w:val="24"/>
        </w:rPr>
        <w:t xml:space="preserve">Journal of the American Statistical Association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69</w:t>
      </w:r>
      <w:r>
        <w:rPr>
          <w:rFonts w:ascii="Times New Roman" w:cs="Times New Roman" w:eastAsia="Times New Roman" w:hAnsi="Times New Roman"/>
          <w:sz w:val="24"/>
          <w:szCs w:val="24"/>
        </w:rPr>
        <w:t xml:space="preserve">(346), 383–393. https://doi.org/10.1080/01621459.1974.10482962</w:t>
      </w:r>
    </w:p>
    <w:p>
      <w:pPr>
        <w:spacing w:after="120" w:line="360"/>
        <w:ind w:left="720" w:hanging="720"/>
        <w:jc w:val="left"/>
      </w:pPr>
      <w:r>
        <w:rPr>
          <w:rFonts w:ascii="Times New Roman" w:cs="Times New Roman" w:eastAsia="Times New Roman" w:hAnsi="Times New Roman"/>
          <w:sz w:val="24"/>
          <w:szCs w:val="24"/>
        </w:rPr>
        <w:t xml:space="preserve">Health Effects Institute. (2024). </w:t>
      </w:r>
      <w:r>
        <w:rPr>
          <w:rFonts w:ascii="Times New Roman" w:cs="Times New Roman" w:eastAsia="Times New Roman" w:hAnsi="Times New Roman"/>
          <w:i/>
          <w:iCs/>
          <w:sz w:val="24"/>
          <w:szCs w:val="24"/>
        </w:rPr>
        <w:t xml:space="preserve">State of global air 2024: Special report</w:t>
      </w:r>
      <w:r>
        <w:rPr>
          <w:rFonts w:ascii="Times New Roman" w:cs="Times New Roman" w:eastAsia="Times New Roman" w:hAnsi="Times New Roman"/>
          <w:sz w:val="24"/>
          <w:szCs w:val="24"/>
        </w:rPr>
        <w:t xml:space="preserve">. Health Effects Institute. https://www.stateofglobalair.org</w:t>
      </w:r>
    </w:p>
    <w:p>
      <w:pPr>
        <w:spacing w:after="120" w:line="360"/>
        <w:ind w:left="720" w:hanging="720"/>
        <w:jc w:val="left"/>
      </w:pPr>
      <w:r>
        <w:rPr>
          <w:rFonts w:ascii="Times New Roman" w:cs="Times New Roman" w:eastAsia="Times New Roman" w:hAnsi="Times New Roman"/>
          <w:sz w:val="24"/>
          <w:szCs w:val="24"/>
        </w:rPr>
        <w:t xml:space="preserve">Hoque, H. M. S., Sudo, K., Irie, H., Damiani, A., Naja, M., &amp; Fatmi, A. M. (2022). Multi-axis differential optical absorption spectroscopy (MAX-DOAS) observations of formaldehyde and nitrogen dioxide at three sites in Asia and comparison with the global chemistry transport model CHASER. </w:t>
      </w:r>
      <w:r>
        <w:rPr>
          <w:rFonts w:ascii="Times New Roman" w:cs="Times New Roman" w:eastAsia="Times New Roman" w:hAnsi="Times New Roman"/>
          <w:i/>
          <w:iCs/>
          <w:sz w:val="24"/>
          <w:szCs w:val="24"/>
        </w:rPr>
        <w:t xml:space="preserve">Atmospheric Chemistry and Physics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22</w:t>
      </w:r>
      <w:r>
        <w:rPr>
          <w:rFonts w:ascii="Times New Roman" w:cs="Times New Roman" w:eastAsia="Times New Roman" w:hAnsi="Times New Roman"/>
          <w:sz w:val="24"/>
          <w:szCs w:val="24"/>
        </w:rPr>
        <w:t xml:space="preserve">(18), 12559–12589. https://doi.org/10.5194/acp-22-12559-2022</w:t>
      </w:r>
    </w:p>
    <w:p>
      <w:pPr>
        <w:spacing w:after="120" w:line="360"/>
        <w:ind w:left="720" w:hanging="720"/>
        <w:jc w:val="left"/>
      </w:pPr>
      <w:r>
        <w:rPr>
          <w:rFonts w:ascii="Times New Roman" w:cs="Times New Roman" w:eastAsia="Times New Roman" w:hAnsi="Times New Roman"/>
          <w:sz w:val="24"/>
          <w:szCs w:val="24"/>
        </w:rPr>
        <w:t xml:space="preserve">IQAir. (2025). </w:t>
      </w:r>
      <w:r>
        <w:rPr>
          <w:rFonts w:ascii="Times New Roman" w:cs="Times New Roman" w:eastAsia="Times New Roman" w:hAnsi="Times New Roman"/>
          <w:i/>
          <w:iCs/>
          <w:sz w:val="24"/>
          <w:szCs w:val="24"/>
        </w:rPr>
        <w:t xml:space="preserve">2024 world air quality report: Region and city PM</w:t>
      </w:r>
      <w:r>
        <w:rPr>
          <w:rFonts w:ascii="Times New Roman" w:cs="Times New Roman" w:eastAsia="Times New Roman" w:hAnsi="Times New Roman"/>
          <w:i/>
          <w:iCs/>
          <w:sz w:val="24"/>
          <w:szCs w:val="24"/>
          <w:vertAlign w:val="subscript"/>
        </w:rPr>
        <w:t xml:space="preserve">2.5</w:t>
      </w:r>
      <w:r>
        <w:rPr>
          <w:rFonts w:ascii="Times New Roman" w:cs="Times New Roman" w:eastAsia="Times New Roman" w:hAnsi="Times New Roman"/>
          <w:i/>
          <w:iCs/>
          <w:sz w:val="24"/>
          <w:szCs w:val="24"/>
        </w:rPr>
        <w:t xml:space="preserve"> ranking</w:t>
      </w:r>
      <w:r>
        <w:rPr>
          <w:rFonts w:ascii="Times New Roman" w:cs="Times New Roman" w:eastAsia="Times New Roman" w:hAnsi="Times New Roman"/>
          <w:sz w:val="24"/>
          <w:szCs w:val="24"/>
        </w:rPr>
        <w:t xml:space="preserve">. IQAir.</w:t>
      </w:r>
    </w:p>
    <w:p>
      <w:pPr>
        <w:spacing w:after="120" w:line="360"/>
        <w:ind w:left="720" w:hanging="720"/>
        <w:jc w:val="left"/>
      </w:pPr>
      <w:r>
        <w:rPr>
          <w:rFonts w:ascii="Times New Roman" w:cs="Times New Roman" w:eastAsia="Times New Roman" w:hAnsi="Times New Roman"/>
          <w:sz w:val="24"/>
          <w:szCs w:val="24"/>
        </w:rPr>
        <w:t xml:space="preserve">Jolliffe, I. T., &amp; Cadima, J. (2016). Principal component analysis: A review and recent developments. </w:t>
      </w:r>
      <w:r>
        <w:rPr>
          <w:rFonts w:ascii="Times New Roman" w:cs="Times New Roman" w:eastAsia="Times New Roman" w:hAnsi="Times New Roman"/>
          <w:i/>
          <w:iCs/>
          <w:sz w:val="24"/>
          <w:szCs w:val="24"/>
        </w:rPr>
        <w:t xml:space="preserve">Philosophical Transactions of the Royal Society A: Mathematical, Physical and Engineering Sciences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374</w:t>
      </w:r>
      <w:r>
        <w:rPr>
          <w:rFonts w:ascii="Times New Roman" w:cs="Times New Roman" w:eastAsia="Times New Roman" w:hAnsi="Times New Roman"/>
          <w:sz w:val="24"/>
          <w:szCs w:val="24"/>
        </w:rPr>
        <w:t xml:space="preserve">(2065), Article 20150202. https://doi.org/10.1098/rsta.2015.0202</w:t>
      </w:r>
    </w:p>
    <w:p>
      <w:pPr>
        <w:spacing w:after="120" w:line="360"/>
        <w:ind w:left="720" w:hanging="720"/>
        <w:jc w:val="left"/>
      </w:pPr>
      <w:r>
        <w:rPr>
          <w:rFonts w:ascii="Times New Roman" w:cs="Times New Roman" w:eastAsia="Times New Roman" w:hAnsi="Times New Roman"/>
          <w:sz w:val="24"/>
          <w:szCs w:val="24"/>
        </w:rPr>
        <w:t xml:space="preserve">Kaiser, H. F. (1960). The application of electronic computers to factor analysis. </w:t>
      </w:r>
      <w:r>
        <w:rPr>
          <w:rFonts w:ascii="Times New Roman" w:cs="Times New Roman" w:eastAsia="Times New Roman" w:hAnsi="Times New Roman"/>
          <w:i/>
          <w:iCs/>
          <w:sz w:val="24"/>
          <w:szCs w:val="24"/>
        </w:rPr>
        <w:t xml:space="preserve">Educational and Psychological Measurement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20</w:t>
      </w:r>
      <w:r>
        <w:rPr>
          <w:rFonts w:ascii="Times New Roman" w:cs="Times New Roman" w:eastAsia="Times New Roman" w:hAnsi="Times New Roman"/>
          <w:sz w:val="24"/>
          <w:szCs w:val="24"/>
        </w:rPr>
        <w:t xml:space="preserve">(1), 141–151. https://doi.org/10.1177/001316446002000116</w:t>
      </w:r>
    </w:p>
    <w:p>
      <w:pPr>
        <w:spacing w:after="120" w:line="360"/>
        <w:ind w:left="720" w:hanging="720"/>
        <w:jc w:val="left"/>
      </w:pPr>
      <w:r>
        <w:rPr>
          <w:rFonts w:ascii="Times New Roman" w:cs="Times New Roman" w:eastAsia="Times New Roman" w:hAnsi="Times New Roman"/>
          <w:sz w:val="24"/>
          <w:szCs w:val="24"/>
        </w:rPr>
        <w:t xml:space="preserve">Khan, R. H., Quayyum, Z., &amp; Rahman, S. (2023). A quantitative assessment of natural and anthropogenic effects on the occurrence of high air pollution loading in Dhaka and neighboring cities and health consequences. </w:t>
      </w:r>
      <w:r>
        <w:rPr>
          <w:rFonts w:ascii="Times New Roman" w:cs="Times New Roman" w:eastAsia="Times New Roman" w:hAnsi="Times New Roman"/>
          <w:i/>
          <w:iCs/>
          <w:sz w:val="24"/>
          <w:szCs w:val="24"/>
        </w:rPr>
        <w:t xml:space="preserve">Environmental Monitoring and Assessment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195</w:t>
      </w:r>
      <w:r>
        <w:rPr>
          <w:rFonts w:ascii="Times New Roman" w:cs="Times New Roman" w:eastAsia="Times New Roman" w:hAnsi="Times New Roman"/>
          <w:sz w:val="24"/>
          <w:szCs w:val="24"/>
        </w:rPr>
        <w:t xml:space="preserve">(12), Article 1509. https://doi.org/10.1007/s10661-023-12046-3</w:t>
      </w:r>
    </w:p>
    <w:p>
      <w:pPr>
        <w:spacing w:after="120" w:line="360"/>
        <w:ind w:left="720" w:hanging="720"/>
        <w:jc w:val="left"/>
      </w:pPr>
      <w:r>
        <w:rPr>
          <w:rFonts w:ascii="Times New Roman" w:cs="Times New Roman" w:eastAsia="Times New Roman" w:hAnsi="Times New Roman"/>
          <w:sz w:val="24"/>
          <w:szCs w:val="24"/>
        </w:rPr>
        <w:t xml:space="preserve">Kooreman, M. L., Stammes, P., Trees, V., Sneep, M., Tilstra, L. G., de Graaf, M., Stein Zweers, D. C., Wang, P., Tuinder, O. N. E., &amp; Veefkind, J. P. (2020). Effects of clouds on the UV Absorbing Aerosol Index from TROPOMI. </w:t>
      </w:r>
      <w:r>
        <w:rPr>
          <w:rFonts w:ascii="Times New Roman" w:cs="Times New Roman" w:eastAsia="Times New Roman" w:hAnsi="Times New Roman"/>
          <w:i/>
          <w:iCs/>
          <w:sz w:val="24"/>
          <w:szCs w:val="24"/>
        </w:rPr>
        <w:t xml:space="preserve">Atmospheric Measurement Techniques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13</w:t>
      </w:r>
      <w:r>
        <w:rPr>
          <w:rFonts w:ascii="Times New Roman" w:cs="Times New Roman" w:eastAsia="Times New Roman" w:hAnsi="Times New Roman"/>
          <w:sz w:val="24"/>
          <w:szCs w:val="24"/>
        </w:rPr>
        <w:t xml:space="preserve">, 6407–6426. https://doi.org/10.5194/amt-13-6407-2020</w:t>
      </w:r>
    </w:p>
    <w:p>
      <w:pPr>
        <w:spacing w:after="120" w:line="360"/>
        <w:ind w:left="720" w:hanging="720"/>
        <w:jc w:val="left"/>
      </w:pPr>
      <w:r>
        <w:rPr>
          <w:rFonts w:ascii="Times New Roman" w:cs="Times New Roman" w:eastAsia="Times New Roman" w:hAnsi="Times New Roman"/>
          <w:sz w:val="24"/>
          <w:szCs w:val="24"/>
        </w:rPr>
        <w:t xml:space="preserve">Landgraf, J., aan de Brugh, J., Scheepmaker, R., Borsdorff, T., Hu, H., Houweling, S., Butz, A., Aben, I., &amp; Hasekamp, O. (2016). Carbon monoxide total column retrievals from TROPOMI shortwave infrared measurements. </w:t>
      </w:r>
      <w:r>
        <w:rPr>
          <w:rFonts w:ascii="Times New Roman" w:cs="Times New Roman" w:eastAsia="Times New Roman" w:hAnsi="Times New Roman"/>
          <w:i/>
          <w:iCs/>
          <w:sz w:val="24"/>
          <w:szCs w:val="24"/>
        </w:rPr>
        <w:t xml:space="preserve">Atmospheric Measurement Techniques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9</w:t>
      </w:r>
      <w:r>
        <w:rPr>
          <w:rFonts w:ascii="Times New Roman" w:cs="Times New Roman" w:eastAsia="Times New Roman" w:hAnsi="Times New Roman"/>
          <w:sz w:val="24"/>
          <w:szCs w:val="24"/>
        </w:rPr>
        <w:t xml:space="preserve">(10), 4955–4975. https://doi.org/10.5194/amt-9-4955-2016</w:t>
      </w:r>
    </w:p>
    <w:p>
      <w:pPr>
        <w:spacing w:after="120" w:line="360"/>
        <w:ind w:left="720" w:hanging="720"/>
        <w:jc w:val="left"/>
      </w:pPr>
      <w:r>
        <w:rPr>
          <w:rFonts w:ascii="Times New Roman" w:cs="Times New Roman" w:eastAsia="Times New Roman" w:hAnsi="Times New Roman"/>
          <w:sz w:val="24"/>
          <w:szCs w:val="24"/>
        </w:rPr>
        <w:t xml:space="preserve">Lelieveld, J., Evans, J. S., Fnais, M., Giannadaki, D., &amp; Pozzer, A. (2015). The contribution of outdoor air pollution sources to premature mortality on a global scale. </w:t>
      </w:r>
      <w:r>
        <w:rPr>
          <w:rFonts w:ascii="Times New Roman" w:cs="Times New Roman" w:eastAsia="Times New Roman" w:hAnsi="Times New Roman"/>
          <w:i/>
          <w:iCs/>
          <w:sz w:val="24"/>
          <w:szCs w:val="24"/>
        </w:rPr>
        <w:t xml:space="preserve">Nature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525</w:t>
      </w:r>
      <w:r>
        <w:rPr>
          <w:rFonts w:ascii="Times New Roman" w:cs="Times New Roman" w:eastAsia="Times New Roman" w:hAnsi="Times New Roman"/>
          <w:sz w:val="24"/>
          <w:szCs w:val="24"/>
        </w:rPr>
        <w:t xml:space="preserve">(7569), 367–371. https://doi.org/10.1038/nature15371</w:t>
      </w:r>
    </w:p>
    <w:p>
      <w:pPr>
        <w:spacing w:after="120" w:line="360"/>
        <w:ind w:left="720" w:hanging="720"/>
        <w:jc w:val="left"/>
      </w:pPr>
      <w:r>
        <w:rPr>
          <w:rFonts w:ascii="Times New Roman" w:cs="Times New Roman" w:eastAsia="Times New Roman" w:hAnsi="Times New Roman"/>
          <w:sz w:val="24"/>
          <w:szCs w:val="24"/>
        </w:rPr>
        <w:t xml:space="preserve">Lorente, A., Borsdorff, T., Butz, A., Hasekamp, O., aan de Brugh, J., Schneider, A., Wu, L., Hase, F., Kivi, R., Wunch, D., Pollard, D. F., Shiomi, K., Deutscher, N. M., Velazco, V. A., Roehl, C. M., Wennberg, P. O., Warneke, T., &amp; Landgraf, J. (2021). Methane retrieved from TROPOMI: Improvement of the data product and validation of the first 2 years of measurements. </w:t>
      </w:r>
      <w:r>
        <w:rPr>
          <w:rFonts w:ascii="Times New Roman" w:cs="Times New Roman" w:eastAsia="Times New Roman" w:hAnsi="Times New Roman"/>
          <w:i/>
          <w:iCs/>
          <w:sz w:val="24"/>
          <w:szCs w:val="24"/>
        </w:rPr>
        <w:t xml:space="preserve">Atmospheric Measurement Techniques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14</w:t>
      </w:r>
      <w:r>
        <w:rPr>
          <w:rFonts w:ascii="Times New Roman" w:cs="Times New Roman" w:eastAsia="Times New Roman" w:hAnsi="Times New Roman"/>
          <w:sz w:val="24"/>
          <w:szCs w:val="24"/>
        </w:rPr>
        <w:t xml:space="preserve">, 665–684. https://doi.org/10.5194/amt-14-665-2021</w:t>
      </w:r>
    </w:p>
    <w:p>
      <w:pPr>
        <w:spacing w:after="120" w:line="360"/>
        <w:ind w:left="720" w:hanging="720"/>
        <w:jc w:val="left"/>
      </w:pPr>
      <w:r>
        <w:rPr>
          <w:rFonts w:ascii="Times New Roman" w:cs="Times New Roman" w:eastAsia="Times New Roman" w:hAnsi="Times New Roman"/>
          <w:sz w:val="24"/>
          <w:szCs w:val="24"/>
        </w:rPr>
        <w:t xml:space="preserve">Lyapustin, A., Wang, Y., Korkin, S., &amp; Huang, D. (2018). MODIS Collection 6 MAIAC algorithm. </w:t>
      </w:r>
      <w:r>
        <w:rPr>
          <w:rFonts w:ascii="Times New Roman" w:cs="Times New Roman" w:eastAsia="Times New Roman" w:hAnsi="Times New Roman"/>
          <w:i/>
          <w:iCs/>
          <w:sz w:val="24"/>
          <w:szCs w:val="24"/>
        </w:rPr>
        <w:t xml:space="preserve">Atmospheric Measurement Techniques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11</w:t>
      </w:r>
      <w:r>
        <w:rPr>
          <w:rFonts w:ascii="Times New Roman" w:cs="Times New Roman" w:eastAsia="Times New Roman" w:hAnsi="Times New Roman"/>
          <w:sz w:val="24"/>
          <w:szCs w:val="24"/>
        </w:rPr>
        <w:t xml:space="preserve">(10), 5741–5765. https://doi.org/10.5194/amt-11-5741-2018</w:t>
      </w:r>
    </w:p>
    <w:p>
      <w:pPr>
        <w:spacing w:after="120" w:line="360"/>
        <w:ind w:left="720" w:hanging="720"/>
        <w:jc w:val="left"/>
      </w:pPr>
      <w:r>
        <w:rPr>
          <w:rFonts w:ascii="Times New Roman" w:cs="Times New Roman" w:eastAsia="Times New Roman" w:hAnsi="Times New Roman"/>
          <w:sz w:val="24"/>
          <w:szCs w:val="24"/>
        </w:rPr>
        <w:t xml:space="preserve">Mhawish, A., Banerjee, T., Sorek-Hamer, M., Lyapustin, A., Broday, D. M., &amp; Chatfield, R. (2019). Comparison and evaluation of MODIS Multi-angle Implementation of Atmospheric Correction (MAIAC) aerosol product over South Asia. </w:t>
      </w:r>
      <w:r>
        <w:rPr>
          <w:rFonts w:ascii="Times New Roman" w:cs="Times New Roman" w:eastAsia="Times New Roman" w:hAnsi="Times New Roman"/>
          <w:i/>
          <w:iCs/>
          <w:sz w:val="24"/>
          <w:szCs w:val="24"/>
        </w:rPr>
        <w:t xml:space="preserve">Remote Sensing of Environment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224</w:t>
      </w:r>
      <w:r>
        <w:rPr>
          <w:rFonts w:ascii="Times New Roman" w:cs="Times New Roman" w:eastAsia="Times New Roman" w:hAnsi="Times New Roman"/>
          <w:sz w:val="24"/>
          <w:szCs w:val="24"/>
        </w:rPr>
        <w:t xml:space="preserve">, 12–28. https://doi.org/10.1016/j.rse.2019.01.033</w:t>
      </w:r>
    </w:p>
    <w:p>
      <w:pPr>
        <w:spacing w:after="120" w:line="360"/>
        <w:ind w:left="720" w:hanging="720"/>
        <w:jc w:val="left"/>
      </w:pPr>
      <w:r>
        <w:rPr>
          <w:rFonts w:ascii="Times New Roman" w:cs="Times New Roman" w:eastAsia="Times New Roman" w:hAnsi="Times New Roman"/>
          <w:sz w:val="24"/>
          <w:szCs w:val="24"/>
        </w:rPr>
        <w:t xml:space="preserve">Ministry of Environment, Forest and Climate Change. (2022). </w:t>
      </w:r>
      <w:r>
        <w:rPr>
          <w:rFonts w:ascii="Times New Roman" w:cs="Times New Roman" w:eastAsia="Times New Roman" w:hAnsi="Times New Roman"/>
          <w:i/>
          <w:iCs/>
          <w:sz w:val="24"/>
          <w:szCs w:val="24"/>
        </w:rPr>
        <w:t xml:space="preserve">Air pollution (control) rules, 2022</w:t>
      </w:r>
      <w:r>
        <w:rPr>
          <w:rFonts w:ascii="Times New Roman" w:cs="Times New Roman" w:eastAsia="Times New Roman" w:hAnsi="Times New Roman"/>
          <w:sz w:val="24"/>
          <w:szCs w:val="24"/>
        </w:rPr>
        <w:t xml:space="preserve">. Government of the People’s Republic of Bangladesh.</w:t>
      </w:r>
    </w:p>
    <w:p>
      <w:pPr>
        <w:spacing w:after="120" w:line="360"/>
        <w:ind w:left="720" w:hanging="720"/>
        <w:jc w:val="left"/>
      </w:pPr>
      <w:r>
        <w:rPr>
          <w:rFonts w:ascii="Times New Roman" w:cs="Times New Roman" w:eastAsia="Times New Roman" w:hAnsi="Times New Roman"/>
          <w:sz w:val="24"/>
          <w:szCs w:val="24"/>
        </w:rPr>
        <w:t xml:space="preserve">Munawar, S., Miandad, M., Khan, M. A., Bajwa, N., Basharat, M., &amp; Chohan, A. (2026). Impact assessment of land surface temperature on air pollution and smog formation in major cities of Pakistan using Google Earth Engine. </w:t>
      </w:r>
      <w:r>
        <w:rPr>
          <w:rFonts w:ascii="Times New Roman" w:cs="Times New Roman" w:eastAsia="Times New Roman" w:hAnsi="Times New Roman"/>
          <w:i/>
          <w:iCs/>
          <w:sz w:val="24"/>
          <w:szCs w:val="24"/>
        </w:rPr>
        <w:t xml:space="preserve">Ecological Questions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37</w:t>
      </w:r>
      <w:r>
        <w:rPr>
          <w:rFonts w:ascii="Times New Roman" w:cs="Times New Roman" w:eastAsia="Times New Roman" w:hAnsi="Times New Roman"/>
          <w:sz w:val="24"/>
          <w:szCs w:val="24"/>
        </w:rPr>
        <w:t xml:space="preserve">(1), 1–22. https://doi.org/10.12775/EQ.2026.012</w:t>
      </w:r>
    </w:p>
    <w:p>
      <w:pPr>
        <w:spacing w:after="120" w:line="360"/>
        <w:ind w:left="720" w:hanging="720"/>
        <w:jc w:val="left"/>
      </w:pPr>
      <w:r>
        <w:rPr>
          <w:rFonts w:ascii="Times New Roman" w:cs="Times New Roman" w:eastAsia="Times New Roman" w:hAnsi="Times New Roman"/>
          <w:sz w:val="24"/>
          <w:szCs w:val="24"/>
        </w:rPr>
        <w:t xml:space="preserve">Mwangi, P. (2024). Evaluating the spatio-temporal distribution of nitrogen dioxide, land surface temperature and NDVI in Nairobi City County. </w:t>
      </w:r>
      <w:r>
        <w:rPr>
          <w:rFonts w:ascii="Times New Roman" w:cs="Times New Roman" w:eastAsia="Times New Roman" w:hAnsi="Times New Roman"/>
          <w:i/>
          <w:iCs/>
          <w:sz w:val="24"/>
          <w:szCs w:val="24"/>
        </w:rPr>
        <w:t xml:space="preserve">ISPRS Annals of the Photogrammetry, Remote Sensing and Spatial Information Sciences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X-3-2024</w:t>
      </w:r>
      <w:r>
        <w:rPr>
          <w:rFonts w:ascii="Times New Roman" w:cs="Times New Roman" w:eastAsia="Times New Roman" w:hAnsi="Times New Roman"/>
          <w:sz w:val="24"/>
          <w:szCs w:val="24"/>
        </w:rPr>
        <w:t xml:space="preserve">, 237–244. https://doi.org/10.5194/isprs-annals-X-3-2024-237-2024</w:t>
      </w:r>
    </w:p>
    <w:p>
      <w:pPr>
        <w:spacing w:after="120" w:line="360"/>
        <w:ind w:left="720" w:hanging="720"/>
        <w:jc w:val="left"/>
      </w:pPr>
      <w:r>
        <w:rPr>
          <w:rFonts w:ascii="Times New Roman" w:cs="Times New Roman" w:eastAsia="Times New Roman" w:hAnsi="Times New Roman"/>
          <w:sz w:val="24"/>
          <w:szCs w:val="24"/>
        </w:rPr>
        <w:t xml:space="preserve">O’Brien, R. M. (2007). A caution regarding rules of thumb for variance inflation factors. </w:t>
      </w:r>
      <w:r>
        <w:rPr>
          <w:rFonts w:ascii="Times New Roman" w:cs="Times New Roman" w:eastAsia="Times New Roman" w:hAnsi="Times New Roman"/>
          <w:i/>
          <w:iCs/>
          <w:sz w:val="24"/>
          <w:szCs w:val="24"/>
        </w:rPr>
        <w:t xml:space="preserve">Quality &amp; Quantity</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41</w:t>
      </w:r>
      <w:r>
        <w:rPr>
          <w:rFonts w:ascii="Times New Roman" w:cs="Times New Roman" w:eastAsia="Times New Roman" w:hAnsi="Times New Roman"/>
          <w:sz w:val="24"/>
          <w:szCs w:val="24"/>
        </w:rPr>
        <w:t xml:space="preserve">(5), 673–690. https://doi.org/10.1007/s11135-006-9018-6</w:t>
      </w:r>
    </w:p>
    <w:p>
      <w:pPr>
        <w:spacing w:after="120" w:line="360"/>
        <w:ind w:left="720" w:hanging="720"/>
        <w:jc w:val="left"/>
      </w:pPr>
      <w:r>
        <w:rPr>
          <w:rFonts w:ascii="Times New Roman" w:cs="Times New Roman" w:eastAsia="Times New Roman" w:hAnsi="Times New Roman"/>
          <w:sz w:val="24"/>
          <w:szCs w:val="24"/>
        </w:rPr>
        <w:t xml:space="preserve">Ojha, N., Sharma, A., Kumar, M., Girach, I., Ansari, T. U., Sharma, S. K., Singh, N., Pozzer, A., &amp; Gunthe, S. S. (2020). On the widespread enhancement in fine particulate matter across the Indo-Gangetic Plain towards winter. </w:t>
      </w:r>
      <w:r>
        <w:rPr>
          <w:rFonts w:ascii="Times New Roman" w:cs="Times New Roman" w:eastAsia="Times New Roman" w:hAnsi="Times New Roman"/>
          <w:i/>
          <w:iCs/>
          <w:sz w:val="24"/>
          <w:szCs w:val="24"/>
        </w:rPr>
        <w:t xml:space="preserve">Scientific Reports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10</w:t>
      </w:r>
      <w:r>
        <w:rPr>
          <w:rFonts w:ascii="Times New Roman" w:cs="Times New Roman" w:eastAsia="Times New Roman" w:hAnsi="Times New Roman"/>
          <w:sz w:val="24"/>
          <w:szCs w:val="24"/>
        </w:rPr>
        <w:t xml:space="preserve">, Article 5862. https://doi.org/10.1038/s41598-020-62710-8</w:t>
      </w:r>
    </w:p>
    <w:p>
      <w:pPr>
        <w:spacing w:after="120" w:line="360"/>
        <w:ind w:left="720" w:hanging="720"/>
        <w:jc w:val="left"/>
      </w:pPr>
      <w:r>
        <w:rPr>
          <w:rFonts w:ascii="Times New Roman" w:cs="Times New Roman" w:eastAsia="Times New Roman" w:hAnsi="Times New Roman"/>
          <w:sz w:val="24"/>
          <w:szCs w:val="24"/>
        </w:rPr>
        <w:t xml:space="preserve">Oshan, T. M., Li, Z., Kang, W., Wolf, L. J., &amp; Fotheringham, A. S. (2019). mgwr: A Python implementation of multiscale geographically weighted regression for investigating process spatial heterogeneity and scale. </w:t>
      </w:r>
      <w:r>
        <w:rPr>
          <w:rFonts w:ascii="Times New Roman" w:cs="Times New Roman" w:eastAsia="Times New Roman" w:hAnsi="Times New Roman"/>
          <w:i/>
          <w:iCs/>
          <w:sz w:val="24"/>
          <w:szCs w:val="24"/>
        </w:rPr>
        <w:t xml:space="preserve">ISPRS International Journal of Geo-Information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8</w:t>
      </w:r>
      <w:r>
        <w:rPr>
          <w:rFonts w:ascii="Times New Roman" w:cs="Times New Roman" w:eastAsia="Times New Roman" w:hAnsi="Times New Roman"/>
          <w:sz w:val="24"/>
          <w:szCs w:val="24"/>
        </w:rPr>
        <w:t xml:space="preserve">(6), Article 269. https://doi.org/10.3390/ijgi8060269</w:t>
      </w:r>
    </w:p>
    <w:p>
      <w:pPr>
        <w:spacing w:after="120" w:line="360"/>
        <w:ind w:left="720" w:hanging="720"/>
        <w:jc w:val="left"/>
      </w:pPr>
      <w:r>
        <w:rPr>
          <w:rFonts w:ascii="Times New Roman" w:cs="Times New Roman" w:eastAsia="Times New Roman" w:hAnsi="Times New Roman"/>
          <w:sz w:val="24"/>
          <w:szCs w:val="24"/>
        </w:rPr>
        <w:t xml:space="preserve">Peng, S., Piao, S., Ciais, P., Friedlingstein, P., Ottle, C., Bréon, F.-M., Nan, H., Zhou, L., &amp; Myneni, R. B. (2012). Surface urban heat island across 419 global big cities. </w:t>
      </w:r>
      <w:r>
        <w:rPr>
          <w:rFonts w:ascii="Times New Roman" w:cs="Times New Roman" w:eastAsia="Times New Roman" w:hAnsi="Times New Roman"/>
          <w:i/>
          <w:iCs/>
          <w:sz w:val="24"/>
          <w:szCs w:val="24"/>
        </w:rPr>
        <w:t xml:space="preserve">Environmental Science &amp; Technology</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46</w:t>
      </w:r>
      <w:r>
        <w:rPr>
          <w:rFonts w:ascii="Times New Roman" w:cs="Times New Roman" w:eastAsia="Times New Roman" w:hAnsi="Times New Roman"/>
          <w:sz w:val="24"/>
          <w:szCs w:val="24"/>
        </w:rPr>
        <w:t xml:space="preserve">(2), 696–703. https://doi.org/10.1021/es2030438</w:t>
      </w:r>
    </w:p>
    <w:p>
      <w:pPr>
        <w:spacing w:after="120" w:line="360"/>
        <w:ind w:left="720" w:hanging="720"/>
        <w:jc w:val="left"/>
      </w:pPr>
      <w:r>
        <w:rPr>
          <w:rFonts w:ascii="Times New Roman" w:cs="Times New Roman" w:eastAsia="Times New Roman" w:hAnsi="Times New Roman"/>
          <w:sz w:val="24"/>
          <w:szCs w:val="24"/>
        </w:rPr>
        <w:t xml:space="preserve">Rahman, M. M., Kamruzzaman, M., Faridatul, M. I., &amp; Szabó, G. (2025). Spatiotemporal dynamics of urban air pollution in Dhaka City (2020–2024) using time-series Sentinel-5P satellite images and Google Earth Engine (GEE). </w:t>
      </w:r>
      <w:r>
        <w:rPr>
          <w:rFonts w:ascii="Times New Roman" w:cs="Times New Roman" w:eastAsia="Times New Roman" w:hAnsi="Times New Roman"/>
          <w:i/>
          <w:iCs/>
          <w:sz w:val="24"/>
          <w:szCs w:val="24"/>
        </w:rPr>
        <w:t xml:space="preserve">Environments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12</w:t>
      </w:r>
      <w:r>
        <w:rPr>
          <w:rFonts w:ascii="Times New Roman" w:cs="Times New Roman" w:eastAsia="Times New Roman" w:hAnsi="Times New Roman"/>
          <w:sz w:val="24"/>
          <w:szCs w:val="24"/>
        </w:rPr>
        <w:t xml:space="preserve">(8), Article 274. https://doi.org/10.3390/environments12080274</w:t>
      </w:r>
    </w:p>
    <w:p>
      <w:pPr>
        <w:spacing w:after="120" w:line="360"/>
        <w:ind w:left="720" w:hanging="720"/>
        <w:jc w:val="left"/>
      </w:pPr>
      <w:r>
        <w:rPr>
          <w:rFonts w:ascii="Times New Roman" w:cs="Times New Roman" w:eastAsia="Times New Roman" w:hAnsi="Times New Roman"/>
          <w:sz w:val="24"/>
          <w:szCs w:val="24"/>
        </w:rPr>
        <w:t xml:space="preserve">Rahman, M. N., Rony, M. R. H., Jannat, F. A., Pal, S. C., Islam, M. S., Alam, E., &amp; Islam, A. R. M. T. (2022). Impact of urbanization on urban heat island intensity in major districts of Bangladesh using remote sensing and geo-spatial tools. </w:t>
      </w:r>
      <w:r>
        <w:rPr>
          <w:rFonts w:ascii="Times New Roman" w:cs="Times New Roman" w:eastAsia="Times New Roman" w:hAnsi="Times New Roman"/>
          <w:i/>
          <w:iCs/>
          <w:sz w:val="24"/>
          <w:szCs w:val="24"/>
        </w:rPr>
        <w:t xml:space="preserve">Climate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10</w:t>
      </w:r>
      <w:r>
        <w:rPr>
          <w:rFonts w:ascii="Times New Roman" w:cs="Times New Roman" w:eastAsia="Times New Roman" w:hAnsi="Times New Roman"/>
          <w:sz w:val="24"/>
          <w:szCs w:val="24"/>
        </w:rPr>
        <w:t xml:space="preserve">(1), Article 3. https://doi.org/10.3390/cli10010003</w:t>
      </w:r>
    </w:p>
    <w:p>
      <w:pPr>
        <w:spacing w:after="120" w:line="360"/>
        <w:ind w:left="720" w:hanging="720"/>
        <w:jc w:val="left"/>
      </w:pPr>
      <w:r>
        <w:rPr>
          <w:rFonts w:ascii="Times New Roman" w:cs="Times New Roman" w:eastAsia="Times New Roman" w:hAnsi="Times New Roman"/>
          <w:sz w:val="24"/>
          <w:szCs w:val="24"/>
        </w:rPr>
        <w:t xml:space="preserve">Ramanathan, V., Crutzen, P. J., Kiehl, J. T., &amp; Rosenfeld, D. (2001). Aerosols, climate, and the hydrological cycle. </w:t>
      </w:r>
      <w:r>
        <w:rPr>
          <w:rFonts w:ascii="Times New Roman" w:cs="Times New Roman" w:eastAsia="Times New Roman" w:hAnsi="Times New Roman"/>
          <w:i/>
          <w:iCs/>
          <w:sz w:val="24"/>
          <w:szCs w:val="24"/>
        </w:rPr>
        <w:t xml:space="preserve">Science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294</w:t>
      </w:r>
      <w:r>
        <w:rPr>
          <w:rFonts w:ascii="Times New Roman" w:cs="Times New Roman" w:eastAsia="Times New Roman" w:hAnsi="Times New Roman"/>
          <w:sz w:val="24"/>
          <w:szCs w:val="24"/>
        </w:rPr>
        <w:t xml:space="preserve">(5549), 2119–2124. https://doi.org/10.1126/science.1064034</w:t>
      </w:r>
    </w:p>
    <w:p>
      <w:pPr>
        <w:spacing w:after="120" w:line="360"/>
        <w:ind w:left="720" w:hanging="720"/>
        <w:jc w:val="left"/>
      </w:pPr>
      <w:r>
        <w:rPr>
          <w:rFonts w:ascii="Times New Roman" w:cs="Times New Roman" w:eastAsia="Times New Roman" w:hAnsi="Times New Roman"/>
          <w:sz w:val="24"/>
          <w:szCs w:val="24"/>
        </w:rPr>
        <w:t xml:space="preserve">Raza, W. A., Mahmud, I., &amp; Rabie, T. S. (2022). </w:t>
      </w:r>
      <w:r>
        <w:rPr>
          <w:rFonts w:ascii="Times New Roman" w:cs="Times New Roman" w:eastAsia="Times New Roman" w:hAnsi="Times New Roman"/>
          <w:i/>
          <w:iCs/>
          <w:sz w:val="24"/>
          <w:szCs w:val="24"/>
        </w:rPr>
        <w:t xml:space="preserve">Breathing heavy: New evidence on air pollution and health in Bangladesh</w:t>
      </w:r>
      <w:r>
        <w:rPr>
          <w:rFonts w:ascii="Times New Roman" w:cs="Times New Roman" w:eastAsia="Times New Roman" w:hAnsi="Times New Roman"/>
          <w:sz w:val="24"/>
          <w:szCs w:val="24"/>
        </w:rPr>
        <w:t xml:space="preserve">. World Bank. https://doi.org/10.1596/978-1-4648-1919-3</w:t>
      </w:r>
    </w:p>
    <w:p>
      <w:pPr>
        <w:spacing w:after="120" w:line="360"/>
        <w:ind w:left="720" w:hanging="720"/>
        <w:jc w:val="left"/>
      </w:pPr>
      <w:r>
        <w:rPr>
          <w:rFonts w:ascii="Times New Roman" w:cs="Times New Roman" w:eastAsia="Times New Roman" w:hAnsi="Times New Roman"/>
          <w:sz w:val="24"/>
          <w:szCs w:val="24"/>
        </w:rPr>
        <w:t xml:space="preserve">Sameh, S., Zaki, A., Elsaka, B., Beshr, A. A. A., &amp; Shehata, A. G. (2026). Air pollution mapping and monitoring using Sentinel-5P data and Google Earth Engine. </w:t>
      </w:r>
      <w:r>
        <w:rPr>
          <w:rFonts w:ascii="Times New Roman" w:cs="Times New Roman" w:eastAsia="Times New Roman" w:hAnsi="Times New Roman"/>
          <w:i/>
          <w:iCs/>
          <w:sz w:val="24"/>
          <w:szCs w:val="24"/>
        </w:rPr>
        <w:t xml:space="preserve">The Egyptian Journal of Remote Sensing and Space Sciences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29</w:t>
      </w:r>
      <w:r>
        <w:rPr>
          <w:rFonts w:ascii="Times New Roman" w:cs="Times New Roman" w:eastAsia="Times New Roman" w:hAnsi="Times New Roman"/>
          <w:sz w:val="24"/>
          <w:szCs w:val="24"/>
        </w:rPr>
        <w:t xml:space="preserve">(1), 158–178. https://doi.org/10.1016/j.ejrs.2026.01.008</w:t>
      </w:r>
    </w:p>
    <w:p>
      <w:pPr>
        <w:spacing w:after="120" w:line="360"/>
        <w:ind w:left="720" w:hanging="720"/>
        <w:jc w:val="left"/>
      </w:pPr>
      <w:r>
        <w:rPr>
          <w:rFonts w:ascii="Times New Roman" w:cs="Times New Roman" w:eastAsia="Times New Roman" w:hAnsi="Times New Roman"/>
          <w:sz w:val="24"/>
          <w:szCs w:val="24"/>
        </w:rPr>
        <w:t xml:space="preserve">Shahid, S. (2010). Recent trends in the climate of Bangladesh. </w:t>
      </w:r>
      <w:r>
        <w:rPr>
          <w:rFonts w:ascii="Times New Roman" w:cs="Times New Roman" w:eastAsia="Times New Roman" w:hAnsi="Times New Roman"/>
          <w:i/>
          <w:iCs/>
          <w:sz w:val="24"/>
          <w:szCs w:val="24"/>
        </w:rPr>
        <w:t xml:space="preserve">Climate Research</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42</w:t>
      </w:r>
      <w:r>
        <w:rPr>
          <w:rFonts w:ascii="Times New Roman" w:cs="Times New Roman" w:eastAsia="Times New Roman" w:hAnsi="Times New Roman"/>
          <w:sz w:val="24"/>
          <w:szCs w:val="24"/>
        </w:rPr>
        <w:t xml:space="preserve">(3), 185–193. https://doi.org/10.3354/cr00889</w:t>
      </w:r>
    </w:p>
    <w:p>
      <w:pPr>
        <w:spacing w:after="120" w:line="360"/>
        <w:ind w:left="720" w:hanging="720"/>
        <w:jc w:val="left"/>
      </w:pPr>
      <w:r>
        <w:rPr>
          <w:rFonts w:ascii="Times New Roman" w:cs="Times New Roman" w:eastAsia="Times New Roman" w:hAnsi="Times New Roman"/>
          <w:sz w:val="24"/>
          <w:szCs w:val="24"/>
        </w:rPr>
        <w:t xml:space="preserve">Shobnom, N., Hossain, M. S., &amp; Roni, R. (2023). Monitoring spatiotemporal changes of NO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using TROPOMI and Sentinel-5 images for Dhaka city and its surrounding areas of Bangladesh. </w:t>
      </w:r>
      <w:r>
        <w:rPr>
          <w:rFonts w:ascii="Times New Roman" w:cs="Times New Roman" w:eastAsia="Times New Roman" w:hAnsi="Times New Roman"/>
          <w:i/>
          <w:iCs/>
          <w:sz w:val="24"/>
          <w:szCs w:val="24"/>
        </w:rPr>
        <w:t xml:space="preserve">Journal of Air Pollution and Health</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8</w:t>
      </w:r>
      <w:r>
        <w:rPr>
          <w:rFonts w:ascii="Times New Roman" w:cs="Times New Roman" w:eastAsia="Times New Roman" w:hAnsi="Times New Roman"/>
          <w:sz w:val="24"/>
          <w:szCs w:val="24"/>
        </w:rPr>
        <w:t xml:space="preserve">(3), 269–284. https://doi.org/10.18502/japh.v8i3.13785</w:t>
      </w:r>
    </w:p>
    <w:p>
      <w:pPr>
        <w:spacing w:after="120" w:line="360"/>
        <w:ind w:left="720" w:hanging="720"/>
        <w:jc w:val="left"/>
      </w:pPr>
      <w:r>
        <w:rPr>
          <w:rFonts w:ascii="Times New Roman" w:cs="Times New Roman" w:eastAsia="Times New Roman" w:hAnsi="Times New Roman"/>
          <w:sz w:val="24"/>
          <w:szCs w:val="24"/>
        </w:rPr>
        <w:t xml:space="preserve">Subramanian, R., Thompson, R. L., Vojta, M., Schneising, O., &amp; Stohl, A. (2026). Strong monsoon influence on South Asian methane emissions in 2020 revealed by a Bayesian inversion constrained by satellite observations. </w:t>
      </w:r>
      <w:r>
        <w:rPr>
          <w:rFonts w:ascii="Times New Roman" w:cs="Times New Roman" w:eastAsia="Times New Roman" w:hAnsi="Times New Roman"/>
          <w:i/>
          <w:iCs/>
          <w:sz w:val="24"/>
          <w:szCs w:val="24"/>
        </w:rPr>
        <w:t xml:space="preserve">Atmospheric Chemistry and Physics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26</w:t>
      </w:r>
      <w:r>
        <w:rPr>
          <w:rFonts w:ascii="Times New Roman" w:cs="Times New Roman" w:eastAsia="Times New Roman" w:hAnsi="Times New Roman"/>
          <w:sz w:val="24"/>
          <w:szCs w:val="24"/>
        </w:rPr>
        <w:t xml:space="preserve">, 9757–9777. https://doi.org/10.5194/acp-26-9757-2026</w:t>
      </w:r>
    </w:p>
    <w:p>
      <w:pPr>
        <w:spacing w:after="120" w:line="360"/>
        <w:ind w:left="720" w:hanging="720"/>
        <w:jc w:val="left"/>
      </w:pPr>
      <w:r>
        <w:rPr>
          <w:rFonts w:ascii="Times New Roman" w:cs="Times New Roman" w:eastAsia="Times New Roman" w:hAnsi="Times New Roman"/>
          <w:sz w:val="24"/>
          <w:szCs w:val="24"/>
        </w:rPr>
        <w:t xml:space="preserve">Sulla-Menashe, D., Gray, J. M., Abercrombie, S. P., &amp; Friedl, M. A. (2019). Hierarchical mapping of annual global land cover 2001 to present: The MODIS Collection 6 Land Cover product. </w:t>
      </w:r>
      <w:r>
        <w:rPr>
          <w:rFonts w:ascii="Times New Roman" w:cs="Times New Roman" w:eastAsia="Times New Roman" w:hAnsi="Times New Roman"/>
          <w:i/>
          <w:iCs/>
          <w:sz w:val="24"/>
          <w:szCs w:val="24"/>
        </w:rPr>
        <w:t xml:space="preserve">Remote Sensing of Environment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222</w:t>
      </w:r>
      <w:r>
        <w:rPr>
          <w:rFonts w:ascii="Times New Roman" w:cs="Times New Roman" w:eastAsia="Times New Roman" w:hAnsi="Times New Roman"/>
          <w:sz w:val="24"/>
          <w:szCs w:val="24"/>
        </w:rPr>
        <w:t xml:space="preserve">, 183–194. https://doi.org/10.1016/j.rse.2018.12.013</w:t>
      </w:r>
    </w:p>
    <w:p>
      <w:pPr>
        <w:spacing w:after="120" w:line="360"/>
        <w:ind w:left="720" w:hanging="720"/>
        <w:jc w:val="left"/>
      </w:pPr>
      <w:r>
        <w:rPr>
          <w:rFonts w:ascii="Times New Roman" w:cs="Times New Roman" w:eastAsia="Times New Roman" w:hAnsi="Times New Roman"/>
          <w:sz w:val="24"/>
          <w:szCs w:val="24"/>
        </w:rPr>
        <w:t xml:space="preserve">Surl, L., Palmer, P. I., &amp; González Abad, G. (2018). Which processes drive observed variations of HCHO columns over India? </w:t>
      </w:r>
      <w:r>
        <w:rPr>
          <w:rFonts w:ascii="Times New Roman" w:cs="Times New Roman" w:eastAsia="Times New Roman" w:hAnsi="Times New Roman"/>
          <w:i/>
          <w:iCs/>
          <w:sz w:val="24"/>
          <w:szCs w:val="24"/>
        </w:rPr>
        <w:t xml:space="preserve">Atmospheric Chemistry and Physics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18</w:t>
      </w:r>
      <w:r>
        <w:rPr>
          <w:rFonts w:ascii="Times New Roman" w:cs="Times New Roman" w:eastAsia="Times New Roman" w:hAnsi="Times New Roman"/>
          <w:sz w:val="24"/>
          <w:szCs w:val="24"/>
        </w:rPr>
        <w:t xml:space="preserve">, 4549–4566. https://doi.org/10.5194/acp-18-4549-2018</w:t>
      </w:r>
    </w:p>
    <w:p>
      <w:pPr>
        <w:spacing w:after="120" w:line="360"/>
        <w:ind w:left="720" w:hanging="720"/>
        <w:jc w:val="left"/>
      </w:pPr>
      <w:r>
        <w:rPr>
          <w:rFonts w:ascii="Times New Roman" w:cs="Times New Roman" w:eastAsia="Times New Roman" w:hAnsi="Times New Roman"/>
          <w:sz w:val="24"/>
          <w:szCs w:val="24"/>
        </w:rPr>
        <w:t xml:space="preserve">Tamiminia, H., Salehi, B., Mahdianpari, M., Quackenbush, L., Adeli, S., &amp; Brisco, B. (2020). Google Earth Engine for geo-big data applications: A meta-analysis and systematic review. </w:t>
      </w:r>
      <w:r>
        <w:rPr>
          <w:rFonts w:ascii="Times New Roman" w:cs="Times New Roman" w:eastAsia="Times New Roman" w:hAnsi="Times New Roman"/>
          <w:i/>
          <w:iCs/>
          <w:sz w:val="24"/>
          <w:szCs w:val="24"/>
        </w:rPr>
        <w:t xml:space="preserve">ISPRS Journal of Photogrammetry and Remote Sensing</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164</w:t>
      </w:r>
      <w:r>
        <w:rPr>
          <w:rFonts w:ascii="Times New Roman" w:cs="Times New Roman" w:eastAsia="Times New Roman" w:hAnsi="Times New Roman"/>
          <w:sz w:val="24"/>
          <w:szCs w:val="24"/>
        </w:rPr>
        <w:t xml:space="preserve">, 152–170. https://doi.org/10.1016/j.isprsjprs.2020.04.001</w:t>
      </w:r>
    </w:p>
    <w:p>
      <w:pPr>
        <w:spacing w:after="120" w:line="360"/>
        <w:ind w:left="720" w:hanging="720"/>
        <w:jc w:val="left"/>
      </w:pPr>
      <w:r>
        <w:rPr>
          <w:rFonts w:ascii="Times New Roman" w:cs="Times New Roman" w:eastAsia="Times New Roman" w:hAnsi="Times New Roman"/>
          <w:sz w:val="24"/>
          <w:szCs w:val="24"/>
        </w:rPr>
        <w:t xml:space="preserve">Theys, N., De Smedt, I., Yu, H., Danckaert, T., van Gent, J., Hörmann, C., Wagner, T., Hedelt, P., Bauer, H., Romahn, F., Pedergnana, M., Loyola, D., &amp; Van Roozendael, M. (2017). Sulfur dioxide retrievals from TROPOMI onboard Sentinel-5 Precursor: Algorithm theoretical basis. </w:t>
      </w:r>
      <w:r>
        <w:rPr>
          <w:rFonts w:ascii="Times New Roman" w:cs="Times New Roman" w:eastAsia="Times New Roman" w:hAnsi="Times New Roman"/>
          <w:i/>
          <w:iCs/>
          <w:sz w:val="24"/>
          <w:szCs w:val="24"/>
        </w:rPr>
        <w:t xml:space="preserve">Atmospheric Measurement Techniques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10</w:t>
      </w:r>
      <w:r>
        <w:rPr>
          <w:rFonts w:ascii="Times New Roman" w:cs="Times New Roman" w:eastAsia="Times New Roman" w:hAnsi="Times New Roman"/>
          <w:sz w:val="24"/>
          <w:szCs w:val="24"/>
        </w:rPr>
        <w:t xml:space="preserve">(1), 119–153. https://doi.org/10.5194/amt-10-119-2017</w:t>
      </w:r>
    </w:p>
    <w:p>
      <w:pPr>
        <w:spacing w:after="120" w:line="360"/>
        <w:ind w:left="720" w:hanging="720"/>
        <w:jc w:val="left"/>
      </w:pPr>
      <w:r>
        <w:rPr>
          <w:rFonts w:ascii="Times New Roman" w:cs="Times New Roman" w:eastAsia="Times New Roman" w:hAnsi="Times New Roman"/>
          <w:sz w:val="24"/>
          <w:szCs w:val="24"/>
        </w:rPr>
        <w:t xml:space="preserve">Torres, O., Bhartia, P. K., Herman, J. R., Ahmad, Z., &amp; Gleason, J. (1998). Derivation of aerosol properties from satellite measurements of backscattered ultraviolet radiation: Theoretical basis. </w:t>
      </w:r>
      <w:r>
        <w:rPr>
          <w:rFonts w:ascii="Times New Roman" w:cs="Times New Roman" w:eastAsia="Times New Roman" w:hAnsi="Times New Roman"/>
          <w:i/>
          <w:iCs/>
          <w:sz w:val="24"/>
          <w:szCs w:val="24"/>
        </w:rPr>
        <w:t xml:space="preserve">Journal of Geophysical Research: Atmospheres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103</w:t>
      </w:r>
      <w:r>
        <w:rPr>
          <w:rFonts w:ascii="Times New Roman" w:cs="Times New Roman" w:eastAsia="Times New Roman" w:hAnsi="Times New Roman"/>
          <w:sz w:val="24"/>
          <w:szCs w:val="24"/>
        </w:rPr>
        <w:t xml:space="preserve">(D14), 17099–17110. https://doi.org/10.1029/98JD00900</w:t>
      </w:r>
    </w:p>
    <w:p>
      <w:pPr>
        <w:spacing w:after="120" w:line="360"/>
        <w:ind w:left="720" w:hanging="720"/>
        <w:jc w:val="left"/>
      </w:pPr>
      <w:r>
        <w:rPr>
          <w:rFonts w:ascii="Times New Roman" w:cs="Times New Roman" w:eastAsia="Times New Roman" w:hAnsi="Times New Roman"/>
          <w:sz w:val="24"/>
          <w:szCs w:val="24"/>
        </w:rPr>
        <w:t xml:space="preserve">van Geffen, J., Eskes, H., Compernolle, S., Pinardi, G., Verhoelst, T., Lambert, J.-C., Sneep, M., ter Linden, M., Ludewig, A., Boersma, K. F., &amp; Veefkind, J. P. (2022). Sentinel-5P TROPOMI NO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retrieval: Impact of version v2.2 improvements and comparisons with OMI and ground-based data. </w:t>
      </w:r>
      <w:r>
        <w:rPr>
          <w:rFonts w:ascii="Times New Roman" w:cs="Times New Roman" w:eastAsia="Times New Roman" w:hAnsi="Times New Roman"/>
          <w:i/>
          <w:iCs/>
          <w:sz w:val="24"/>
          <w:szCs w:val="24"/>
        </w:rPr>
        <w:t xml:space="preserve">Atmospheric Measurement Techniques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15</w:t>
      </w:r>
      <w:r>
        <w:rPr>
          <w:rFonts w:ascii="Times New Roman" w:cs="Times New Roman" w:eastAsia="Times New Roman" w:hAnsi="Times New Roman"/>
          <w:sz w:val="24"/>
          <w:szCs w:val="24"/>
        </w:rPr>
        <w:t xml:space="preserve">(7), 2037–2060. https://doi.org/10.5194/amt-15-2037-2022</w:t>
      </w:r>
    </w:p>
    <w:p>
      <w:pPr>
        <w:spacing w:after="120" w:line="360"/>
        <w:ind w:left="720" w:hanging="720"/>
        <w:jc w:val="left"/>
      </w:pPr>
      <w:r>
        <w:rPr>
          <w:rFonts w:ascii="Times New Roman" w:cs="Times New Roman" w:eastAsia="Times New Roman" w:hAnsi="Times New Roman"/>
          <w:sz w:val="24"/>
          <w:szCs w:val="24"/>
        </w:rPr>
        <w:t xml:space="preserve">Veefkind, J. P., Aben, I., McMullan, K., Förster, H., de Vries, J., Otter, G., Claas, J., Eskes, H. J., de Haan, J. F., Kleipool, Q., van Weele, M., Hasekamp, O., Hoogeveen, R., Landgraf, J., Snel, R., Tol, P., Ingmann, P., Voors, R., Kruizinga, B., . . . Levelt, P. F. (2012). TROPOMI on the ESA Sentinel-5 Precursor: A GMES mission for global observations of the atmospheric composition for climate, air quality and ozone layer applications. </w:t>
      </w:r>
      <w:r>
        <w:rPr>
          <w:rFonts w:ascii="Times New Roman" w:cs="Times New Roman" w:eastAsia="Times New Roman" w:hAnsi="Times New Roman"/>
          <w:i/>
          <w:iCs/>
          <w:sz w:val="24"/>
          <w:szCs w:val="24"/>
        </w:rPr>
        <w:t xml:space="preserve">Remote Sensing of Environment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120</w:t>
      </w:r>
      <w:r>
        <w:rPr>
          <w:rFonts w:ascii="Times New Roman" w:cs="Times New Roman" w:eastAsia="Times New Roman" w:hAnsi="Times New Roman"/>
          <w:sz w:val="24"/>
          <w:szCs w:val="24"/>
        </w:rPr>
        <w:t xml:space="preserve">, 70–83. https://doi.org/10.1016/j.rse.2011.09.027</w:t>
      </w:r>
    </w:p>
    <w:p>
      <w:pPr>
        <w:spacing w:after="120" w:line="360"/>
        <w:ind w:left="720" w:hanging="720"/>
        <w:jc w:val="left"/>
      </w:pPr>
      <w:r>
        <w:rPr>
          <w:rFonts w:ascii="Times New Roman" w:cs="Times New Roman" w:eastAsia="Times New Roman" w:hAnsi="Times New Roman"/>
          <w:sz w:val="24"/>
          <w:szCs w:val="24"/>
        </w:rPr>
        <w:t xml:space="preserve">Verhoelst, T., Compernolle, S., Pinardi, G., Lambert, J.-C., Eskes, H. J., Eichmann, K.-U., Fjæraa, A. M., Granville, J., Niemeijer, S., Cede, A., Tiefengraber, M., Hendrick, F., Pazmiño, A., Bais, A., Bazureau, A., Boersma, K. F., Bognar, K., Dehn, A., Donner, S., . . . Zehner, C. (2021). Ground-based validation of the Copernicus Sentinel-5P TROPOMI NO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measurements with the NDACC ZSL-DOAS, MAX-DOAS and Pandonia global networks. </w:t>
      </w:r>
      <w:r>
        <w:rPr>
          <w:rFonts w:ascii="Times New Roman" w:cs="Times New Roman" w:eastAsia="Times New Roman" w:hAnsi="Times New Roman"/>
          <w:i/>
          <w:iCs/>
          <w:sz w:val="24"/>
          <w:szCs w:val="24"/>
        </w:rPr>
        <w:t xml:space="preserve">Atmospheric Measurement Techniques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14</w:t>
      </w:r>
      <w:r>
        <w:rPr>
          <w:rFonts w:ascii="Times New Roman" w:cs="Times New Roman" w:eastAsia="Times New Roman" w:hAnsi="Times New Roman"/>
          <w:sz w:val="24"/>
          <w:szCs w:val="24"/>
        </w:rPr>
        <w:t xml:space="preserve">(1), 481–510. https://doi.org/10.5194/amt-14-481-2021</w:t>
      </w:r>
    </w:p>
    <w:p>
      <w:pPr>
        <w:spacing w:after="120" w:line="360"/>
        <w:ind w:left="720" w:hanging="720"/>
        <w:jc w:val="left"/>
      </w:pPr>
      <w:r>
        <w:rPr>
          <w:rFonts w:ascii="Times New Roman" w:cs="Times New Roman" w:eastAsia="Times New Roman" w:hAnsi="Times New Roman"/>
          <w:sz w:val="24"/>
          <w:szCs w:val="24"/>
        </w:rPr>
        <w:t xml:space="preserve">Voogt, J. A., &amp; Oke, T. R. (2003). Thermal remote sensing of urban climates. </w:t>
      </w:r>
      <w:r>
        <w:rPr>
          <w:rFonts w:ascii="Times New Roman" w:cs="Times New Roman" w:eastAsia="Times New Roman" w:hAnsi="Times New Roman"/>
          <w:i/>
          <w:iCs/>
          <w:sz w:val="24"/>
          <w:szCs w:val="24"/>
        </w:rPr>
        <w:t xml:space="preserve">Remote Sensing of Environment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86</w:t>
      </w:r>
      <w:r>
        <w:rPr>
          <w:rFonts w:ascii="Times New Roman" w:cs="Times New Roman" w:eastAsia="Times New Roman" w:hAnsi="Times New Roman"/>
          <w:sz w:val="24"/>
          <w:szCs w:val="24"/>
        </w:rPr>
        <w:t xml:space="preserve">(3), 370–384. https://doi.org/10.1016/S0034-4257(03)00079-8</w:t>
      </w:r>
    </w:p>
    <w:p>
      <w:pPr>
        <w:spacing w:after="120" w:line="360"/>
        <w:ind w:left="720" w:hanging="720"/>
        <w:jc w:val="left"/>
      </w:pPr>
      <w:r>
        <w:rPr>
          <w:rFonts w:ascii="Times New Roman" w:cs="Times New Roman" w:eastAsia="Times New Roman" w:hAnsi="Times New Roman"/>
          <w:sz w:val="24"/>
          <w:szCs w:val="24"/>
        </w:rPr>
        <w:t xml:space="preserve">Wan, Z. (2014). New refinements and validation of the collection-6 MODIS land-surface temperature/emissivity product. </w:t>
      </w:r>
      <w:r>
        <w:rPr>
          <w:rFonts w:ascii="Times New Roman" w:cs="Times New Roman" w:eastAsia="Times New Roman" w:hAnsi="Times New Roman"/>
          <w:i/>
          <w:iCs/>
          <w:sz w:val="24"/>
          <w:szCs w:val="24"/>
        </w:rPr>
        <w:t xml:space="preserve">Remote Sensing of Environment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140</w:t>
      </w:r>
      <w:r>
        <w:rPr>
          <w:rFonts w:ascii="Times New Roman" w:cs="Times New Roman" w:eastAsia="Times New Roman" w:hAnsi="Times New Roman"/>
          <w:sz w:val="24"/>
          <w:szCs w:val="24"/>
        </w:rPr>
        <w:t xml:space="preserve">, 36–45. https://doi.org/10.1016/j.rse.2013.08.027</w:t>
      </w:r>
    </w:p>
    <w:p>
      <w:pPr>
        <w:spacing w:after="120" w:line="360"/>
        <w:ind w:left="720" w:hanging="720"/>
        <w:jc w:val="left"/>
      </w:pPr>
      <w:r>
        <w:rPr>
          <w:rFonts w:ascii="Times New Roman" w:cs="Times New Roman" w:eastAsia="Times New Roman" w:hAnsi="Times New Roman"/>
          <w:sz w:val="24"/>
          <w:szCs w:val="24"/>
        </w:rPr>
        <w:t xml:space="preserve">Wheeler, D., &amp; Tiefelsdorf, M. (2005). Multicollinearity and correlation among local regression coefficients in geographically weighted regression. </w:t>
      </w:r>
      <w:r>
        <w:rPr>
          <w:rFonts w:ascii="Times New Roman" w:cs="Times New Roman" w:eastAsia="Times New Roman" w:hAnsi="Times New Roman"/>
          <w:i/>
          <w:iCs/>
          <w:sz w:val="24"/>
          <w:szCs w:val="24"/>
        </w:rPr>
        <w:t xml:space="preserve">Journal of Geographical Systems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7</w:t>
      </w:r>
      <w:r>
        <w:rPr>
          <w:rFonts w:ascii="Times New Roman" w:cs="Times New Roman" w:eastAsia="Times New Roman" w:hAnsi="Times New Roman"/>
          <w:sz w:val="24"/>
          <w:szCs w:val="24"/>
        </w:rPr>
        <w:t xml:space="preserve">(2), 161–187. https://doi.org/10.1007/s10109-005-0155-6</w:t>
      </w:r>
    </w:p>
    <w:p>
      <w:pPr>
        <w:spacing w:after="120" w:line="360"/>
        <w:ind w:left="720" w:hanging="720"/>
        <w:jc w:val="left"/>
      </w:pPr>
      <w:r>
        <w:rPr>
          <w:rFonts w:ascii="Times New Roman" w:cs="Times New Roman" w:eastAsia="Times New Roman" w:hAnsi="Times New Roman"/>
          <w:sz w:val="24"/>
          <w:szCs w:val="24"/>
        </w:rPr>
        <w:t xml:space="preserve">World Health Organization. (2021). </w:t>
      </w:r>
      <w:r>
        <w:rPr>
          <w:rFonts w:ascii="Times New Roman" w:cs="Times New Roman" w:eastAsia="Times New Roman" w:hAnsi="Times New Roman"/>
          <w:i/>
          <w:iCs/>
          <w:sz w:val="24"/>
          <w:szCs w:val="24"/>
        </w:rPr>
        <w:t xml:space="preserve">WHO global air quality guidelines: Particulate matter (PM</w:t>
      </w:r>
      <w:r>
        <w:rPr>
          <w:rFonts w:ascii="Times New Roman" w:cs="Times New Roman" w:eastAsia="Times New Roman" w:hAnsi="Times New Roman"/>
          <w:i/>
          <w:iCs/>
          <w:sz w:val="24"/>
          <w:szCs w:val="24"/>
          <w:vertAlign w:val="subscript"/>
        </w:rPr>
        <w:t xml:space="preserve">2.5</w:t>
      </w:r>
      <w:r>
        <w:rPr>
          <w:rFonts w:ascii="Times New Roman" w:cs="Times New Roman" w:eastAsia="Times New Roman" w:hAnsi="Times New Roman"/>
          <w:i/>
          <w:iCs/>
          <w:sz w:val="24"/>
          <w:szCs w:val="24"/>
        </w:rPr>
        <w:t xml:space="preserve"> and PM</w:t>
      </w:r>
      <w:r>
        <w:rPr>
          <w:rFonts w:ascii="Times New Roman" w:cs="Times New Roman" w:eastAsia="Times New Roman" w:hAnsi="Times New Roman"/>
          <w:i/>
          <w:iCs/>
          <w:sz w:val="24"/>
          <w:szCs w:val="24"/>
          <w:vertAlign w:val="subscript"/>
        </w:rPr>
        <w:t xml:space="preserve">10</w:t>
      </w:r>
      <w:r>
        <w:rPr>
          <w:rFonts w:ascii="Times New Roman" w:cs="Times New Roman" w:eastAsia="Times New Roman" w:hAnsi="Times New Roman"/>
          <w:i/>
          <w:iCs/>
          <w:sz w:val="24"/>
          <w:szCs w:val="24"/>
        </w:rPr>
        <w:t xml:space="preserve">), ozone, nitrogen dioxide, sulfur dioxide and carbon monoxide</w:t>
      </w:r>
      <w:r>
        <w:rPr>
          <w:rFonts w:ascii="Times New Roman" w:cs="Times New Roman" w:eastAsia="Times New Roman" w:hAnsi="Times New Roman"/>
          <w:sz w:val="24"/>
          <w:szCs w:val="24"/>
        </w:rPr>
        <w:t xml:space="preserve">. World Health Organization. https://apps.who.int/iris/handle/10665/345329</w:t>
      </w:r>
    </w:p>
    <w:p>
      <w:pPr>
        <w:spacing w:after="120" w:line="360"/>
        <w:ind w:left="720" w:hanging="720"/>
        <w:jc w:val="left"/>
      </w:pPr>
      <w:r>
        <w:rPr>
          <w:rFonts w:ascii="Times New Roman" w:cs="Times New Roman" w:eastAsia="Times New Roman" w:hAnsi="Times New Roman"/>
          <w:sz w:val="24"/>
          <w:szCs w:val="24"/>
        </w:rPr>
        <w:t xml:space="preserve">Zaman, S. U., Pavel, M. R. S., Joy, K. S., Jeba, F., Islam, M. S., Paul, S., Bari, M. A., &amp; Salam, A. (2021). Spatial and temporal variation of aerosol optical depths over six major cities in Bangladesh. </w:t>
      </w:r>
      <w:r>
        <w:rPr>
          <w:rFonts w:ascii="Times New Roman" w:cs="Times New Roman" w:eastAsia="Times New Roman" w:hAnsi="Times New Roman"/>
          <w:i/>
          <w:iCs/>
          <w:sz w:val="24"/>
          <w:szCs w:val="24"/>
        </w:rPr>
        <w:t xml:space="preserve">Atmospheric Research</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262</w:t>
      </w:r>
      <w:r>
        <w:rPr>
          <w:rFonts w:ascii="Times New Roman" w:cs="Times New Roman" w:eastAsia="Times New Roman" w:hAnsi="Times New Roman"/>
          <w:sz w:val="24"/>
          <w:szCs w:val="24"/>
        </w:rPr>
        <w:t xml:space="preserve">, Article 105803. https://doi.org/10.1016/j.atmosres.2021.105803</w:t>
      </w:r>
    </w:p>
    <w:p>
      <w:pPr>
        <w:spacing w:after="120" w:line="360"/>
        <w:ind w:left="720" w:hanging="720"/>
        <w:jc w:val="left"/>
      </w:pPr>
      <w:r>
        <w:rPr>
          <w:rFonts w:ascii="Times New Roman" w:cs="Times New Roman" w:eastAsia="Times New Roman" w:hAnsi="Times New Roman"/>
          <w:sz w:val="24"/>
          <w:szCs w:val="24"/>
        </w:rPr>
        <w:t xml:space="preserve">Zhang, G., Xiao, X., Dong, J., Xin, F., Zhang, Y., Qin, Y., Doughty, R. B., &amp; Moore, B., III. (2020). Fingerprint of rice paddies in spatial–temporal dynamics of atmospheric methane concentration in monsoon Asia. </w:t>
      </w:r>
      <w:r>
        <w:rPr>
          <w:rFonts w:ascii="Times New Roman" w:cs="Times New Roman" w:eastAsia="Times New Roman" w:hAnsi="Times New Roman"/>
          <w:i/>
          <w:iCs/>
          <w:sz w:val="24"/>
          <w:szCs w:val="24"/>
        </w:rPr>
        <w:t xml:space="preserve">Nature Communications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11</w:t>
      </w:r>
      <w:r>
        <w:rPr>
          <w:rFonts w:ascii="Times New Roman" w:cs="Times New Roman" w:eastAsia="Times New Roman" w:hAnsi="Times New Roman"/>
          <w:sz w:val="24"/>
          <w:szCs w:val="24"/>
        </w:rPr>
        <w:t xml:space="preserve">, Article 554. https://doi.org/10.1038/s41467-019-14155-5</w:t>
      </w:r>
    </w:p>
    <w:p>
      <w:pPr>
        <w:spacing w:after="120" w:line="360"/>
        <w:ind w:left="720" w:hanging="720"/>
        <w:jc w:val="left"/>
      </w:pPr>
      <w:r>
        <w:rPr>
          <w:rFonts w:ascii="Times New Roman" w:cs="Times New Roman" w:eastAsia="Times New Roman" w:hAnsi="Times New Roman"/>
          <w:sz w:val="24"/>
          <w:szCs w:val="24"/>
        </w:rPr>
        <w:t xml:space="preserve">Zhou, D., Xiao, J., Bonafoni, S., Berger, C., Deilami, K., Zhou, Y., Frolking, S., Yao, R., Qiao, Z., &amp; Sobrino, J. A. (2019). Satellite remote sensing of surface urban heat islands: Progress, challenges, and perspectives. </w:t>
      </w:r>
      <w:r>
        <w:rPr>
          <w:rFonts w:ascii="Times New Roman" w:cs="Times New Roman" w:eastAsia="Times New Roman" w:hAnsi="Times New Roman"/>
          <w:i/>
          <w:iCs/>
          <w:sz w:val="24"/>
          <w:szCs w:val="24"/>
        </w:rPr>
        <w:t xml:space="preserve">Remote Sensing</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11</w:t>
      </w:r>
      <w:r>
        <w:rPr>
          <w:rFonts w:ascii="Times New Roman" w:cs="Times New Roman" w:eastAsia="Times New Roman" w:hAnsi="Times New Roman"/>
          <w:sz w:val="24"/>
          <w:szCs w:val="24"/>
        </w:rPr>
        <w:t xml:space="preserve">(1), Article 48. https://doi.org/10.3390/rs11010048</w:t>
      </w:r>
    </w:p>
    <w:p>
      <w:pPr>
        <w:pStyle w:val="Heading1"/>
        <w:keepNext/>
        <w:spacing w:after="140" w:before="280" w:line="360"/>
      </w:pPr>
      <w:r>
        <w:rPr>
          <w:rFonts w:ascii="Times New Roman" w:cs="Times New Roman" w:eastAsia="Times New Roman" w:hAnsi="Times New Roman"/>
          <w:b/>
          <w:bCs/>
          <w:color w:val="000000"/>
          <w:sz w:val="26"/>
          <w:szCs w:val="26"/>
        </w:rPr>
        <w:t xml:space="preserve">Supplementary Material</w:t>
      </w:r>
    </w:p>
    <w:p>
      <w:pPr>
        <w:keepNext/>
        <w:spacing w:after="100" w:before="240" w:line="276"/>
        <w:jc w:val="left"/>
      </w:pPr>
      <w:r>
        <w:rPr>
          <w:rFonts w:ascii="Times New Roman" w:cs="Times New Roman" w:eastAsia="Times New Roman" w:hAnsi="Times New Roman"/>
          <w:b/>
          <w:bCs/>
          <w:sz w:val="22"/>
          <w:szCs w:val="22"/>
        </w:rPr>
        <w:t xml:space="preserve">Table S1. </w:t>
      </w:r>
      <w:r>
        <w:rPr>
          <w:rFonts w:ascii="Times New Roman" w:cs="Times New Roman" w:eastAsia="Times New Roman" w:hAnsi="Times New Roman"/>
          <w:sz w:val="22"/>
          <w:szCs w:val="22"/>
        </w:rPr>
        <w:t xml:space="preserve">Monthly national mean values in 2025 derived from the monthly composites.</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26"/>
        <w:gridCol w:w="820"/>
        <w:gridCol w:w="820"/>
        <w:gridCol w:w="820"/>
        <w:gridCol w:w="820"/>
        <w:gridCol w:w="820"/>
        <w:gridCol w:w="820"/>
        <w:gridCol w:w="820"/>
        <w:gridCol w:w="820"/>
        <w:gridCol w:w="820"/>
        <w:gridCol w:w="820"/>
      </w:tblGrid>
      <w:tr>
        <w:trPr>
          <w:cantSplit/>
          <w:tblHeader/>
        </w:trPr>
        <w:tc>
          <w:tcPr>
            <w:tcW w:type="dxa" w:w="826"/>
            <w:gridSpan w:val="1"/>
            <w:tcBorders>
              <w:top w:val="single" w:color="000000" w:sz="12"/>
              <w:left w:val="none" w:color="FFFFFF" w:sz="0"/>
              <w:bottom w:val="single" w:color="000000" w:sz="6"/>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sz w:val="19"/>
                <w:szCs w:val="19"/>
              </w:rPr>
              <w:t xml:space="preserve">Month</w:t>
            </w:r>
          </w:p>
        </w:tc>
        <w:tc>
          <w:tcPr>
            <w:tcW w:type="dxa" w:w="820"/>
            <w:gridSpan w:val="1"/>
            <w:tcBorders>
              <w:top w:val="single" w:color="000000" w:sz="12"/>
              <w:left w:val="none" w:color="FFFFFF" w:sz="0"/>
              <w:bottom w:val="single" w:color="000000" w:sz="6"/>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sz w:val="19"/>
                <w:szCs w:val="19"/>
              </w:rPr>
              <w:t xml:space="preserve">AOD</w:t>
            </w:r>
          </w:p>
        </w:tc>
        <w:tc>
          <w:tcPr>
            <w:tcW w:type="dxa" w:w="820"/>
            <w:gridSpan w:val="1"/>
            <w:tcBorders>
              <w:top w:val="single" w:color="000000" w:sz="12"/>
              <w:left w:val="none" w:color="FFFFFF" w:sz="0"/>
              <w:bottom w:val="single" w:color="000000" w:sz="6"/>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sz w:val="19"/>
                <w:szCs w:val="19"/>
              </w:rPr>
              <w:t xml:space="preserve">UVAI</w:t>
            </w:r>
          </w:p>
        </w:tc>
        <w:tc>
          <w:tcPr>
            <w:tcW w:type="dxa" w:w="820"/>
            <w:gridSpan w:val="1"/>
            <w:tcBorders>
              <w:top w:val="single" w:color="000000" w:sz="12"/>
              <w:left w:val="none" w:color="FFFFFF" w:sz="0"/>
              <w:bottom w:val="single" w:color="000000" w:sz="6"/>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sz w:val="19"/>
                <w:szCs w:val="19"/>
              </w:rPr>
              <w:t xml:space="preserve">NO</w:t>
            </w:r>
            <w:r>
              <w:rPr>
                <w:rFonts w:ascii="Times New Roman" w:cs="Times New Roman" w:eastAsia="Times New Roman" w:hAnsi="Times New Roman"/>
                <w:sz w:val="19"/>
                <w:szCs w:val="19"/>
                <w:vertAlign w:val="subscript"/>
              </w:rPr>
              <w:t xml:space="preserve">2</w:t>
            </w:r>
          </w:p>
        </w:tc>
        <w:tc>
          <w:tcPr>
            <w:tcW w:type="dxa" w:w="820"/>
            <w:gridSpan w:val="1"/>
            <w:tcBorders>
              <w:top w:val="single" w:color="000000" w:sz="12"/>
              <w:left w:val="none" w:color="FFFFFF" w:sz="0"/>
              <w:bottom w:val="single" w:color="000000" w:sz="6"/>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sz w:val="19"/>
                <w:szCs w:val="19"/>
              </w:rPr>
              <w:t xml:space="preserve">SO</w:t>
            </w:r>
            <w:r>
              <w:rPr>
                <w:rFonts w:ascii="Times New Roman" w:cs="Times New Roman" w:eastAsia="Times New Roman" w:hAnsi="Times New Roman"/>
                <w:sz w:val="19"/>
                <w:szCs w:val="19"/>
                <w:vertAlign w:val="subscript"/>
              </w:rPr>
              <w:t xml:space="preserve">2</w:t>
            </w:r>
          </w:p>
        </w:tc>
        <w:tc>
          <w:tcPr>
            <w:tcW w:type="dxa" w:w="820"/>
            <w:gridSpan w:val="1"/>
            <w:tcBorders>
              <w:top w:val="single" w:color="000000" w:sz="12"/>
              <w:left w:val="none" w:color="FFFFFF" w:sz="0"/>
              <w:bottom w:val="single" w:color="000000" w:sz="6"/>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sz w:val="19"/>
                <w:szCs w:val="19"/>
              </w:rPr>
              <w:t xml:space="preserve">CO</w:t>
            </w:r>
          </w:p>
        </w:tc>
        <w:tc>
          <w:tcPr>
            <w:tcW w:type="dxa" w:w="820"/>
            <w:gridSpan w:val="1"/>
            <w:tcBorders>
              <w:top w:val="single" w:color="000000" w:sz="12"/>
              <w:left w:val="none" w:color="FFFFFF" w:sz="0"/>
              <w:bottom w:val="single" w:color="000000" w:sz="6"/>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sz w:val="19"/>
                <w:szCs w:val="19"/>
              </w:rPr>
              <w:t xml:space="preserve">CH</w:t>
            </w:r>
            <w:r>
              <w:rPr>
                <w:rFonts w:ascii="Times New Roman" w:cs="Times New Roman" w:eastAsia="Times New Roman" w:hAnsi="Times New Roman"/>
                <w:sz w:val="19"/>
                <w:szCs w:val="19"/>
                <w:vertAlign w:val="subscript"/>
              </w:rPr>
              <w:t xml:space="preserve">4</w:t>
            </w:r>
          </w:p>
        </w:tc>
        <w:tc>
          <w:tcPr>
            <w:tcW w:type="dxa" w:w="820"/>
            <w:gridSpan w:val="1"/>
            <w:tcBorders>
              <w:top w:val="single" w:color="000000" w:sz="12"/>
              <w:left w:val="none" w:color="FFFFFF" w:sz="0"/>
              <w:bottom w:val="single" w:color="000000" w:sz="6"/>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sz w:val="19"/>
                <w:szCs w:val="19"/>
              </w:rPr>
              <w:t xml:space="preserve">HCHO</w:t>
            </w:r>
          </w:p>
        </w:tc>
        <w:tc>
          <w:tcPr>
            <w:tcW w:type="dxa" w:w="820"/>
            <w:gridSpan w:val="1"/>
            <w:tcBorders>
              <w:top w:val="single" w:color="000000" w:sz="12"/>
              <w:left w:val="none" w:color="FFFFFF" w:sz="0"/>
              <w:bottom w:val="single" w:color="000000" w:sz="6"/>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sz w:val="19"/>
                <w:szCs w:val="19"/>
              </w:rPr>
              <w:t xml:space="preserve">O</w:t>
            </w:r>
            <w:r>
              <w:rPr>
                <w:rFonts w:ascii="Times New Roman" w:cs="Times New Roman" w:eastAsia="Times New Roman" w:hAnsi="Times New Roman"/>
                <w:sz w:val="19"/>
                <w:szCs w:val="19"/>
                <w:vertAlign w:val="subscript"/>
              </w:rPr>
              <w:t xml:space="preserve">3</w:t>
            </w:r>
          </w:p>
        </w:tc>
        <w:tc>
          <w:tcPr>
            <w:tcW w:type="dxa" w:w="820"/>
            <w:gridSpan w:val="1"/>
            <w:tcBorders>
              <w:top w:val="single" w:color="000000" w:sz="12"/>
              <w:left w:val="none" w:color="FFFFFF" w:sz="0"/>
              <w:bottom w:val="single" w:color="000000" w:sz="6"/>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sz w:val="19"/>
                <w:szCs w:val="19"/>
              </w:rPr>
              <w:t xml:space="preserve">LST Day</w:t>
            </w:r>
          </w:p>
        </w:tc>
        <w:tc>
          <w:tcPr>
            <w:tcW w:type="dxa" w:w="820"/>
            <w:gridSpan w:val="1"/>
            <w:tcBorders>
              <w:top w:val="single" w:color="000000" w:sz="12"/>
              <w:left w:val="none" w:color="FFFFFF" w:sz="0"/>
              <w:bottom w:val="single" w:color="000000" w:sz="6"/>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sz w:val="19"/>
                <w:szCs w:val="19"/>
              </w:rPr>
              <w:t xml:space="preserve">LST Night</w:t>
            </w:r>
          </w:p>
        </w:tc>
      </w:tr>
      <w:tr>
        <w:trPr>
          <w:cantSplit/>
        </w:trPr>
        <w:tc>
          <w:tcPr>
            <w:tcW w:type="dxa" w:w="8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19"/>
                <w:szCs w:val="19"/>
              </w:rPr>
              <w:t xml:space="preserve">Jan</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0.62</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−0.19</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43.2</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71.4</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0.0499</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1946.4</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1.92</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264.3</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21.2</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15.7</w:t>
            </w:r>
          </w:p>
        </w:tc>
      </w:tr>
      <w:tr>
        <w:trPr>
          <w:cantSplit/>
        </w:trPr>
        <w:tc>
          <w:tcPr>
            <w:tcW w:type="dxa" w:w="8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19"/>
                <w:szCs w:val="19"/>
              </w:rPr>
              <w:t xml:space="preserve">Feb</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0.60</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−0.07</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46.5</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179.5</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0.0473</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1942.6</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2.01</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274.5</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23.6</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18.1</w:t>
            </w:r>
          </w:p>
        </w:tc>
      </w:tr>
      <w:tr>
        <w:trPr>
          <w:cantSplit/>
        </w:trPr>
        <w:tc>
          <w:tcPr>
            <w:tcW w:type="dxa" w:w="8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19"/>
                <w:szCs w:val="19"/>
              </w:rPr>
              <w:t xml:space="preserve">Mar</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0.48</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−0.06</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46.6</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203.3</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0.0505</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1938.6</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2.48</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285.0</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27.5</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21.6</w:t>
            </w:r>
          </w:p>
        </w:tc>
      </w:tr>
      <w:tr>
        <w:trPr>
          <w:cantSplit/>
        </w:trPr>
        <w:tc>
          <w:tcPr>
            <w:tcW w:type="dxa" w:w="8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19"/>
                <w:szCs w:val="19"/>
              </w:rPr>
              <w:t xml:space="preserve">Apr</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0.58</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−0.15</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32.0</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113.7</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0.0490</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1931.9</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2.31</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294.9</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28.6</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24.2</w:t>
            </w:r>
          </w:p>
        </w:tc>
      </w:tr>
      <w:tr>
        <w:trPr>
          <w:cantSplit/>
        </w:trPr>
        <w:tc>
          <w:tcPr>
            <w:tcW w:type="dxa" w:w="8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19"/>
                <w:szCs w:val="19"/>
              </w:rPr>
              <w:t xml:space="preserve">May</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0.67</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−0.54</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29.8</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93.2</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0.0450</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1927.7</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2.34</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295.3</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29.6</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24.5</w:t>
            </w:r>
          </w:p>
        </w:tc>
      </w:tr>
      <w:tr>
        <w:trPr>
          <w:cantSplit/>
        </w:trPr>
        <w:tc>
          <w:tcPr>
            <w:tcW w:type="dxa" w:w="8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19"/>
                <w:szCs w:val="19"/>
              </w:rPr>
              <w:t xml:space="preserve">Jun</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0.66</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−0.74</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23.9</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16.0</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0.0371</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1959.7*</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1.97</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286.8</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28.9</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26.3</w:t>
            </w:r>
          </w:p>
        </w:tc>
      </w:tr>
      <w:tr>
        <w:trPr>
          <w:cantSplit/>
        </w:trPr>
        <w:tc>
          <w:tcPr>
            <w:tcW w:type="dxa" w:w="8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19"/>
                <w:szCs w:val="19"/>
              </w:rPr>
              <w:t xml:space="preserve">Jul</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0.28*</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−0.75</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25.5</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0.1</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0.0341</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n/a</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1.80</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280.9</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28.9*</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26.3*</w:t>
            </w:r>
          </w:p>
        </w:tc>
      </w:tr>
      <w:tr>
        <w:trPr>
          <w:cantSplit/>
        </w:trPr>
        <w:tc>
          <w:tcPr>
            <w:tcW w:type="dxa" w:w="8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19"/>
                <w:szCs w:val="19"/>
              </w:rPr>
              <w:t xml:space="preserve">Aug</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0.19*</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−0.81</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22.1</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21.0</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0.0339</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n/a</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1.47</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277.9</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26.5*</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25.7*</w:t>
            </w:r>
          </w:p>
        </w:tc>
      </w:tr>
      <w:tr>
        <w:trPr>
          <w:cantSplit/>
        </w:trPr>
        <w:tc>
          <w:tcPr>
            <w:tcW w:type="dxa" w:w="8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19"/>
                <w:szCs w:val="19"/>
              </w:rPr>
              <w:t xml:space="preserve">Sep</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0.21</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−0.81</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26.6</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24.1</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0.0350</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1971.3*</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1.69</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273.3</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28.4</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26.8</w:t>
            </w:r>
          </w:p>
        </w:tc>
      </w:tr>
      <w:tr>
        <w:trPr>
          <w:cantSplit/>
        </w:trPr>
        <w:tc>
          <w:tcPr>
            <w:tcW w:type="dxa" w:w="8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19"/>
                <w:szCs w:val="19"/>
              </w:rPr>
              <w:t xml:space="preserve">Oct</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0.28</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−0.66</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30.4</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24.8</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0.0353</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1977.1</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1.91</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273.0</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28.0</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25.2</w:t>
            </w:r>
          </w:p>
        </w:tc>
      </w:tr>
      <w:tr>
        <w:trPr>
          <w:cantSplit/>
        </w:trPr>
        <w:tc>
          <w:tcPr>
            <w:tcW w:type="dxa" w:w="826"/>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left"/>
            </w:pPr>
            <w:r>
              <w:rPr>
                <w:rFonts w:ascii="Times New Roman" w:cs="Times New Roman" w:eastAsia="Times New Roman" w:hAnsi="Times New Roman"/>
                <w:b w:val="false"/>
                <w:bCs w:val="false"/>
                <w:sz w:val="19"/>
                <w:szCs w:val="19"/>
              </w:rPr>
              <w:t xml:space="preserve">Nov</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0.29</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−0.21</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34.0</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27.4</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0.0397</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1953.8</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2.01</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254.9</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24.8</w:t>
            </w:r>
          </w:p>
        </w:tc>
        <w:tc>
          <w:tcPr>
            <w:tcW w:type="dxa" w:w="820"/>
            <w:gridSpan w:val="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keepNext/>
              <w:spacing w:after="0" w:line="240"/>
              <w:jc w:val="center"/>
            </w:pPr>
            <w:r>
              <w:rPr>
                <w:rFonts w:ascii="Times New Roman" w:cs="Times New Roman" w:eastAsia="Times New Roman" w:hAnsi="Times New Roman"/>
                <w:b w:val="false"/>
                <w:bCs w:val="false"/>
                <w:sz w:val="19"/>
                <w:szCs w:val="19"/>
              </w:rPr>
              <w:t xml:space="preserve">20.2</w:t>
            </w:r>
          </w:p>
        </w:tc>
      </w:tr>
      <w:tr>
        <w:trPr>
          <w:cantSplit/>
        </w:trPr>
        <w:tc>
          <w:tcPr>
            <w:tcW w:type="dxa" w:w="826"/>
            <w:gridSpan w:val="1"/>
            <w:tcBorders>
              <w:top w:val="none" w:color="FFFFFF" w:sz="0"/>
              <w:left w:val="none" w:color="FFFFFF" w:sz="0"/>
              <w:bottom w:val="single" w:color="000000" w:sz="12"/>
              <w:right w:val="none" w:color="FFFFFF" w:sz="0"/>
            </w:tcBorders>
            <w:tcMar>
              <w:top w:type="dxa" w:w="40"/>
              <w:left w:type="dxa" w:w="60"/>
              <w:bottom w:type="dxa" w:w="40"/>
              <w:right w:type="dxa" w:w="60"/>
            </w:tcMar>
            <w:vAlign w:val="center"/>
          </w:tcPr>
          <w:p>
            <w:pPr>
              <w:keepNext w:val="false"/>
              <w:spacing w:after="0" w:line="240"/>
              <w:jc w:val="left"/>
            </w:pPr>
            <w:r>
              <w:rPr>
                <w:rFonts w:ascii="Times New Roman" w:cs="Times New Roman" w:eastAsia="Times New Roman" w:hAnsi="Times New Roman"/>
                <w:b w:val="false"/>
                <w:bCs w:val="false"/>
                <w:sz w:val="19"/>
                <w:szCs w:val="19"/>
              </w:rPr>
              <w:t xml:space="preserve">Dec</w:t>
            </w:r>
          </w:p>
        </w:tc>
        <w:tc>
          <w:tcPr>
            <w:tcW w:type="dxa" w:w="820"/>
            <w:gridSpan w:val="1"/>
            <w:tcBorders>
              <w:top w:val="none" w:color="FFFFFF" w:sz="0"/>
              <w:left w:val="none" w:color="FFFFFF" w:sz="0"/>
              <w:bottom w:val="single" w:color="000000" w:sz="12"/>
              <w:right w:val="none" w:color="FFFFFF" w:sz="0"/>
            </w:tcBorders>
            <w:tcMar>
              <w:top w:type="dxa" w:w="40"/>
              <w:left w:type="dxa" w:w="60"/>
              <w:bottom w:type="dxa" w:w="40"/>
              <w:right w:type="dxa" w:w="60"/>
            </w:tcMar>
            <w:vAlign w:val="center"/>
          </w:tcPr>
          <w:p>
            <w:pPr>
              <w:keepNext w:val="false"/>
              <w:spacing w:after="0" w:line="240"/>
              <w:jc w:val="center"/>
            </w:pPr>
            <w:r>
              <w:rPr>
                <w:rFonts w:ascii="Times New Roman" w:cs="Times New Roman" w:eastAsia="Times New Roman" w:hAnsi="Times New Roman"/>
                <w:b w:val="false"/>
                <w:bCs w:val="false"/>
                <w:sz w:val="19"/>
                <w:szCs w:val="19"/>
              </w:rPr>
              <w:t xml:space="preserve">0.32</w:t>
            </w:r>
          </w:p>
        </w:tc>
        <w:tc>
          <w:tcPr>
            <w:tcW w:type="dxa" w:w="820"/>
            <w:gridSpan w:val="1"/>
            <w:tcBorders>
              <w:top w:val="none" w:color="FFFFFF" w:sz="0"/>
              <w:left w:val="none" w:color="FFFFFF" w:sz="0"/>
              <w:bottom w:val="single" w:color="000000" w:sz="12"/>
              <w:right w:val="none" w:color="FFFFFF" w:sz="0"/>
            </w:tcBorders>
            <w:tcMar>
              <w:top w:type="dxa" w:w="40"/>
              <w:left w:type="dxa" w:w="60"/>
              <w:bottom w:type="dxa" w:w="40"/>
              <w:right w:type="dxa" w:w="60"/>
            </w:tcMar>
            <w:vAlign w:val="center"/>
          </w:tcPr>
          <w:p>
            <w:pPr>
              <w:keepNext w:val="false"/>
              <w:spacing w:after="0" w:line="240"/>
              <w:jc w:val="center"/>
            </w:pPr>
            <w:r>
              <w:rPr>
                <w:rFonts w:ascii="Times New Roman" w:cs="Times New Roman" w:eastAsia="Times New Roman" w:hAnsi="Times New Roman"/>
                <w:b w:val="false"/>
                <w:bCs w:val="false"/>
                <w:sz w:val="19"/>
                <w:szCs w:val="19"/>
              </w:rPr>
              <w:t xml:space="preserve">0.12</w:t>
            </w:r>
          </w:p>
        </w:tc>
        <w:tc>
          <w:tcPr>
            <w:tcW w:type="dxa" w:w="820"/>
            <w:gridSpan w:val="1"/>
            <w:tcBorders>
              <w:top w:val="none" w:color="FFFFFF" w:sz="0"/>
              <w:left w:val="none" w:color="FFFFFF" w:sz="0"/>
              <w:bottom w:val="single" w:color="000000" w:sz="12"/>
              <w:right w:val="none" w:color="FFFFFF" w:sz="0"/>
            </w:tcBorders>
            <w:tcMar>
              <w:top w:type="dxa" w:w="40"/>
              <w:left w:type="dxa" w:w="60"/>
              <w:bottom w:type="dxa" w:w="40"/>
              <w:right w:type="dxa" w:w="60"/>
            </w:tcMar>
            <w:vAlign w:val="center"/>
          </w:tcPr>
          <w:p>
            <w:pPr>
              <w:keepNext w:val="false"/>
              <w:spacing w:after="0" w:line="240"/>
              <w:jc w:val="center"/>
            </w:pPr>
            <w:r>
              <w:rPr>
                <w:rFonts w:ascii="Times New Roman" w:cs="Times New Roman" w:eastAsia="Times New Roman" w:hAnsi="Times New Roman"/>
                <w:b w:val="false"/>
                <w:bCs w:val="false"/>
                <w:sz w:val="19"/>
                <w:szCs w:val="19"/>
              </w:rPr>
              <w:t xml:space="preserve">38.2</w:t>
            </w:r>
          </w:p>
        </w:tc>
        <w:tc>
          <w:tcPr>
            <w:tcW w:type="dxa" w:w="820"/>
            <w:gridSpan w:val="1"/>
            <w:tcBorders>
              <w:top w:val="none" w:color="FFFFFF" w:sz="0"/>
              <w:left w:val="none" w:color="FFFFFF" w:sz="0"/>
              <w:bottom w:val="single" w:color="000000" w:sz="12"/>
              <w:right w:val="none" w:color="FFFFFF" w:sz="0"/>
            </w:tcBorders>
            <w:tcMar>
              <w:top w:type="dxa" w:w="40"/>
              <w:left w:type="dxa" w:w="60"/>
              <w:bottom w:type="dxa" w:w="40"/>
              <w:right w:type="dxa" w:w="60"/>
            </w:tcMar>
            <w:vAlign w:val="center"/>
          </w:tcPr>
          <w:p>
            <w:pPr>
              <w:keepNext w:val="false"/>
              <w:spacing w:after="0" w:line="240"/>
              <w:jc w:val="center"/>
            </w:pPr>
            <w:r>
              <w:rPr>
                <w:rFonts w:ascii="Times New Roman" w:cs="Times New Roman" w:eastAsia="Times New Roman" w:hAnsi="Times New Roman"/>
                <w:b w:val="false"/>
                <w:bCs w:val="false"/>
                <w:sz w:val="19"/>
                <w:szCs w:val="19"/>
              </w:rPr>
              <w:t xml:space="preserve">41.9</w:t>
            </w:r>
          </w:p>
        </w:tc>
        <w:tc>
          <w:tcPr>
            <w:tcW w:type="dxa" w:w="820"/>
            <w:gridSpan w:val="1"/>
            <w:tcBorders>
              <w:top w:val="none" w:color="FFFFFF" w:sz="0"/>
              <w:left w:val="none" w:color="FFFFFF" w:sz="0"/>
              <w:bottom w:val="single" w:color="000000" w:sz="12"/>
              <w:right w:val="none" w:color="FFFFFF" w:sz="0"/>
            </w:tcBorders>
            <w:tcMar>
              <w:top w:type="dxa" w:w="40"/>
              <w:left w:type="dxa" w:w="60"/>
              <w:bottom w:type="dxa" w:w="40"/>
              <w:right w:type="dxa" w:w="60"/>
            </w:tcMar>
            <w:vAlign w:val="center"/>
          </w:tcPr>
          <w:p>
            <w:pPr>
              <w:keepNext w:val="false"/>
              <w:spacing w:after="0" w:line="240"/>
              <w:jc w:val="center"/>
            </w:pPr>
            <w:r>
              <w:rPr>
                <w:rFonts w:ascii="Times New Roman" w:cs="Times New Roman" w:eastAsia="Times New Roman" w:hAnsi="Times New Roman"/>
                <w:b w:val="false"/>
                <w:bCs w:val="false"/>
                <w:sz w:val="19"/>
                <w:szCs w:val="19"/>
              </w:rPr>
              <w:t xml:space="preserve">0.0413</w:t>
            </w:r>
          </w:p>
        </w:tc>
        <w:tc>
          <w:tcPr>
            <w:tcW w:type="dxa" w:w="820"/>
            <w:gridSpan w:val="1"/>
            <w:tcBorders>
              <w:top w:val="none" w:color="FFFFFF" w:sz="0"/>
              <w:left w:val="none" w:color="FFFFFF" w:sz="0"/>
              <w:bottom w:val="single" w:color="000000" w:sz="12"/>
              <w:right w:val="none" w:color="FFFFFF" w:sz="0"/>
            </w:tcBorders>
            <w:tcMar>
              <w:top w:type="dxa" w:w="40"/>
              <w:left w:type="dxa" w:w="60"/>
              <w:bottom w:type="dxa" w:w="40"/>
              <w:right w:type="dxa" w:w="60"/>
            </w:tcMar>
            <w:vAlign w:val="center"/>
          </w:tcPr>
          <w:p>
            <w:pPr>
              <w:keepNext w:val="false"/>
              <w:spacing w:after="0" w:line="240"/>
              <w:jc w:val="center"/>
            </w:pPr>
            <w:r>
              <w:rPr>
                <w:rFonts w:ascii="Times New Roman" w:cs="Times New Roman" w:eastAsia="Times New Roman" w:hAnsi="Times New Roman"/>
                <w:b w:val="false"/>
                <w:bCs w:val="false"/>
                <w:sz w:val="19"/>
                <w:szCs w:val="19"/>
              </w:rPr>
              <w:t xml:space="preserve">1944.9</w:t>
            </w:r>
          </w:p>
        </w:tc>
        <w:tc>
          <w:tcPr>
            <w:tcW w:type="dxa" w:w="820"/>
            <w:gridSpan w:val="1"/>
            <w:tcBorders>
              <w:top w:val="none" w:color="FFFFFF" w:sz="0"/>
              <w:left w:val="none" w:color="FFFFFF" w:sz="0"/>
              <w:bottom w:val="single" w:color="000000" w:sz="12"/>
              <w:right w:val="none" w:color="FFFFFF" w:sz="0"/>
            </w:tcBorders>
            <w:tcMar>
              <w:top w:type="dxa" w:w="40"/>
              <w:left w:type="dxa" w:w="60"/>
              <w:bottom w:type="dxa" w:w="40"/>
              <w:right w:type="dxa" w:w="60"/>
            </w:tcMar>
            <w:vAlign w:val="center"/>
          </w:tcPr>
          <w:p>
            <w:pPr>
              <w:keepNext w:val="false"/>
              <w:spacing w:after="0" w:line="240"/>
              <w:jc w:val="center"/>
            </w:pPr>
            <w:r>
              <w:rPr>
                <w:rFonts w:ascii="Times New Roman" w:cs="Times New Roman" w:eastAsia="Times New Roman" w:hAnsi="Times New Roman"/>
                <w:b w:val="false"/>
                <w:bCs w:val="false"/>
                <w:sz w:val="19"/>
                <w:szCs w:val="19"/>
              </w:rPr>
              <w:t xml:space="preserve">1.85</w:t>
            </w:r>
          </w:p>
        </w:tc>
        <w:tc>
          <w:tcPr>
            <w:tcW w:type="dxa" w:w="820"/>
            <w:gridSpan w:val="1"/>
            <w:tcBorders>
              <w:top w:val="none" w:color="FFFFFF" w:sz="0"/>
              <w:left w:val="none" w:color="FFFFFF" w:sz="0"/>
              <w:bottom w:val="single" w:color="000000" w:sz="12"/>
              <w:right w:val="none" w:color="FFFFFF" w:sz="0"/>
            </w:tcBorders>
            <w:tcMar>
              <w:top w:type="dxa" w:w="40"/>
              <w:left w:type="dxa" w:w="60"/>
              <w:bottom w:type="dxa" w:w="40"/>
              <w:right w:type="dxa" w:w="60"/>
            </w:tcMar>
            <w:vAlign w:val="center"/>
          </w:tcPr>
          <w:p>
            <w:pPr>
              <w:keepNext w:val="false"/>
              <w:spacing w:after="0" w:line="240"/>
              <w:jc w:val="center"/>
            </w:pPr>
            <w:r>
              <w:rPr>
                <w:rFonts w:ascii="Times New Roman" w:cs="Times New Roman" w:eastAsia="Times New Roman" w:hAnsi="Times New Roman"/>
                <w:b w:val="false"/>
                <w:bCs w:val="false"/>
                <w:sz w:val="19"/>
                <w:szCs w:val="19"/>
              </w:rPr>
              <w:t xml:space="preserve">253.4</w:t>
            </w:r>
          </w:p>
        </w:tc>
        <w:tc>
          <w:tcPr>
            <w:tcW w:type="dxa" w:w="820"/>
            <w:gridSpan w:val="1"/>
            <w:tcBorders>
              <w:top w:val="none" w:color="FFFFFF" w:sz="0"/>
              <w:left w:val="none" w:color="FFFFFF" w:sz="0"/>
              <w:bottom w:val="single" w:color="000000" w:sz="12"/>
              <w:right w:val="none" w:color="FFFFFF" w:sz="0"/>
            </w:tcBorders>
            <w:tcMar>
              <w:top w:type="dxa" w:w="40"/>
              <w:left w:type="dxa" w:w="60"/>
              <w:bottom w:type="dxa" w:w="40"/>
              <w:right w:type="dxa" w:w="60"/>
            </w:tcMar>
            <w:vAlign w:val="center"/>
          </w:tcPr>
          <w:p>
            <w:pPr>
              <w:keepNext w:val="false"/>
              <w:spacing w:after="0" w:line="240"/>
              <w:jc w:val="center"/>
            </w:pPr>
            <w:r>
              <w:rPr>
                <w:rFonts w:ascii="Times New Roman" w:cs="Times New Roman" w:eastAsia="Times New Roman" w:hAnsi="Times New Roman"/>
                <w:b w:val="false"/>
                <w:bCs w:val="false"/>
                <w:sz w:val="19"/>
                <w:szCs w:val="19"/>
              </w:rPr>
              <w:t xml:space="preserve">21.6</w:t>
            </w:r>
          </w:p>
        </w:tc>
        <w:tc>
          <w:tcPr>
            <w:tcW w:type="dxa" w:w="820"/>
            <w:gridSpan w:val="1"/>
            <w:tcBorders>
              <w:top w:val="none" w:color="FFFFFF" w:sz="0"/>
              <w:left w:val="none" w:color="FFFFFF" w:sz="0"/>
              <w:bottom w:val="single" w:color="000000" w:sz="12"/>
              <w:right w:val="none" w:color="FFFFFF" w:sz="0"/>
            </w:tcBorders>
            <w:tcMar>
              <w:top w:type="dxa" w:w="40"/>
              <w:left w:type="dxa" w:w="60"/>
              <w:bottom w:type="dxa" w:w="40"/>
              <w:right w:type="dxa" w:w="60"/>
            </w:tcMar>
            <w:vAlign w:val="center"/>
          </w:tcPr>
          <w:p>
            <w:pPr>
              <w:keepNext w:val="false"/>
              <w:spacing w:after="0" w:line="240"/>
              <w:jc w:val="center"/>
            </w:pPr>
            <w:r>
              <w:rPr>
                <w:rFonts w:ascii="Times New Roman" w:cs="Times New Roman" w:eastAsia="Times New Roman" w:hAnsi="Times New Roman"/>
                <w:b w:val="false"/>
                <w:bCs w:val="false"/>
                <w:sz w:val="19"/>
                <w:szCs w:val="19"/>
              </w:rPr>
              <w:t xml:space="preserve">16.3</w:t>
            </w:r>
          </w:p>
        </w:tc>
      </w:tr>
    </w:tbl>
    <w:p>
      <w:pPr>
        <w:spacing w:after="260" w:before="80" w:line="252"/>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Units: NO</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0"/>
          <w:szCs w:val="20"/>
        </w:rPr>
        <w:t xml:space="preserve"> and SO</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0"/>
          <w:szCs w:val="20"/>
        </w:rPr>
        <w:t xml:space="preserve"> in µmol m</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 CO in mol m</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 CH</w:t>
      </w:r>
      <w:r>
        <w:rPr>
          <w:rFonts w:ascii="Times New Roman" w:cs="Times New Roman" w:eastAsia="Times New Roman" w:hAnsi="Times New Roman"/>
          <w:sz w:val="20"/>
          <w:szCs w:val="20"/>
          <w:vertAlign w:val="subscript"/>
        </w:rPr>
        <w:t xml:space="preserve">4</w:t>
      </w:r>
      <w:r>
        <w:rPr>
          <w:rFonts w:ascii="Times New Roman" w:cs="Times New Roman" w:eastAsia="Times New Roman" w:hAnsi="Times New Roman"/>
          <w:sz w:val="20"/>
          <w:szCs w:val="20"/>
        </w:rPr>
        <w:t xml:space="preserve"> in ppb; HCHO in 10</w:t>
      </w:r>
      <w:r>
        <w:rPr>
          <w:rFonts w:ascii="Times New Roman" w:cs="Times New Roman" w:eastAsia="Times New Roman" w:hAnsi="Times New Roman"/>
          <w:sz w:val="20"/>
          <w:szCs w:val="20"/>
          <w:vertAlign w:val="superscript"/>
        </w:rPr>
        <w:t xml:space="preserve">−4</w:t>
      </w:r>
      <w:r>
        <w:rPr>
          <w:rFonts w:ascii="Times New Roman" w:cs="Times New Roman" w:eastAsia="Times New Roman" w:hAnsi="Times New Roman"/>
          <w:sz w:val="20"/>
          <w:szCs w:val="20"/>
        </w:rPr>
        <w:t xml:space="preserve"> mol m</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 O</w:t>
      </w:r>
      <w:r>
        <w:rPr>
          <w:rFonts w:ascii="Times New Roman" w:cs="Times New Roman" w:eastAsia="Times New Roman" w:hAnsi="Times New Roman"/>
          <w:sz w:val="20"/>
          <w:szCs w:val="20"/>
          <w:vertAlign w:val="subscript"/>
        </w:rPr>
        <w:t xml:space="preserve">3</w:t>
      </w:r>
      <w:r>
        <w:rPr>
          <w:rFonts w:ascii="Times New Roman" w:cs="Times New Roman" w:eastAsia="Times New Roman" w:hAnsi="Times New Roman"/>
          <w:sz w:val="20"/>
          <w:szCs w:val="20"/>
        </w:rPr>
        <w:t xml:space="preserve"> in DU; LST in °C. * Spatial coverage below 50%. n/a = not available (coverage below 1%).</w:t>
      </w:r>
    </w:p>
    <w:p>
      <w:pPr>
        <w:keepNext/>
        <w:spacing w:after="80" w:before="120"/>
        <w:jc w:val="center"/>
      </w:pPr>
      <w:r>
        <w:drawing>
          <wp:inline distT="0" distB="0" distL="0" distR="0">
            <wp:extent cx="5200650" cy="7762875"/>
            <wp:effectExtent t="0" r="0" b="0" l="0"/>
            <wp:docPr id="1" name="Figure S1" descr="Monthly maps of AOD at 550 nm (median; inland water masked) over Bangladesh in 2025. All panels share one colour scale. Months with spatial coverage below 50% are labelled as having insufficient data." title="Figure 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00650" cy="7762875"/>
                    </a:xfrm>
                    <a:prstGeom prst="rect">
                      <a:avLst/>
                    </a:prstGeom>
                  </pic:spPr>
                </pic:pic>
              </a:graphicData>
            </a:graphic>
          </wp:inline>
        </w:drawing>
      </w:r>
    </w:p>
    <w:p>
      <w:pPr>
        <w:keepLines/>
        <w:spacing w:after="240" w:line="276"/>
        <w:jc w:val="both"/>
      </w:pPr>
      <w:r>
        <w:rPr>
          <w:rFonts w:ascii="Times New Roman" w:cs="Times New Roman" w:eastAsia="Times New Roman" w:hAnsi="Times New Roman"/>
          <w:b/>
          <w:bCs/>
          <w:sz w:val="22"/>
          <w:szCs w:val="22"/>
        </w:rPr>
        <w:t xml:space="preserve">Figure S1. </w:t>
      </w:r>
      <w:r>
        <w:rPr>
          <w:rFonts w:ascii="Times New Roman" w:cs="Times New Roman" w:eastAsia="Times New Roman" w:hAnsi="Times New Roman"/>
          <w:sz w:val="22"/>
          <w:szCs w:val="22"/>
        </w:rPr>
        <w:t xml:space="preserve">Monthly maps of AOD at 550 nm (median; inland water masked) over Bangladesh in 2025. All panels share one colour scale. Months with spatial coverage below 50% are labelled as having insufficient data.</w:t>
      </w:r>
    </w:p>
    <w:p>
      <w:pPr>
        <w:keepNext/>
        <w:spacing w:after="80" w:before="120"/>
        <w:jc w:val="center"/>
      </w:pPr>
      <w:r>
        <w:drawing>
          <wp:inline distT="0" distB="0" distL="0" distR="0">
            <wp:extent cx="5200650" cy="7762875"/>
            <wp:effectExtent t="0" r="0" b="0" l="0"/>
            <wp:docPr id="1" name="Figure S2" descr="Monthly maps of UV aerosol index over Bangladesh in 2025. All panels share one colour scale. Months with spatial coverage below 50% are labelled as having insufficient data." title="Figure 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200650" cy="7762875"/>
                    </a:xfrm>
                    <a:prstGeom prst="rect">
                      <a:avLst/>
                    </a:prstGeom>
                  </pic:spPr>
                </pic:pic>
              </a:graphicData>
            </a:graphic>
          </wp:inline>
        </w:drawing>
      </w:r>
    </w:p>
    <w:p>
      <w:pPr>
        <w:keepLines/>
        <w:spacing w:after="240" w:line="276"/>
        <w:jc w:val="both"/>
      </w:pPr>
      <w:r>
        <w:rPr>
          <w:rFonts w:ascii="Times New Roman" w:cs="Times New Roman" w:eastAsia="Times New Roman" w:hAnsi="Times New Roman"/>
          <w:b/>
          <w:bCs/>
          <w:sz w:val="22"/>
          <w:szCs w:val="22"/>
        </w:rPr>
        <w:t xml:space="preserve">Figure S2. </w:t>
      </w:r>
      <w:r>
        <w:rPr>
          <w:rFonts w:ascii="Times New Roman" w:cs="Times New Roman" w:eastAsia="Times New Roman" w:hAnsi="Times New Roman"/>
          <w:sz w:val="22"/>
          <w:szCs w:val="22"/>
        </w:rPr>
        <w:t xml:space="preserve">Monthly maps of UV aerosol index over Bangladesh in 2025. All panels share one colour scale. Months with spatial coverage below 50% are labelled as having insufficient data.</w:t>
      </w:r>
    </w:p>
    <w:p>
      <w:pPr>
        <w:keepNext/>
        <w:spacing w:after="80" w:before="120"/>
        <w:jc w:val="center"/>
      </w:pPr>
      <w:r>
        <w:drawing>
          <wp:inline distT="0" distB="0" distL="0" distR="0">
            <wp:extent cx="5200650" cy="7762875"/>
            <wp:effectExtent t="0" r="0" b="0" l="0"/>
            <wp:docPr id="1" name="Figure S3" descr="Monthly maps of tropospheric NO2 column over Bangladesh in 2025. All panels share one colour scale. Months with spatial coverage below 50% are labelled as having insufficient data." title="Figure 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200650" cy="7762875"/>
                    </a:xfrm>
                    <a:prstGeom prst="rect">
                      <a:avLst/>
                    </a:prstGeom>
                  </pic:spPr>
                </pic:pic>
              </a:graphicData>
            </a:graphic>
          </wp:inline>
        </w:drawing>
      </w:r>
    </w:p>
    <w:p>
      <w:pPr>
        <w:keepLines/>
        <w:spacing w:after="240" w:line="276"/>
        <w:jc w:val="both"/>
      </w:pPr>
      <w:r>
        <w:rPr>
          <w:rFonts w:ascii="Times New Roman" w:cs="Times New Roman" w:eastAsia="Times New Roman" w:hAnsi="Times New Roman"/>
          <w:b/>
          <w:bCs/>
          <w:sz w:val="22"/>
          <w:szCs w:val="22"/>
        </w:rPr>
        <w:t xml:space="preserve">Figure S3. </w:t>
      </w:r>
      <w:r>
        <w:rPr>
          <w:rFonts w:ascii="Times New Roman" w:cs="Times New Roman" w:eastAsia="Times New Roman" w:hAnsi="Times New Roman"/>
          <w:sz w:val="22"/>
          <w:szCs w:val="22"/>
        </w:rPr>
        <w:t xml:space="preserve">Monthly maps of tropospheric NO</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column over Bangladesh in 2025. All panels share one colour scale. Months with spatial coverage below 50% are labelled as having insufficient data.</w:t>
      </w:r>
    </w:p>
    <w:p>
      <w:pPr>
        <w:keepNext/>
        <w:spacing w:after="80" w:before="120"/>
        <w:jc w:val="center"/>
      </w:pPr>
      <w:r>
        <w:drawing>
          <wp:inline distT="0" distB="0" distL="0" distR="0">
            <wp:extent cx="5200650" cy="7762875"/>
            <wp:effectExtent t="0" r="0" b="0" l="0"/>
            <wp:docPr id="1" name="Figure S4" descr="Monthly maps of SO2 column over Bangladesh in 2025. All panels share one colour scale. Months with spatial coverage below 50% are labelled as having insufficient data." title="Figure S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200650" cy="7762875"/>
                    </a:xfrm>
                    <a:prstGeom prst="rect">
                      <a:avLst/>
                    </a:prstGeom>
                  </pic:spPr>
                </pic:pic>
              </a:graphicData>
            </a:graphic>
          </wp:inline>
        </w:drawing>
      </w:r>
    </w:p>
    <w:p>
      <w:pPr>
        <w:keepLines/>
        <w:spacing w:after="240" w:line="276"/>
        <w:jc w:val="both"/>
      </w:pPr>
      <w:r>
        <w:rPr>
          <w:rFonts w:ascii="Times New Roman" w:cs="Times New Roman" w:eastAsia="Times New Roman" w:hAnsi="Times New Roman"/>
          <w:b/>
          <w:bCs/>
          <w:sz w:val="22"/>
          <w:szCs w:val="22"/>
        </w:rPr>
        <w:t xml:space="preserve">Figure S4. </w:t>
      </w:r>
      <w:r>
        <w:rPr>
          <w:rFonts w:ascii="Times New Roman" w:cs="Times New Roman" w:eastAsia="Times New Roman" w:hAnsi="Times New Roman"/>
          <w:sz w:val="22"/>
          <w:szCs w:val="22"/>
        </w:rPr>
        <w:t xml:space="preserve">Monthly maps of SO</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column over Bangladesh in 2025. All panels share one colour scale. Months with spatial coverage below 50% are labelled as having insufficient data.</w:t>
      </w:r>
    </w:p>
    <w:p>
      <w:pPr>
        <w:keepNext/>
        <w:spacing w:after="80" w:before="120"/>
        <w:jc w:val="center"/>
      </w:pPr>
      <w:r>
        <w:drawing>
          <wp:inline distT="0" distB="0" distL="0" distR="0">
            <wp:extent cx="5200650" cy="7762875"/>
            <wp:effectExtent t="0" r="0" b="0" l="0"/>
            <wp:docPr id="1" name="Figure S5" descr="Monthly maps of CO column over Bangladesh in 2025. All panels share one colour scale. Months with spatial coverage below 50% are labelled as having insufficient data." title="Figure S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200650" cy="7762875"/>
                    </a:xfrm>
                    <a:prstGeom prst="rect">
                      <a:avLst/>
                    </a:prstGeom>
                  </pic:spPr>
                </pic:pic>
              </a:graphicData>
            </a:graphic>
          </wp:inline>
        </w:drawing>
      </w:r>
    </w:p>
    <w:p>
      <w:pPr>
        <w:keepLines/>
        <w:spacing w:after="240" w:line="276"/>
        <w:jc w:val="both"/>
      </w:pPr>
      <w:r>
        <w:rPr>
          <w:rFonts w:ascii="Times New Roman" w:cs="Times New Roman" w:eastAsia="Times New Roman" w:hAnsi="Times New Roman"/>
          <w:b/>
          <w:bCs/>
          <w:sz w:val="22"/>
          <w:szCs w:val="22"/>
        </w:rPr>
        <w:t xml:space="preserve">Figure S5. </w:t>
      </w:r>
      <w:r>
        <w:rPr>
          <w:rFonts w:ascii="Times New Roman" w:cs="Times New Roman" w:eastAsia="Times New Roman" w:hAnsi="Times New Roman"/>
          <w:sz w:val="22"/>
          <w:szCs w:val="22"/>
        </w:rPr>
        <w:t xml:space="preserve">Monthly maps of CO column over Bangladesh in 2025. All panels share one colour scale. Months with spatial coverage below 50% are labelled as having insufficient data.</w:t>
      </w:r>
    </w:p>
    <w:p>
      <w:pPr>
        <w:keepNext/>
        <w:spacing w:after="80" w:before="120"/>
        <w:jc w:val="center"/>
      </w:pPr>
      <w:r>
        <w:drawing>
          <wp:inline distT="0" distB="0" distL="0" distR="0">
            <wp:extent cx="5200650" cy="7762875"/>
            <wp:effectExtent t="0" r="0" b="0" l="0"/>
            <wp:docPr id="1" name="Figure S6" descr="Monthly maps of column-averaged CH4 over Bangladesh in 2025. All panels share one colour scale. Months with spatial coverage below 50% are labelled as having insufficient data." title="Figure S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200650" cy="7762875"/>
                    </a:xfrm>
                    <a:prstGeom prst="rect">
                      <a:avLst/>
                    </a:prstGeom>
                  </pic:spPr>
                </pic:pic>
              </a:graphicData>
            </a:graphic>
          </wp:inline>
        </w:drawing>
      </w:r>
    </w:p>
    <w:p>
      <w:pPr>
        <w:keepLines/>
        <w:spacing w:after="240" w:line="276"/>
        <w:jc w:val="both"/>
      </w:pPr>
      <w:r>
        <w:rPr>
          <w:rFonts w:ascii="Times New Roman" w:cs="Times New Roman" w:eastAsia="Times New Roman" w:hAnsi="Times New Roman"/>
          <w:b/>
          <w:bCs/>
          <w:sz w:val="22"/>
          <w:szCs w:val="22"/>
        </w:rPr>
        <w:t xml:space="preserve">Figure S6. </w:t>
      </w:r>
      <w:r>
        <w:rPr>
          <w:rFonts w:ascii="Times New Roman" w:cs="Times New Roman" w:eastAsia="Times New Roman" w:hAnsi="Times New Roman"/>
          <w:sz w:val="22"/>
          <w:szCs w:val="22"/>
        </w:rPr>
        <w:t xml:space="preserve">Monthly maps of column-averaged CH</w:t>
      </w:r>
      <w:r>
        <w:rPr>
          <w:rFonts w:ascii="Times New Roman" w:cs="Times New Roman" w:eastAsia="Times New Roman" w:hAnsi="Times New Roman"/>
          <w:sz w:val="22"/>
          <w:szCs w:val="22"/>
          <w:vertAlign w:val="subscript"/>
        </w:rPr>
        <w:t xml:space="preserve">4</w:t>
      </w:r>
      <w:r>
        <w:rPr>
          <w:rFonts w:ascii="Times New Roman" w:cs="Times New Roman" w:eastAsia="Times New Roman" w:hAnsi="Times New Roman"/>
          <w:sz w:val="22"/>
          <w:szCs w:val="22"/>
        </w:rPr>
        <w:t xml:space="preserve"> over Bangladesh in 2025. All panels share one colour scale. Months with spatial coverage below 50% are labelled as having insufficient data.</w:t>
      </w:r>
    </w:p>
    <w:p>
      <w:pPr>
        <w:keepNext/>
        <w:spacing w:after="80" w:before="120"/>
        <w:jc w:val="center"/>
      </w:pPr>
      <w:r>
        <w:drawing>
          <wp:inline distT="0" distB="0" distL="0" distR="0">
            <wp:extent cx="5200650" cy="7762875"/>
            <wp:effectExtent t="0" r="0" b="0" l="0"/>
            <wp:docPr id="1" name="Figure S7" descr="Monthly maps of tropospheric HCHO column over Bangladesh in 2025. All panels share one colour scale. Months with spatial coverage below 50% are labelled as having insufficient data." title="Figure S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200650" cy="7762875"/>
                    </a:xfrm>
                    <a:prstGeom prst="rect">
                      <a:avLst/>
                    </a:prstGeom>
                  </pic:spPr>
                </pic:pic>
              </a:graphicData>
            </a:graphic>
          </wp:inline>
        </w:drawing>
      </w:r>
    </w:p>
    <w:p>
      <w:pPr>
        <w:keepLines/>
        <w:spacing w:after="240" w:line="276"/>
        <w:jc w:val="both"/>
      </w:pPr>
      <w:r>
        <w:rPr>
          <w:rFonts w:ascii="Times New Roman" w:cs="Times New Roman" w:eastAsia="Times New Roman" w:hAnsi="Times New Roman"/>
          <w:b/>
          <w:bCs/>
          <w:sz w:val="22"/>
          <w:szCs w:val="22"/>
        </w:rPr>
        <w:t xml:space="preserve">Figure S7. </w:t>
      </w:r>
      <w:r>
        <w:rPr>
          <w:rFonts w:ascii="Times New Roman" w:cs="Times New Roman" w:eastAsia="Times New Roman" w:hAnsi="Times New Roman"/>
          <w:sz w:val="22"/>
          <w:szCs w:val="22"/>
        </w:rPr>
        <w:t xml:space="preserve">Monthly maps of tropospheric HCHO column over Bangladesh in 2025. All panels share one colour scale. Months with spatial coverage below 50% are labelled as having insufficient data.</w:t>
      </w:r>
    </w:p>
    <w:p>
      <w:pPr>
        <w:keepNext/>
        <w:spacing w:after="80" w:before="120"/>
        <w:jc w:val="center"/>
      </w:pPr>
      <w:r>
        <w:drawing>
          <wp:inline distT="0" distB="0" distL="0" distR="0">
            <wp:extent cx="5200650" cy="7762875"/>
            <wp:effectExtent t="0" r="0" b="0" l="0"/>
            <wp:docPr id="1" name="Figure S8" descr="Monthly maps of total O3 column over Bangladesh in 2025. All panels share one colour scale. Months with spatial coverage below 50% are labelled as having insufficient data." title="Figure S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200650" cy="7762875"/>
                    </a:xfrm>
                    <a:prstGeom prst="rect">
                      <a:avLst/>
                    </a:prstGeom>
                  </pic:spPr>
                </pic:pic>
              </a:graphicData>
            </a:graphic>
          </wp:inline>
        </w:drawing>
      </w:r>
    </w:p>
    <w:p>
      <w:pPr>
        <w:keepLines/>
        <w:spacing w:after="240" w:line="276"/>
        <w:jc w:val="both"/>
      </w:pPr>
      <w:r>
        <w:rPr>
          <w:rFonts w:ascii="Times New Roman" w:cs="Times New Roman" w:eastAsia="Times New Roman" w:hAnsi="Times New Roman"/>
          <w:b/>
          <w:bCs/>
          <w:sz w:val="22"/>
          <w:szCs w:val="22"/>
        </w:rPr>
        <w:t xml:space="preserve">Figure S8. </w:t>
      </w:r>
      <w:r>
        <w:rPr>
          <w:rFonts w:ascii="Times New Roman" w:cs="Times New Roman" w:eastAsia="Times New Roman" w:hAnsi="Times New Roman"/>
          <w:sz w:val="22"/>
          <w:szCs w:val="22"/>
        </w:rPr>
        <w:t xml:space="preserve">Monthly maps of total O</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column over Bangladesh in 2025. All panels share one colour scale. Months with spatial coverage below 50% are labelled as having insufficient data.</w:t>
      </w:r>
    </w:p>
    <w:p>
      <w:pPr>
        <w:keepNext/>
        <w:spacing w:after="80" w:before="120"/>
        <w:jc w:val="center"/>
      </w:pPr>
      <w:r>
        <w:drawing>
          <wp:inline distT="0" distB="0" distL="0" distR="0">
            <wp:extent cx="5200650" cy="7762875"/>
            <wp:effectExtent t="0" r="0" b="0" l="0"/>
            <wp:docPr id="1" name="Figure S9" descr="Monthly maps of daytime LST over Bangladesh in 2025. All panels share one colour scale. Months with spatial coverage below 50% are labelled as having insufficient data." title="Figure S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200650" cy="7762875"/>
                    </a:xfrm>
                    <a:prstGeom prst="rect">
                      <a:avLst/>
                    </a:prstGeom>
                  </pic:spPr>
                </pic:pic>
              </a:graphicData>
            </a:graphic>
          </wp:inline>
        </w:drawing>
      </w:r>
    </w:p>
    <w:p>
      <w:pPr>
        <w:keepLines/>
        <w:spacing w:after="240" w:line="276"/>
        <w:jc w:val="both"/>
      </w:pPr>
      <w:r>
        <w:rPr>
          <w:rFonts w:ascii="Times New Roman" w:cs="Times New Roman" w:eastAsia="Times New Roman" w:hAnsi="Times New Roman"/>
          <w:b/>
          <w:bCs/>
          <w:sz w:val="22"/>
          <w:szCs w:val="22"/>
        </w:rPr>
        <w:t xml:space="preserve">Figure S9. </w:t>
      </w:r>
      <w:r>
        <w:rPr>
          <w:rFonts w:ascii="Times New Roman" w:cs="Times New Roman" w:eastAsia="Times New Roman" w:hAnsi="Times New Roman"/>
          <w:sz w:val="22"/>
          <w:szCs w:val="22"/>
        </w:rPr>
        <w:t xml:space="preserve">Monthly maps of daytime LST over Bangladesh in 2025. All panels share one colour scale. Months with spatial coverage below 50% are labelled as having insufficient data.</w:t>
      </w:r>
    </w:p>
    <w:p>
      <w:pPr>
        <w:keepNext/>
        <w:spacing w:after="80" w:before="120"/>
        <w:jc w:val="center"/>
      </w:pPr>
      <w:r>
        <w:drawing>
          <wp:inline distT="0" distB="0" distL="0" distR="0">
            <wp:extent cx="5200650" cy="7762875"/>
            <wp:effectExtent t="0" r="0" b="0" l="0"/>
            <wp:docPr id="1" name="Figure S10" descr="Monthly maps of nighttime LST over Bangladesh in 2025. All panels share one colour scale. Months with spatial coverage below 50% are labelled as having insufficient data." title="Figure 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200650" cy="7762875"/>
                    </a:xfrm>
                    <a:prstGeom prst="rect">
                      <a:avLst/>
                    </a:prstGeom>
                  </pic:spPr>
                </pic:pic>
              </a:graphicData>
            </a:graphic>
          </wp:inline>
        </w:drawing>
      </w:r>
    </w:p>
    <w:p>
      <w:pPr>
        <w:keepLines/>
        <w:spacing w:after="240" w:line="276"/>
        <w:jc w:val="both"/>
      </w:pPr>
      <w:r>
        <w:rPr>
          <w:rFonts w:ascii="Times New Roman" w:cs="Times New Roman" w:eastAsia="Times New Roman" w:hAnsi="Times New Roman"/>
          <w:b/>
          <w:bCs/>
          <w:sz w:val="22"/>
          <w:szCs w:val="22"/>
        </w:rPr>
        <w:t xml:space="preserve">Figure S10. </w:t>
      </w:r>
      <w:r>
        <w:rPr>
          <w:rFonts w:ascii="Times New Roman" w:cs="Times New Roman" w:eastAsia="Times New Roman" w:hAnsi="Times New Roman"/>
          <w:sz w:val="22"/>
          <w:szCs w:val="22"/>
        </w:rPr>
        <w:t xml:space="preserve">Monthly maps of nighttime LST over Bangladesh in 2025. All panels share one colour scale. Months with spatial coverage below 50% are labelled as having insufficient data.</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00" w:hanging="38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bcbc6c99d0b0610f7d0e0e694cab7044a34314f.jpg"/><Relationship Id="rId9" Type="http://schemas.openxmlformats.org/officeDocument/2006/relationships/image" Target="media/13dd34a52f520759d0787ba0e2df3b3d16ce4413.png"/><Relationship Id="rId10" Type="http://schemas.openxmlformats.org/officeDocument/2006/relationships/image" Target="media/2e27bbdfbb4df1813bdf5045162eb69541902c89.jpg"/><Relationship Id="rId11" Type="http://schemas.openxmlformats.org/officeDocument/2006/relationships/image" Target="media/b6435082328ce0382032ad8535848e02a603351e.jpg"/><Relationship Id="rId12" Type="http://schemas.openxmlformats.org/officeDocument/2006/relationships/image" Target="media/7cfa021bd42df782eef0b750fc88f3f60e15063b.jpg"/><Relationship Id="rId13" Type="http://schemas.openxmlformats.org/officeDocument/2006/relationships/image" Target="media/fe2bd1457d32fc60aab2cc83a93ff89eaa9db50c.png"/><Relationship Id="rId14" Type="http://schemas.openxmlformats.org/officeDocument/2006/relationships/image" Target="media/2d5de38a0c26e05ee21e2081b6a5850506cce24c.jpg"/><Relationship Id="rId15" Type="http://schemas.openxmlformats.org/officeDocument/2006/relationships/image" Target="media/2c97e2d194e7dd3897d417691a3b906c66416b18.jpg"/><Relationship Id="rId16" Type="http://schemas.openxmlformats.org/officeDocument/2006/relationships/image" Target="media/a16305daa1512fe0ef9bdb20be2ef6d624cd762f.png"/><Relationship Id="rId17" Type="http://schemas.openxmlformats.org/officeDocument/2006/relationships/image" Target="media/f28fed5a9ce0693a563c8074f068aef0aa9c14b8.png"/><Relationship Id="rId18" Type="http://schemas.openxmlformats.org/officeDocument/2006/relationships/image" Target="media/f36d3c15767d467a4b37d8289a9fc1a31b697fe0.jpg"/><Relationship Id="rId19" Type="http://schemas.openxmlformats.org/officeDocument/2006/relationships/image" Target="media/4333a893bf3d25d45fc74e541a2c5a2986490b2d.jpg"/><Relationship Id="rId20" Type="http://schemas.openxmlformats.org/officeDocument/2006/relationships/image" Target="media/e06036a14f888b92bd0dfb287c1996f104e67da1.png"/><Relationship Id="rId21" Type="http://schemas.openxmlformats.org/officeDocument/2006/relationships/image" Target="media/e5f5b67269455b062c2b4f8cd33d77b45f55de87.png"/><Relationship Id="rId22" Type="http://schemas.openxmlformats.org/officeDocument/2006/relationships/image" Target="media/295e18b1212a5427ec6b0bb83ffe0db4e8046a8d.jpg"/><Relationship Id="rId23" Type="http://schemas.openxmlformats.org/officeDocument/2006/relationships/image" Target="media/0cb7acc605b015fe0cf9d693fab795c1b1656366.jpg"/><Relationship Id="rId24" Type="http://schemas.openxmlformats.org/officeDocument/2006/relationships/image" Target="media/29b0cc71e0f45ddcfbbefa828e808d73ebda1b90.png"/><Relationship Id="rId25" Type="http://schemas.openxmlformats.org/officeDocument/2006/relationships/image" Target="media/57cf651644716a1c7b8c73d3e3c80b7667b71068.jpg"/><Relationship Id="rId26" Type="http://schemas.openxmlformats.org/officeDocument/2006/relationships/image" Target="media/2f82a8339ff43878f1efc39799443968eecaf9e3.jpg"/><Relationship Id="rId27" Type="http://schemas.openxmlformats.org/officeDocument/2006/relationships/image" Target="media/798dc36c71b3c8ab7a79569155745c19977b69b0.jpg"/><Relationship Id="rId28" Type="http://schemas.openxmlformats.org/officeDocument/2006/relationships/image" Target="media/a19a7aca6a6550459fca3a52cc8c21c0c7b03ea7.jpg"/><Relationship Id="rId29" Type="http://schemas.openxmlformats.org/officeDocument/2006/relationships/image" Target="media/2471b3412927f3017b6f4a00bb6b680d34609001.jpg"/><Relationship Id="rId30" Type="http://schemas.openxmlformats.org/officeDocument/2006/relationships/image" Target="media/05cccefdcf55d05403c80b8ccd8ab1e45b778e3c.jpg"/><Relationship Id="rId31" Type="http://schemas.openxmlformats.org/officeDocument/2006/relationships/image" Target="media/7bba46873e0dd2b3f0fdaff8c94db8b537c5998b.jpg"/><Relationship Id="rId32" Type="http://schemas.openxmlformats.org/officeDocument/2006/relationships/image" Target="media/3346b1a3dcf4dcb3da23aaa1a3cc85e6d9de312e.jpg"/><Relationship Id="rId33" Type="http://schemas.openxmlformats.org/officeDocument/2006/relationships/image" Target="media/cfa62b3ccc50be9432117253ffe9fad32f23bc6e.jpg"/><Relationship Id="rId34" Type="http://schemas.openxmlformats.org/officeDocument/2006/relationships/image" Target="media/89b7574b7e2946d694491f421d229c5a1981a7ad.jpg"/><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Spatio-Temporal Patterns of Satellite-Observed Air Pollutants and Their Relationship With Land Surface Temperature Over Bangladesh in 2025: A Google Earth Engine–Based Assessment</dc:title>
  <dc:creator>Draft manuscript</dc:creator>
  <cp:lastModifiedBy>Un-named</cp:lastModifiedBy>
  <cp:revision>1</cp:revision>
  <dcterms:created xsi:type="dcterms:W3CDTF">2026-10-08T01:09:28.386Z</dcterms:created>
  <dcterms:modified xsi:type="dcterms:W3CDTF">2026-10-08T01:09:28.386Z</dcterms:modified>
</cp:coreProperties>
</file>

<file path=docProps/custom.xml><?xml version="1.0" encoding="utf-8"?>
<Properties xmlns="http://schemas.openxmlformats.org/officeDocument/2006/custom-properties" xmlns:vt="http://schemas.openxmlformats.org/officeDocument/2006/docPropsVTypes"/>
</file>