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Nola Lum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Berkeley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, CA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                 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nolalum@berkeley.edu</w:t>
        </w:r>
      </w:hyperlink>
      <w:r w:rsidDel="00000000" w:rsidR="00000000" w:rsidRPr="00000000">
        <w:rPr>
          <w:rFonts w:ascii="Lato" w:cs="Lato" w:eastAsia="Lato" w:hAnsi="Lato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|</w:t>
      </w:r>
      <w:r w:rsidDel="00000000" w:rsidR="00000000" w:rsidRPr="00000000">
        <w:rPr>
          <w:rFonts w:ascii="Lato" w:cs="Lato" w:eastAsia="Lato" w:hAnsi="Lato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(510) 219-7707 |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www.linkedin.com/in/nolalum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Lato" w:cs="Lato" w:eastAsia="Lato" w:hAnsi="La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u w:val="single"/>
          <w:rtl w:val="0"/>
        </w:rPr>
        <w:t xml:space="preserve">Education</w:t>
      </w: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University of California, Berkeley - </w:t>
      </w:r>
      <w:r w:rsidDel="00000000" w:rsidR="00000000" w:rsidRPr="00000000">
        <w:rPr>
          <w:rFonts w:ascii="Lato" w:cs="Lato" w:eastAsia="Lato" w:hAnsi="Lato"/>
          <w:i w:val="1"/>
          <w:iCs w:val="1"/>
          <w:color w:val="000000"/>
          <w:rtl w:val="0"/>
        </w:rPr>
        <w:t xml:space="preserve">BA in Economics and Political Science     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                     </w:t>
      </w: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Expected Graduation: May 2028 | GPA: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3.6 / 4.0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b w:val="1"/>
          <w:bCs w:val="1"/>
          <w:color w:val="000000"/>
          <w:u w:val="single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Business Development Representative, BizDepot, Remote                                                                                                                 June 2026 – Present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Conduct 40+ daily outbound calls to prospective business sellers, supplemented by targeted email and text outreach, to re-engage leads and coordinate follow-up meetings with the Chief Acquisition Officer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Manage prospective seller relationships throughout the pre-listing process, addressing routine questions and objections and maintaining consistent follow-up across the M&amp;A pipeline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Research seller-specific context and review prior interactions to personalize outreach while maintaining accurate CRM records and pipeline status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 Investment Banking Intern (Accelerated Track), Watercress Capital, Remote                                                                   May 2026 – July 2026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40" w:lineRule="auto"/>
        <w:ind w:left="720" w:right="60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Constructed financial summaries from corporate tax returns and normalized historical earnings through EBITDA adjustments to evaluate acquisition targets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right="60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Developed scenario-based financial dashboards for acquisition targets, analyzing bear, base, and bull cases across growth, valuation, and debt service coverage metrics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240" w:lineRule="auto"/>
        <w:ind w:left="720" w:right="60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Prepared LOIs, purchase proposals, and a CIM as part of M&amp;A transaction analysis and training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Equity Research Analyst - Consumer and Retail, Global Delta Securities, Remote                                                          August 2025 - Present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Researched financial performance and industry trends across consumer and retail companies to support investment research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Evaluated company performance using financial metrics, earnings results, industry trends, and peer comparisons to develop investment theses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Produced equity research reports summarizing company analysis and investment recommendations for distribution through public and member channels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Summer Analyst, Tangor Consulting LLC, Remote                                                                                                                            June 2025 - August 2025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Identified and evaluated potential strategic buyers for an early-stage company based on acquisition history, strategic fit, and market positioning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Completed structured investment banking training and attended weekly discussions on ongoing transactions, developing familiarity with M&amp;A processes and transaction fundamentals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Business Consultant, Ascend Consulting Group, Berkeley, CA                                                                                                  February 2025 - Present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="240" w:lineRule="auto"/>
        <w:ind w:left="720" w:right="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highlight w:val="white"/>
          <w:rtl w:val="0"/>
        </w:rPr>
        <w:t xml:space="preserve">Conducted market and competitor analysis to identify growth opportunities for early-stage startups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240" w:lineRule="auto"/>
        <w:ind w:left="720" w:right="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highlight w:val="white"/>
          <w:rtl w:val="0"/>
        </w:rPr>
        <w:t xml:space="preserve">Synthesized user interview insights into actionable strategic recommendations to improve engagement and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b w:val="1"/>
          <w:bCs w:val="1"/>
          <w:color w:val="000000"/>
          <w:u w:val="single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u w:val="single"/>
          <w:rtl w:val="0"/>
        </w:rPr>
        <w:t xml:space="preserve">Awards and Honors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b w:val="1"/>
          <w:bCs w:val="1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President’s Volunteer Service Award, Silver Level                                                                                                                                                        March 2024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left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Recognized for completing over 175 hours of community service, contributing to the development of underprivileged communities through self-defense taekwondo instruction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jc w:val="left"/>
        <w:rPr>
          <w:rFonts w:ascii="Lato" w:cs="Lato" w:eastAsia="Lato" w:hAnsi="Lato"/>
          <w:b w:val="1"/>
          <w:bCs w:val="1"/>
          <w:color w:val="000000"/>
          <w:u w:val="single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240" w:lineRule="auto"/>
        <w:ind w:left="720" w:right="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Microsoft Excel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40" w:lineRule="auto"/>
        <w:ind w:left="720" w:right="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Microsoft PowerPoint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40" w:lineRule="auto"/>
        <w:ind w:left="720" w:right="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Market research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240" w:lineRule="auto"/>
        <w:ind w:left="720" w:right="0" w:hanging="36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Company &amp; Industry Research</w:t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olalum@berkeley.edu" TargetMode="External"/><Relationship Id="rId7" Type="http://schemas.openxmlformats.org/officeDocument/2006/relationships/hyperlink" Target="http://www.linkedin.com/in/nolalu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