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E0AE4" w:rsidRPr="00C33A80" w:rsidRDefault="000505D9" w:rsidP="000505D9">
      <w:pPr>
        <w:jc w:val="center"/>
        <w:rPr>
          <w:b/>
          <w:sz w:val="36"/>
          <w:szCs w:val="36"/>
          <w:u w:val="single"/>
        </w:rPr>
      </w:pPr>
      <w:r w:rsidRPr="00C33A80">
        <w:rPr>
          <w:b/>
          <w:sz w:val="36"/>
          <w:szCs w:val="36"/>
          <w:u w:val="single"/>
        </w:rPr>
        <w:t>INTERPRETATIONS</w:t>
      </w:r>
    </w:p>
    <w:p w:rsidR="00C33A80" w:rsidRPr="00C33A80" w:rsidRDefault="00C33A80" w:rsidP="009E0AE4">
      <w:pPr>
        <w:rPr>
          <w:sz w:val="28"/>
          <w:szCs w:val="28"/>
        </w:rPr>
      </w:pPr>
      <w:r w:rsidRPr="00C33A80">
        <w:rPr>
          <w:sz w:val="28"/>
          <w:szCs w:val="28"/>
        </w:rPr>
        <w:t xml:space="preserve">TASK </w:t>
      </w:r>
      <w:r>
        <w:rPr>
          <w:sz w:val="28"/>
          <w:szCs w:val="28"/>
        </w:rPr>
        <w:t>1</w:t>
      </w:r>
      <w:r w:rsidRPr="00C33A80">
        <w:rPr>
          <w:sz w:val="28"/>
          <w:szCs w:val="28"/>
        </w:rPr>
        <w:t xml:space="preserve"> - DEMOGRAPHIC EXPLORATION</w:t>
      </w:r>
    </w:p>
    <w:p w:rsidR="009E0AE4" w:rsidRDefault="000505D9" w:rsidP="009E0AE4">
      <w:r>
        <w:t>Table 1.1</w:t>
      </w:r>
    </w:p>
    <w:p w:rsidR="000505D9" w:rsidRDefault="000505D9" w:rsidP="009E0AE4">
      <w:r>
        <w:t>The table gives the summary of Baseline grouping variables in “adsl” dataset. The variables are AGE, HEIGHTBL, WEIGHTBL, BMIBL (Continuous variables) and SEX, RACE, ETHINICITY (categorical variables). From this table we can find the count, mean, median, standard deviation and range for the continuous variables and count and mean for the categorical variables.</w:t>
      </w:r>
    </w:p>
    <w:p w:rsidR="000505D9" w:rsidRDefault="000505D9" w:rsidP="009E0AE4"/>
    <w:p w:rsidR="000505D9" w:rsidRDefault="000505D9" w:rsidP="009E0AE4">
      <w:r>
        <w:t>Figure 1.1</w:t>
      </w:r>
    </w:p>
    <w:p w:rsidR="000505D9" w:rsidRDefault="000505D9" w:rsidP="009E0AE4">
      <w:r>
        <w:t>The given Sunburst chart explains the distribution of age groups in different treatment groups.</w:t>
      </w:r>
    </w:p>
    <w:p w:rsidR="000505D9" w:rsidRDefault="00276A0A" w:rsidP="000505D9">
      <w:pPr>
        <w:pStyle w:val="ListParagraph"/>
        <w:numPr>
          <w:ilvl w:val="0"/>
          <w:numId w:val="25"/>
        </w:numPr>
      </w:pPr>
      <w:r>
        <w:t>Majority of the study population belongs to the age group of 65 – 80(144).</w:t>
      </w:r>
    </w:p>
    <w:p w:rsidR="00276A0A" w:rsidRDefault="00276A0A" w:rsidP="000505D9">
      <w:pPr>
        <w:pStyle w:val="ListParagraph"/>
        <w:numPr>
          <w:ilvl w:val="0"/>
          <w:numId w:val="25"/>
        </w:numPr>
      </w:pPr>
      <w:r>
        <w:t>Least number of subjects belong to the age group of</w:t>
      </w:r>
      <w:r w:rsidR="001D5B9F">
        <w:t xml:space="preserve"> &lt;65 (33).</w:t>
      </w:r>
    </w:p>
    <w:p w:rsidR="00276A0A" w:rsidRDefault="001D5B9F" w:rsidP="005F52D9">
      <w:pPr>
        <w:pStyle w:val="ListParagraph"/>
        <w:numPr>
          <w:ilvl w:val="0"/>
          <w:numId w:val="25"/>
        </w:numPr>
      </w:pPr>
      <w:r>
        <w:t xml:space="preserve">In the age group &lt;65, count of Placebo is higher, in the group 65 – 80 </w:t>
      </w:r>
      <w:r w:rsidR="005F52D9">
        <w:t>Xanomeline high dose count is higher and in the age group &gt; 80 ,the count of Placebo is higher.</w:t>
      </w:r>
    </w:p>
    <w:p w:rsidR="000505D9" w:rsidRDefault="000505D9" w:rsidP="009E0AE4"/>
    <w:p w:rsidR="009E0AE4" w:rsidRDefault="000505D9" w:rsidP="009E0AE4">
      <w:r>
        <w:t>Figure 1.2</w:t>
      </w:r>
    </w:p>
    <w:p w:rsidR="009E0AE4" w:rsidRDefault="009E0AE4" w:rsidP="009E0AE4">
      <w:r>
        <w:t xml:space="preserve">The </w:t>
      </w:r>
      <w:r w:rsidR="0070454E">
        <w:t xml:space="preserve">inverted </w:t>
      </w:r>
      <w:r>
        <w:t>pyramid chart shows the distribution of subjects gender-wise in different treatment groups.</w:t>
      </w:r>
    </w:p>
    <w:p w:rsidR="009E0AE4" w:rsidRDefault="009E0AE4" w:rsidP="009E0AE4">
      <w:pPr>
        <w:pStyle w:val="ListParagraph"/>
        <w:numPr>
          <w:ilvl w:val="0"/>
          <w:numId w:val="3"/>
        </w:numPr>
      </w:pPr>
      <w:r>
        <w:t xml:space="preserve">The study population consists of 43.71% males and 56.29% </w:t>
      </w:r>
      <w:proofErr w:type="gramStart"/>
      <w:r>
        <w:t>females .</w:t>
      </w:r>
      <w:proofErr w:type="gramEnd"/>
    </w:p>
    <w:p w:rsidR="009E0AE4" w:rsidRDefault="004A0C87" w:rsidP="009E0AE4">
      <w:pPr>
        <w:pStyle w:val="ListParagraph"/>
        <w:numPr>
          <w:ilvl w:val="0"/>
          <w:numId w:val="3"/>
        </w:numPr>
      </w:pPr>
      <w:r>
        <w:t>Majority subjects in placebo and Xanomeline Low dose are females while in Xanomeline High dose it is males.</w:t>
      </w:r>
    </w:p>
    <w:p w:rsidR="004A0C87" w:rsidRDefault="004A0C87" w:rsidP="004A0C87"/>
    <w:p w:rsidR="004A0C87" w:rsidRDefault="004A0C87" w:rsidP="004A0C87">
      <w:r>
        <w:t>Figure 1.3</w:t>
      </w:r>
    </w:p>
    <w:p w:rsidR="004A0C87" w:rsidRDefault="004A0C87" w:rsidP="004A0C87">
      <w:r>
        <w:t>The Histogram shows the BMI-Group wise distribution of the study population.</w:t>
      </w:r>
    </w:p>
    <w:p w:rsidR="004A0C87" w:rsidRDefault="004A0C87" w:rsidP="004A0C87">
      <w:pPr>
        <w:pStyle w:val="ListParagraph"/>
        <w:numPr>
          <w:ilvl w:val="0"/>
          <w:numId w:val="4"/>
        </w:numPr>
      </w:pPr>
      <w:r>
        <w:t>Range of BMI group is 13.7-40.1.</w:t>
      </w:r>
    </w:p>
    <w:p w:rsidR="004A0C87" w:rsidRDefault="004A0C87" w:rsidP="004A0C87">
      <w:pPr>
        <w:pStyle w:val="ListParagraph"/>
        <w:numPr>
          <w:ilvl w:val="0"/>
          <w:numId w:val="4"/>
        </w:numPr>
      </w:pPr>
      <w:r>
        <w:t>Majority of study population has BMI &lt;25 which is the normal range for BMI.</w:t>
      </w:r>
    </w:p>
    <w:p w:rsidR="004A0C87" w:rsidRDefault="004A0C87" w:rsidP="004A0C87">
      <w:pPr>
        <w:pStyle w:val="ListParagraph"/>
        <w:numPr>
          <w:ilvl w:val="0"/>
          <w:numId w:val="4"/>
        </w:numPr>
      </w:pPr>
      <w:r>
        <w:t>Very less number of subjects have BMI &gt;=30.</w:t>
      </w:r>
    </w:p>
    <w:p w:rsidR="004A0C87" w:rsidRDefault="004A0C87" w:rsidP="004A0C87"/>
    <w:p w:rsidR="004A0C87" w:rsidRDefault="004A0C87" w:rsidP="004A0C87">
      <w:r>
        <w:t>Figure 1.4</w:t>
      </w:r>
    </w:p>
    <w:p w:rsidR="0070454E" w:rsidRDefault="0070454E" w:rsidP="0070454E">
      <w:r>
        <w:lastRenderedPageBreak/>
        <w:t>The stacked bar chart shows the discontinued reason-wise frequency of subjects taking 3 types of treatments. Here we have used the variable DCDECOD for the x-axis as it is the standard disposition term of the discontinuation reasons.</w:t>
      </w:r>
    </w:p>
    <w:p w:rsidR="0070454E" w:rsidRPr="008E2552" w:rsidRDefault="0070454E" w:rsidP="0070454E">
      <w:pPr>
        <w:pStyle w:val="ListParagraph"/>
        <w:numPr>
          <w:ilvl w:val="0"/>
          <w:numId w:val="11"/>
        </w:numPr>
      </w:pPr>
      <w:r w:rsidRPr="008E2552">
        <w:t xml:space="preserve">Major reason for discontinuation is adverse events and adverse events are more in </w:t>
      </w:r>
      <w:proofErr w:type="spellStart"/>
      <w:r w:rsidRPr="008E2552">
        <w:t>Xanomeline</w:t>
      </w:r>
      <w:proofErr w:type="spellEnd"/>
      <w:r w:rsidRPr="008E2552">
        <w:t xml:space="preserve"> Low dose. </w:t>
      </w:r>
    </w:p>
    <w:p w:rsidR="0070454E" w:rsidRPr="008E2552" w:rsidRDefault="0070454E" w:rsidP="0070454E">
      <w:pPr>
        <w:pStyle w:val="ListParagraph"/>
        <w:numPr>
          <w:ilvl w:val="0"/>
          <w:numId w:val="11"/>
        </w:numPr>
      </w:pPr>
      <w:r w:rsidRPr="008E2552">
        <w:t xml:space="preserve">Least important reason is lost to follow-up. </w:t>
      </w:r>
    </w:p>
    <w:p w:rsidR="0070454E" w:rsidRPr="008E2552" w:rsidRDefault="0070454E" w:rsidP="0070454E">
      <w:pPr>
        <w:pStyle w:val="ListParagraph"/>
        <w:numPr>
          <w:ilvl w:val="0"/>
          <w:numId w:val="11"/>
        </w:numPr>
      </w:pPr>
      <w:r w:rsidRPr="008E2552">
        <w:t xml:space="preserve">Number of discontinued subject counts is more in treatment with </w:t>
      </w:r>
      <w:proofErr w:type="spellStart"/>
      <w:r w:rsidRPr="008E2552">
        <w:t>Xanomeline</w:t>
      </w:r>
      <w:proofErr w:type="spellEnd"/>
      <w:r w:rsidRPr="008E2552">
        <w:t xml:space="preserve"> Low dose. </w:t>
      </w:r>
    </w:p>
    <w:p w:rsidR="0070454E" w:rsidRPr="008E2552" w:rsidRDefault="0070454E" w:rsidP="0070454E">
      <w:pPr>
        <w:pStyle w:val="ListParagraph"/>
        <w:numPr>
          <w:ilvl w:val="0"/>
          <w:numId w:val="11"/>
        </w:numPr>
      </w:pPr>
      <w:r w:rsidRPr="008E2552">
        <w:t xml:space="preserve">Major reason for placebo treated subjects to discontinue the treatment is Withdrawal by subjects. </w:t>
      </w:r>
    </w:p>
    <w:p w:rsidR="0070454E" w:rsidRDefault="0070454E" w:rsidP="004A0C87"/>
    <w:p w:rsidR="0096791B" w:rsidRDefault="0096791B" w:rsidP="0096791B">
      <w:r>
        <w:t>Figure 1.5</w:t>
      </w:r>
    </w:p>
    <w:p w:rsidR="004A0C87" w:rsidRDefault="0096791B" w:rsidP="0096791B">
      <w:r>
        <w:t>The pie chart shows the distribution of total unique subject IDs according to their site id group.</w:t>
      </w:r>
    </w:p>
    <w:p w:rsidR="0096791B" w:rsidRDefault="0096791B" w:rsidP="0096791B">
      <w:pPr>
        <w:pStyle w:val="ListParagraph"/>
        <w:numPr>
          <w:ilvl w:val="0"/>
          <w:numId w:val="6"/>
        </w:numPr>
      </w:pPr>
      <w:r>
        <w:t>There are 254 unique subject IDs.</w:t>
      </w:r>
    </w:p>
    <w:p w:rsidR="0096791B" w:rsidRDefault="0096791B" w:rsidP="0096791B">
      <w:pPr>
        <w:pStyle w:val="ListParagraph"/>
        <w:numPr>
          <w:ilvl w:val="0"/>
          <w:numId w:val="6"/>
        </w:numPr>
      </w:pPr>
      <w:r>
        <w:t xml:space="preserve"> Majority subjects are from the site id 701 (16.1%) and least are from site id 713 (3.5%).</w:t>
      </w:r>
    </w:p>
    <w:p w:rsidR="0096791B" w:rsidRDefault="0096791B" w:rsidP="0096791B"/>
    <w:p w:rsidR="0096791B" w:rsidRDefault="0096791B" w:rsidP="0096791B">
      <w:r>
        <w:t>Figure 1.6</w:t>
      </w:r>
    </w:p>
    <w:p w:rsidR="0096791B" w:rsidRDefault="005B3749" w:rsidP="0096791B">
      <w:r>
        <w:t xml:space="preserve">The </w:t>
      </w:r>
      <w:proofErr w:type="spellStart"/>
      <w:r>
        <w:t>B</w:t>
      </w:r>
      <w:r w:rsidR="0096791B">
        <w:t>oxplot</w:t>
      </w:r>
      <w:proofErr w:type="spellEnd"/>
      <w:r w:rsidR="0096791B">
        <w:t xml:space="preserve"> shows the </w:t>
      </w:r>
      <w:r>
        <w:t xml:space="preserve">distribution of MMSE (Mini Mental State Examination) Total score by education level of subjects of </w:t>
      </w:r>
      <w:r w:rsidR="0070454E">
        <w:t>treatmen</w:t>
      </w:r>
      <w:r>
        <w:t>t groups.</w:t>
      </w:r>
    </w:p>
    <w:p w:rsidR="00D44B0A" w:rsidRPr="005B3749" w:rsidRDefault="00D44B0A" w:rsidP="005B3749">
      <w:pPr>
        <w:pStyle w:val="ListParagraph"/>
        <w:numPr>
          <w:ilvl w:val="0"/>
          <w:numId w:val="7"/>
        </w:numPr>
      </w:pPr>
      <w:r w:rsidRPr="005B3749">
        <w:t xml:space="preserve">Interquartile range of MMSE of subjects is more in Xanomeline High dose. </w:t>
      </w:r>
    </w:p>
    <w:p w:rsidR="00D44B0A" w:rsidRPr="005B3749" w:rsidRDefault="00D44B0A" w:rsidP="005B3749">
      <w:pPr>
        <w:pStyle w:val="ListParagraph"/>
        <w:numPr>
          <w:ilvl w:val="0"/>
          <w:numId w:val="7"/>
        </w:numPr>
      </w:pPr>
      <w:r w:rsidRPr="005B3749">
        <w:t xml:space="preserve">Least ranges of MMSE are observed in subjects treated with Placebo. </w:t>
      </w:r>
    </w:p>
    <w:p w:rsidR="00D44B0A" w:rsidRPr="005B3749" w:rsidRDefault="00D44B0A" w:rsidP="005B3749">
      <w:pPr>
        <w:pStyle w:val="ListParagraph"/>
        <w:numPr>
          <w:ilvl w:val="0"/>
          <w:numId w:val="7"/>
        </w:numPr>
      </w:pPr>
      <w:r w:rsidRPr="005B3749">
        <w:t xml:space="preserve">Many outliers are also observed in MMSE. </w:t>
      </w:r>
    </w:p>
    <w:p w:rsidR="005B3749" w:rsidRDefault="005B3749" w:rsidP="005B3749">
      <w:pPr>
        <w:pStyle w:val="ListParagraph"/>
        <w:numPr>
          <w:ilvl w:val="0"/>
          <w:numId w:val="7"/>
        </w:numPr>
      </w:pPr>
      <w:r>
        <w:t>Every treatment is not being given to the subjects with different education levels.</w:t>
      </w:r>
    </w:p>
    <w:p w:rsidR="008E2552" w:rsidRDefault="008E2552" w:rsidP="008E2552"/>
    <w:p w:rsidR="008E2552" w:rsidRPr="00C33A80" w:rsidRDefault="00C33A80" w:rsidP="008E2552">
      <w:pPr>
        <w:rPr>
          <w:sz w:val="28"/>
          <w:szCs w:val="28"/>
        </w:rPr>
      </w:pPr>
      <w:r>
        <w:rPr>
          <w:sz w:val="28"/>
          <w:szCs w:val="28"/>
        </w:rPr>
        <w:t>TASK 2- ADVERSE EVENTS OVERVIEW</w:t>
      </w:r>
    </w:p>
    <w:p w:rsidR="00C33A80" w:rsidRDefault="00C33A80" w:rsidP="008E2552"/>
    <w:p w:rsidR="00233B03" w:rsidRDefault="00233B03" w:rsidP="008E2552">
      <w:r>
        <w:t>Table 2.1</w:t>
      </w:r>
    </w:p>
    <w:p w:rsidR="00441461" w:rsidRDefault="00441461" w:rsidP="008E2552">
      <w:r>
        <w:t>The table shows the summary of most prevalent adverse events grouped by treatments.</w:t>
      </w:r>
    </w:p>
    <w:p w:rsidR="00441461" w:rsidRDefault="00441461" w:rsidP="00441461">
      <w:pPr>
        <w:pStyle w:val="ListParagraph"/>
        <w:numPr>
          <w:ilvl w:val="0"/>
          <w:numId w:val="31"/>
        </w:numPr>
      </w:pPr>
      <w:r>
        <w:t>The most frequent adverse event is general disorders and</w:t>
      </w:r>
      <w:r w:rsidR="007E7878">
        <w:t xml:space="preserve"> administration site conditions with frequency of 108.</w:t>
      </w:r>
    </w:p>
    <w:p w:rsidR="00441461" w:rsidRDefault="00441461" w:rsidP="00441461">
      <w:pPr>
        <w:pStyle w:val="ListParagraph"/>
        <w:numPr>
          <w:ilvl w:val="0"/>
          <w:numId w:val="31"/>
        </w:numPr>
      </w:pPr>
      <w:r>
        <w:t xml:space="preserve">Average duration of this adverse event is highest under </w:t>
      </w:r>
      <w:proofErr w:type="spellStart"/>
      <w:r>
        <w:t>Xanomelin</w:t>
      </w:r>
      <w:r w:rsidR="007E7878">
        <w:t>e</w:t>
      </w:r>
      <w:proofErr w:type="spellEnd"/>
      <w:r w:rsidR="007E7878">
        <w:t xml:space="preserve"> High dose.</w:t>
      </w:r>
    </w:p>
    <w:p w:rsidR="007E7878" w:rsidRDefault="007E7878" w:rsidP="00441461">
      <w:pPr>
        <w:pStyle w:val="ListParagraph"/>
        <w:numPr>
          <w:ilvl w:val="0"/>
          <w:numId w:val="31"/>
        </w:numPr>
      </w:pPr>
      <w:r>
        <w:t xml:space="preserve">The least prevalent among them is injury poisoning and procedural complications with </w:t>
      </w:r>
      <w:proofErr w:type="spellStart"/>
      <w:proofErr w:type="gramStart"/>
      <w:r>
        <w:t>th</w:t>
      </w:r>
      <w:proofErr w:type="spellEnd"/>
      <w:proofErr w:type="gramEnd"/>
      <w:r>
        <w:t xml:space="preserve"> frequency of 14.</w:t>
      </w:r>
    </w:p>
    <w:p w:rsidR="007E7878" w:rsidRDefault="007E7878" w:rsidP="008E2552"/>
    <w:p w:rsidR="008E2552" w:rsidRDefault="008E2552" w:rsidP="008E2552">
      <w:r>
        <w:t>Figure 2.1</w:t>
      </w:r>
    </w:p>
    <w:p w:rsidR="008E2552" w:rsidRDefault="008E2552" w:rsidP="008E2552">
      <w:r>
        <w:t>The bar charts 2.1.1 and 2.1.2 shows the frequency distribution of subjects in treatment –emergent and treatment non-emergent adverse events.</w:t>
      </w:r>
    </w:p>
    <w:p w:rsidR="008E2552" w:rsidRDefault="008E2552" w:rsidP="008E2552">
      <w:pPr>
        <w:pStyle w:val="ListParagraph"/>
        <w:numPr>
          <w:ilvl w:val="0"/>
          <w:numId w:val="13"/>
        </w:numPr>
      </w:pPr>
      <w:r>
        <w:t xml:space="preserve">There </w:t>
      </w:r>
      <w:r w:rsidR="0087706F">
        <w:t>are a total of 23</w:t>
      </w:r>
      <w:r>
        <w:t xml:space="preserve"> treatment emergent adverse events and 16 treatment non-emergent adverse events indicating majority of adverse events in the study population is caused from the treatment.</w:t>
      </w:r>
    </w:p>
    <w:p w:rsidR="008E2552" w:rsidRDefault="00A553D9" w:rsidP="008E2552">
      <w:pPr>
        <w:pStyle w:val="ListParagraph"/>
        <w:numPr>
          <w:ilvl w:val="0"/>
          <w:numId w:val="13"/>
        </w:numPr>
      </w:pPr>
      <w:r>
        <w:t>The variable AE</w:t>
      </w:r>
      <w:r w:rsidR="008E2552">
        <w:t xml:space="preserve">BODYSYS is taken to be in </w:t>
      </w:r>
      <w:r w:rsidR="0087706F">
        <w:t>x-</w:t>
      </w:r>
      <w:r>
        <w:t>axis which shows the system or body class getting affected from adverse event.</w:t>
      </w:r>
    </w:p>
    <w:p w:rsidR="00A553D9" w:rsidRDefault="00A553D9" w:rsidP="00A553D9">
      <w:pPr>
        <w:pStyle w:val="ListParagraph"/>
        <w:numPr>
          <w:ilvl w:val="0"/>
          <w:numId w:val="13"/>
        </w:numPr>
      </w:pPr>
      <w:r>
        <w:t>In Figure 2.1.1 the most reported adverse event which is treatment non-emergent is Skin and Subcutaneous tissue disorders for 10 subjects and least reported includes metabolism and nutrition disorders, immune system disorders, ear and labyrinth disorders, vascular disorders and renal and urinary disorders each of frequency of subjects as 1.</w:t>
      </w:r>
    </w:p>
    <w:p w:rsidR="00A553D9" w:rsidRDefault="00D44B0A" w:rsidP="00A553D9">
      <w:pPr>
        <w:pStyle w:val="ListParagraph"/>
        <w:numPr>
          <w:ilvl w:val="0"/>
          <w:numId w:val="13"/>
        </w:numPr>
      </w:pPr>
      <w:r>
        <w:t xml:space="preserve">In treatment emergent adverse events </w:t>
      </w:r>
      <w:r w:rsidR="00493328">
        <w:t xml:space="preserve">the most reported is general disorders and administration site conditions for 211 subjects and least reported is Hepatobiliary disorders, social circumstances and immune system disorders for 1 subject each. </w:t>
      </w:r>
      <w:r w:rsidR="00493328">
        <w:tab/>
      </w:r>
    </w:p>
    <w:p w:rsidR="0087706F" w:rsidRDefault="0087706F" w:rsidP="0087706F"/>
    <w:p w:rsidR="0087706F" w:rsidRDefault="0087706F" w:rsidP="0087706F">
      <w:r>
        <w:t>Figure 2.2</w:t>
      </w:r>
    </w:p>
    <w:p w:rsidR="0087706F" w:rsidRDefault="0087706F" w:rsidP="0087706F">
      <w:r>
        <w:t>The cone chart shows the treatment wise duration of adverse events.</w:t>
      </w:r>
    </w:p>
    <w:p w:rsidR="0087706F" w:rsidRPr="0087706F" w:rsidRDefault="0087706F" w:rsidP="0087706F">
      <w:pPr>
        <w:pStyle w:val="ListParagraph"/>
        <w:numPr>
          <w:ilvl w:val="0"/>
          <w:numId w:val="14"/>
        </w:numPr>
      </w:pPr>
      <w:r w:rsidRPr="0087706F">
        <w:t>Aver</w:t>
      </w:r>
      <w:r w:rsidR="00393999">
        <w:t>age treatment duration is highest</w:t>
      </w:r>
      <w:r w:rsidRPr="0087706F">
        <w:t xml:space="preserve"> for Placebo. </w:t>
      </w:r>
    </w:p>
    <w:p w:rsidR="0087706F" w:rsidRDefault="00393999" w:rsidP="0087706F">
      <w:pPr>
        <w:pStyle w:val="ListParagraph"/>
        <w:numPr>
          <w:ilvl w:val="0"/>
          <w:numId w:val="14"/>
        </w:numPr>
      </w:pPr>
      <w:r>
        <w:t xml:space="preserve">Treatment with </w:t>
      </w:r>
      <w:r w:rsidR="0087706F" w:rsidRPr="0087706F">
        <w:t xml:space="preserve">High dose </w:t>
      </w:r>
      <w:r>
        <w:t xml:space="preserve">is more efficient in reducing the average duration as compared to </w:t>
      </w:r>
      <w:r w:rsidR="0087706F" w:rsidRPr="0087706F">
        <w:t>low dose</w:t>
      </w:r>
      <w:r w:rsidR="0087706F">
        <w:t>.</w:t>
      </w:r>
    </w:p>
    <w:p w:rsidR="007E7878" w:rsidRDefault="007E7878" w:rsidP="00393999"/>
    <w:p w:rsidR="00393999" w:rsidRDefault="00233B03" w:rsidP="00393999">
      <w:r>
        <w:t>Table 2.2</w:t>
      </w:r>
    </w:p>
    <w:p w:rsidR="00FC58A2" w:rsidRDefault="0070454E" w:rsidP="00FC58A2">
      <w:r>
        <w:t>The table gives the count and percentage of subjects under different severity categories.</w:t>
      </w:r>
    </w:p>
    <w:p w:rsidR="0070454E" w:rsidRDefault="0070454E" w:rsidP="0070454E">
      <w:pPr>
        <w:pStyle w:val="ListParagraph"/>
        <w:numPr>
          <w:ilvl w:val="0"/>
          <w:numId w:val="33"/>
        </w:numPr>
      </w:pPr>
      <w:r>
        <w:t>Majority of subjects are under moderate category.</w:t>
      </w:r>
    </w:p>
    <w:p w:rsidR="0070454E" w:rsidRDefault="0070454E" w:rsidP="0070454E">
      <w:pPr>
        <w:pStyle w:val="ListParagraph"/>
        <w:numPr>
          <w:ilvl w:val="0"/>
          <w:numId w:val="33"/>
        </w:numPr>
      </w:pPr>
      <w:r>
        <w:t>Fatal cases are very few.</w:t>
      </w:r>
    </w:p>
    <w:p w:rsidR="0070454E" w:rsidRDefault="0036730C" w:rsidP="0070454E">
      <w:pPr>
        <w:pStyle w:val="ListParagraph"/>
        <w:numPr>
          <w:ilvl w:val="0"/>
          <w:numId w:val="33"/>
        </w:numPr>
      </w:pPr>
      <w:r>
        <w:t>Causality is higher for probable cases</w:t>
      </w:r>
    </w:p>
    <w:p w:rsidR="0036730C" w:rsidRDefault="0036730C" w:rsidP="0070454E">
      <w:pPr>
        <w:pStyle w:val="ListParagraph"/>
        <w:numPr>
          <w:ilvl w:val="0"/>
          <w:numId w:val="33"/>
        </w:numPr>
      </w:pPr>
      <w:r>
        <w:t>Majority of severity reasons are marked no for the subjects.</w:t>
      </w:r>
    </w:p>
    <w:p w:rsidR="00393999" w:rsidRDefault="00393999" w:rsidP="00393999">
      <w:r>
        <w:t>Figure 2.3</w:t>
      </w:r>
    </w:p>
    <w:p w:rsidR="00393999" w:rsidRDefault="00393999" w:rsidP="00393999">
      <w:r>
        <w:t>The stacked bar chart shows the treatment wise adverse events.</w:t>
      </w:r>
    </w:p>
    <w:p w:rsidR="00393999" w:rsidRPr="00393999" w:rsidRDefault="00393999" w:rsidP="00393999">
      <w:pPr>
        <w:pStyle w:val="ListParagraph"/>
        <w:numPr>
          <w:ilvl w:val="0"/>
          <w:numId w:val="15"/>
        </w:numPr>
      </w:pPr>
      <w:r w:rsidRPr="00393999">
        <w:t xml:space="preserve">Fatal adverse events resulted from treatments is very less. </w:t>
      </w:r>
    </w:p>
    <w:p w:rsidR="00393999" w:rsidRPr="00393999" w:rsidRDefault="00393999" w:rsidP="00393999">
      <w:pPr>
        <w:pStyle w:val="ListParagraph"/>
        <w:numPr>
          <w:ilvl w:val="0"/>
          <w:numId w:val="15"/>
        </w:numPr>
      </w:pPr>
      <w:r w:rsidRPr="00393999">
        <w:t xml:space="preserve">Number of adverse events recovered is greater in treatment with Xanomeline High Dose. </w:t>
      </w:r>
    </w:p>
    <w:p w:rsidR="00393999" w:rsidRDefault="00393999" w:rsidP="00393999">
      <w:pPr>
        <w:pStyle w:val="ListParagraph"/>
        <w:numPr>
          <w:ilvl w:val="0"/>
          <w:numId w:val="15"/>
        </w:numPr>
      </w:pPr>
      <w:r w:rsidRPr="00393999">
        <w:lastRenderedPageBreak/>
        <w:t xml:space="preserve">Number of adverse events cases is also greater in Xanomeline High Dose. </w:t>
      </w:r>
    </w:p>
    <w:p w:rsidR="00D746D7" w:rsidRDefault="00393999" w:rsidP="00D746D7">
      <w:pPr>
        <w:pStyle w:val="ListParagraph"/>
        <w:numPr>
          <w:ilvl w:val="0"/>
          <w:numId w:val="15"/>
        </w:numPr>
      </w:pPr>
      <w:r>
        <w:t>Least number of subjects recovered under placebo treatment.</w:t>
      </w:r>
    </w:p>
    <w:p w:rsidR="00D746D7" w:rsidRDefault="00D746D7" w:rsidP="00D746D7"/>
    <w:p w:rsidR="00D746D7" w:rsidRDefault="00A81593" w:rsidP="00D746D7">
      <w:r>
        <w:t>Figure 2.4</w:t>
      </w:r>
    </w:p>
    <w:p w:rsidR="00686E1F" w:rsidRDefault="00D746D7" w:rsidP="00D746D7">
      <w:r>
        <w:t xml:space="preserve">The sunburst chart </w:t>
      </w:r>
      <w:r w:rsidR="00686E1F">
        <w:t xml:space="preserve">shows the distribution of different flags by </w:t>
      </w:r>
      <w:r w:rsidR="00A81593">
        <w:t xml:space="preserve">adverse events’ </w:t>
      </w:r>
      <w:r w:rsidR="00686E1F">
        <w:t>severity –</w:t>
      </w:r>
      <w:r w:rsidR="00D316F5">
        <w:t xml:space="preserve"> mild</w:t>
      </w:r>
      <w:r w:rsidR="00686E1F">
        <w:t>, moderate and severe.</w:t>
      </w:r>
    </w:p>
    <w:p w:rsidR="00D316F5" w:rsidRDefault="00D316F5" w:rsidP="00A81593">
      <w:pPr>
        <w:pStyle w:val="ListParagraph"/>
        <w:numPr>
          <w:ilvl w:val="0"/>
          <w:numId w:val="18"/>
        </w:numPr>
      </w:pPr>
      <w:r>
        <w:t>There are 5 f</w:t>
      </w:r>
      <w:r w:rsidR="00A81593">
        <w:t xml:space="preserve">lags categorized under severity – AESHOP (Requires or prolongs hospitalization), </w:t>
      </w:r>
      <w:proofErr w:type="gramStart"/>
      <w:r w:rsidR="00A81593">
        <w:t>AESLIFE(</w:t>
      </w:r>
      <w:proofErr w:type="gramEnd"/>
      <w:r w:rsidR="00A81593">
        <w:t>Is life threatening), AESCAN(Involves cancer), AESDTH(Results in death), AESDISAB(Persistent or significant disability).</w:t>
      </w:r>
    </w:p>
    <w:p w:rsidR="00686E1F" w:rsidRDefault="00686E1F" w:rsidP="00686E1F">
      <w:pPr>
        <w:pStyle w:val="ListParagraph"/>
        <w:numPr>
          <w:ilvl w:val="0"/>
          <w:numId w:val="18"/>
        </w:numPr>
      </w:pPr>
      <w:r>
        <w:t>There are mild, moderate and severe cases that require or prolong hospitalization.</w:t>
      </w:r>
    </w:p>
    <w:p w:rsidR="00686E1F" w:rsidRDefault="00686E1F" w:rsidP="00686E1F">
      <w:pPr>
        <w:pStyle w:val="ListParagraph"/>
        <w:numPr>
          <w:ilvl w:val="0"/>
          <w:numId w:val="18"/>
        </w:numPr>
      </w:pPr>
      <w:r>
        <w:t>There are only moderate and severe cases that is life threatening.</w:t>
      </w:r>
    </w:p>
    <w:p w:rsidR="00686E1F" w:rsidRDefault="00686E1F" w:rsidP="00686E1F">
      <w:pPr>
        <w:pStyle w:val="ListParagraph"/>
        <w:numPr>
          <w:ilvl w:val="0"/>
          <w:numId w:val="18"/>
        </w:numPr>
      </w:pPr>
      <w:r>
        <w:t xml:space="preserve">There are mild and severe cases that </w:t>
      </w:r>
      <w:r w:rsidR="00D316F5">
        <w:t>involve cancer.</w:t>
      </w:r>
    </w:p>
    <w:p w:rsidR="00D316F5" w:rsidRDefault="00D316F5" w:rsidP="00686E1F">
      <w:pPr>
        <w:pStyle w:val="ListParagraph"/>
        <w:numPr>
          <w:ilvl w:val="0"/>
          <w:numId w:val="18"/>
        </w:numPr>
      </w:pPr>
      <w:r>
        <w:t>Only severe cases involve death.</w:t>
      </w:r>
    </w:p>
    <w:p w:rsidR="00D316F5" w:rsidRDefault="00D316F5" w:rsidP="00686E1F">
      <w:pPr>
        <w:pStyle w:val="ListParagraph"/>
        <w:numPr>
          <w:ilvl w:val="0"/>
          <w:numId w:val="18"/>
        </w:numPr>
      </w:pPr>
      <w:r>
        <w:t>Only mild cases come under persistent or significant disability.</w:t>
      </w:r>
    </w:p>
    <w:p w:rsidR="00A81593" w:rsidRDefault="00A81593" w:rsidP="00686E1F">
      <w:pPr>
        <w:pStyle w:val="ListParagraph"/>
        <w:numPr>
          <w:ilvl w:val="0"/>
          <w:numId w:val="18"/>
        </w:numPr>
      </w:pPr>
      <w:r>
        <w:t>Majority of the mild, moderate and severe cases requires or prolongs hospitalization.</w:t>
      </w:r>
    </w:p>
    <w:p w:rsidR="00B817E6" w:rsidRDefault="00B817E6" w:rsidP="00B817E6"/>
    <w:p w:rsidR="00B817E6" w:rsidRDefault="00B817E6" w:rsidP="00B817E6">
      <w:r>
        <w:t xml:space="preserve">Figure 2.5 </w:t>
      </w:r>
    </w:p>
    <w:p w:rsidR="00B817E6" w:rsidRDefault="00B817E6" w:rsidP="00B817E6">
      <w:r>
        <w:t>This visualization contains a bar graph, two scatter</w:t>
      </w:r>
      <w:r w:rsidR="0036730C">
        <w:t xml:space="preserve"> </w:t>
      </w:r>
      <w:r>
        <w:t>plots explaining about the lifecycle of hospitalized and serious adverse events.</w:t>
      </w:r>
    </w:p>
    <w:p w:rsidR="00B817E6" w:rsidRDefault="00B817E6" w:rsidP="00B817E6">
      <w:pPr>
        <w:pStyle w:val="ListParagraph"/>
        <w:numPr>
          <w:ilvl w:val="0"/>
          <w:numId w:val="32"/>
        </w:numPr>
      </w:pPr>
      <w:r>
        <w:t>In the bar graph we see that there are 28 hospitalized cases, 3 serious cases and 2 hospitalized and serious cases. The corresponding adverse events are syncope and Partial seizures with secondary visualization.</w:t>
      </w:r>
    </w:p>
    <w:p w:rsidR="00B817E6" w:rsidRDefault="00B817E6" w:rsidP="00B817E6">
      <w:pPr>
        <w:pStyle w:val="ListParagraph"/>
        <w:numPr>
          <w:ilvl w:val="0"/>
          <w:numId w:val="32"/>
        </w:numPr>
      </w:pPr>
      <w:r>
        <w:t>The 1</w:t>
      </w:r>
      <w:r w:rsidRPr="00B817E6">
        <w:rPr>
          <w:vertAlign w:val="superscript"/>
        </w:rPr>
        <w:t>st</w:t>
      </w:r>
      <w:r>
        <w:t xml:space="preserve"> scatter plot shows the lifecycle of 3 subjects affected with syncope among which 1 subject got affected two times.</w:t>
      </w:r>
    </w:p>
    <w:p w:rsidR="00B817E6" w:rsidRDefault="00B817E6" w:rsidP="00B817E6">
      <w:pPr>
        <w:pStyle w:val="ListParagraph"/>
        <w:numPr>
          <w:ilvl w:val="1"/>
          <w:numId w:val="32"/>
        </w:numPr>
      </w:pPr>
      <w:r>
        <w:t>In subjects 01-718-1049 there is no treatment end date.</w:t>
      </w:r>
    </w:p>
    <w:p w:rsidR="00B817E6" w:rsidRDefault="00B817E6" w:rsidP="00B817E6">
      <w:pPr>
        <w:pStyle w:val="ListParagraph"/>
        <w:numPr>
          <w:ilvl w:val="1"/>
          <w:numId w:val="32"/>
        </w:numPr>
      </w:pPr>
      <w:r>
        <w:t>In 01-718-1170 and 01-718-1066 the adverse event starts after the treatment ends.</w:t>
      </w:r>
    </w:p>
    <w:p w:rsidR="00B817E6" w:rsidRDefault="00B817E6" w:rsidP="00B817E6">
      <w:pPr>
        <w:pStyle w:val="ListParagraph"/>
        <w:numPr>
          <w:ilvl w:val="1"/>
          <w:numId w:val="32"/>
        </w:numPr>
      </w:pPr>
      <w:r>
        <w:t>The subject 01-718-1066 does not get recovered from the adverse event 2</w:t>
      </w:r>
      <w:r w:rsidRPr="00B817E6">
        <w:rPr>
          <w:vertAlign w:val="superscript"/>
        </w:rPr>
        <w:t>nd</w:t>
      </w:r>
      <w:r>
        <w:t xml:space="preserve"> time.</w:t>
      </w:r>
    </w:p>
    <w:p w:rsidR="00AE2C30" w:rsidRDefault="00AE2C30" w:rsidP="00B817E6">
      <w:pPr>
        <w:pStyle w:val="ListParagraph"/>
        <w:numPr>
          <w:ilvl w:val="1"/>
          <w:numId w:val="32"/>
        </w:numPr>
      </w:pPr>
      <w:r>
        <w:t>The duration between adverse event start date and treatment end date is very less.</w:t>
      </w:r>
    </w:p>
    <w:p w:rsidR="00AE2C30" w:rsidRDefault="00B817E6" w:rsidP="00AE2C30">
      <w:pPr>
        <w:pStyle w:val="ListParagraph"/>
        <w:numPr>
          <w:ilvl w:val="0"/>
          <w:numId w:val="32"/>
        </w:numPr>
      </w:pPr>
      <w:r>
        <w:t xml:space="preserve">In the scatter plot showing lifecycle of 1 </w:t>
      </w:r>
      <w:proofErr w:type="gramStart"/>
      <w:r>
        <w:t>subject</w:t>
      </w:r>
      <w:r w:rsidR="00AE2C30">
        <w:t>(</w:t>
      </w:r>
      <w:proofErr w:type="gramEnd"/>
      <w:r w:rsidR="00AE2C30">
        <w:t>01-718-1371)</w:t>
      </w:r>
      <w:r>
        <w:t xml:space="preserve"> affected with partial seizures with secondary </w:t>
      </w:r>
      <w:r w:rsidR="00AE2C30">
        <w:t>genera</w:t>
      </w:r>
      <w:r>
        <w:t xml:space="preserve">lization </w:t>
      </w:r>
      <w:r w:rsidR="00AE2C30">
        <w:t xml:space="preserve">the adverse event occurs between the treatment . The treatment duration is longer but adverse event duration is very less. </w:t>
      </w:r>
    </w:p>
    <w:p w:rsidR="007E7878" w:rsidRDefault="007E7878" w:rsidP="0023107E">
      <w:pPr>
        <w:rPr>
          <w:sz w:val="28"/>
          <w:szCs w:val="28"/>
        </w:rPr>
      </w:pPr>
    </w:p>
    <w:p w:rsidR="007E7878" w:rsidRPr="007E7878" w:rsidRDefault="00233B03" w:rsidP="0023107E">
      <w:pPr>
        <w:rPr>
          <w:sz w:val="28"/>
          <w:szCs w:val="28"/>
        </w:rPr>
      </w:pPr>
      <w:r w:rsidRPr="00233B03">
        <w:rPr>
          <w:sz w:val="28"/>
          <w:szCs w:val="28"/>
        </w:rPr>
        <w:t xml:space="preserve">TASK </w:t>
      </w:r>
      <w:r w:rsidR="0023107E" w:rsidRPr="00233B03">
        <w:rPr>
          <w:sz w:val="28"/>
          <w:szCs w:val="28"/>
        </w:rPr>
        <w:t>3</w:t>
      </w:r>
      <w:r w:rsidRPr="00233B03">
        <w:rPr>
          <w:sz w:val="28"/>
          <w:szCs w:val="28"/>
        </w:rPr>
        <w:t xml:space="preserve"> – LABORATORY RESULTS OVERVIE</w:t>
      </w:r>
      <w:r w:rsidR="007E7878">
        <w:rPr>
          <w:sz w:val="28"/>
          <w:szCs w:val="28"/>
        </w:rPr>
        <w:t>W</w:t>
      </w:r>
    </w:p>
    <w:p w:rsidR="007E7878" w:rsidRDefault="007E7878" w:rsidP="0023107E"/>
    <w:p w:rsidR="00233B03" w:rsidRDefault="00233B03" w:rsidP="0023107E">
      <w:r>
        <w:lastRenderedPageBreak/>
        <w:t xml:space="preserve">Table 3.1 </w:t>
      </w:r>
    </w:p>
    <w:p w:rsidR="00BC7B30" w:rsidRDefault="00BC7B30" w:rsidP="0023107E">
      <w:r>
        <w:t>The table gives the summary statistics values like count, mean, median, standard deviation, and range of the parameters tested by the subjects.</w:t>
      </w:r>
    </w:p>
    <w:p w:rsidR="00BC7B30" w:rsidRDefault="00BC7B30" w:rsidP="00BC7B30">
      <w:pPr>
        <w:pStyle w:val="ListParagraph"/>
        <w:numPr>
          <w:ilvl w:val="0"/>
          <w:numId w:val="27"/>
        </w:numPr>
      </w:pPr>
      <w:r>
        <w:t>There are a total of 15 parameters tested.</w:t>
      </w:r>
    </w:p>
    <w:p w:rsidR="00BC7B30" w:rsidRDefault="008C39C0" w:rsidP="00BC7B30">
      <w:pPr>
        <w:pStyle w:val="ListParagraph"/>
        <w:numPr>
          <w:ilvl w:val="0"/>
          <w:numId w:val="27"/>
        </w:numPr>
      </w:pPr>
      <w:r>
        <w:t xml:space="preserve">Parameters ANISO, MACROSY, MICROSY, POIKILO, </w:t>
      </w:r>
      <w:proofErr w:type="gramStart"/>
      <w:r>
        <w:t>POLYCHR</w:t>
      </w:r>
      <w:proofErr w:type="gramEnd"/>
      <w:r>
        <w:t xml:space="preserve"> show</w:t>
      </w:r>
      <w:r w:rsidR="00BC7B30">
        <w:t xml:space="preserve"> constant values.</w:t>
      </w:r>
    </w:p>
    <w:p w:rsidR="00BC7B30" w:rsidRDefault="00BC7B30" w:rsidP="00BC7B30">
      <w:pPr>
        <w:pStyle w:val="ListParagraph"/>
        <w:numPr>
          <w:ilvl w:val="0"/>
          <w:numId w:val="27"/>
        </w:numPr>
      </w:pPr>
      <w:r>
        <w:t>The parameter PLAT has the maximum range.</w:t>
      </w:r>
    </w:p>
    <w:p w:rsidR="008C39C0" w:rsidRDefault="008C39C0" w:rsidP="008C39C0"/>
    <w:p w:rsidR="00441461" w:rsidRDefault="00441461" w:rsidP="008C39C0"/>
    <w:p w:rsidR="008C39C0" w:rsidRDefault="008C39C0" w:rsidP="008C39C0">
      <w:r>
        <w:t>Table 3.2</w:t>
      </w:r>
    </w:p>
    <w:p w:rsidR="008C39C0" w:rsidRPr="007E7878" w:rsidRDefault="008C39C0" w:rsidP="008C39C0">
      <w:pPr>
        <w:spacing w:after="0" w:line="240" w:lineRule="auto"/>
        <w:rPr>
          <w:rFonts w:eastAsia="Times New Roman" w:cstheme="minorHAnsi"/>
          <w:color w:val="000000" w:themeColor="text1"/>
        </w:rPr>
      </w:pPr>
      <w:r w:rsidRPr="007E7878">
        <w:rPr>
          <w:rFonts w:eastAsia="Times New Roman" w:cstheme="minorHAnsi"/>
          <w:color w:val="000000" w:themeColor="text1"/>
        </w:rPr>
        <w:t xml:space="preserve">The tables shows the CHG and PCHG values of the parameters. </w:t>
      </w:r>
    </w:p>
    <w:p w:rsidR="008C39C0" w:rsidRPr="007E7878" w:rsidRDefault="008C39C0" w:rsidP="008C39C0">
      <w:pPr>
        <w:spacing w:after="0" w:line="240" w:lineRule="auto"/>
        <w:rPr>
          <w:rFonts w:eastAsia="Times New Roman" w:cstheme="minorHAnsi"/>
          <w:color w:val="000000" w:themeColor="text1"/>
        </w:rPr>
      </w:pPr>
      <w:r w:rsidRPr="007E7878">
        <w:rPr>
          <w:rFonts w:eastAsia="Times New Roman" w:cstheme="minorHAnsi"/>
          <w:color w:val="000000" w:themeColor="text1"/>
        </w:rPr>
        <w:t xml:space="preserve">CHG and PCHG means tells about the average </w:t>
      </w:r>
      <w:proofErr w:type="spellStart"/>
      <w:r w:rsidRPr="007E7878">
        <w:rPr>
          <w:rFonts w:eastAsia="Times New Roman" w:cstheme="minorHAnsi"/>
          <w:color w:val="000000" w:themeColor="text1"/>
        </w:rPr>
        <w:t>chage</w:t>
      </w:r>
      <w:proofErr w:type="spellEnd"/>
      <w:r w:rsidRPr="007E7878">
        <w:rPr>
          <w:rFonts w:eastAsia="Times New Roman" w:cstheme="minorHAnsi"/>
          <w:color w:val="000000" w:themeColor="text1"/>
        </w:rPr>
        <w:t xml:space="preserve"> and percentage change across the observations.</w:t>
      </w:r>
    </w:p>
    <w:p w:rsidR="008C39C0" w:rsidRPr="007E7878" w:rsidRDefault="008C39C0" w:rsidP="008C39C0">
      <w:pPr>
        <w:spacing w:after="0" w:line="240" w:lineRule="auto"/>
        <w:rPr>
          <w:rFonts w:eastAsia="Times New Roman" w:cstheme="minorHAnsi"/>
          <w:color w:val="000000" w:themeColor="text1"/>
        </w:rPr>
      </w:pPr>
      <w:r w:rsidRPr="007E7878">
        <w:rPr>
          <w:rFonts w:eastAsia="Times New Roman" w:cstheme="minorHAnsi"/>
          <w:color w:val="000000" w:themeColor="text1"/>
        </w:rPr>
        <w:t xml:space="preserve"> </w:t>
      </w:r>
    </w:p>
    <w:p w:rsidR="008C39C0" w:rsidRPr="007E7878" w:rsidRDefault="008C39C0" w:rsidP="008C39C0">
      <w:pPr>
        <w:pStyle w:val="ListParagraph"/>
        <w:numPr>
          <w:ilvl w:val="0"/>
          <w:numId w:val="28"/>
        </w:numPr>
        <w:spacing w:after="0" w:line="240" w:lineRule="auto"/>
        <w:rPr>
          <w:rFonts w:eastAsia="Times New Roman" w:cstheme="minorHAnsi"/>
          <w:color w:val="000000" w:themeColor="text1"/>
        </w:rPr>
      </w:pPr>
      <w:r w:rsidRPr="007E7878">
        <w:rPr>
          <w:rFonts w:eastAsia="Times New Roman" w:cstheme="minorHAnsi"/>
          <w:color w:val="000000" w:themeColor="text1"/>
        </w:rPr>
        <w:t>Since we have good numbe</w:t>
      </w:r>
      <w:r w:rsidR="00C3438D" w:rsidRPr="007E7878">
        <w:rPr>
          <w:rFonts w:eastAsia="Times New Roman" w:cstheme="minorHAnsi"/>
          <w:color w:val="000000" w:themeColor="text1"/>
        </w:rPr>
        <w:t>r of values in the CHG and PCHG</w:t>
      </w:r>
      <w:r w:rsidRPr="007E7878">
        <w:rPr>
          <w:rFonts w:eastAsia="Times New Roman" w:cstheme="minorHAnsi"/>
          <w:color w:val="000000" w:themeColor="text1"/>
        </w:rPr>
        <w:t xml:space="preserve">, it </w:t>
      </w:r>
      <w:proofErr w:type="gramStart"/>
      <w:r w:rsidRPr="007E7878">
        <w:rPr>
          <w:rFonts w:eastAsia="Times New Roman" w:cstheme="minorHAnsi"/>
          <w:color w:val="000000" w:themeColor="text1"/>
        </w:rPr>
        <w:t>give</w:t>
      </w:r>
      <w:proofErr w:type="gramEnd"/>
      <w:r w:rsidRPr="007E7878">
        <w:rPr>
          <w:rFonts w:eastAsia="Times New Roman" w:cstheme="minorHAnsi"/>
          <w:color w:val="000000" w:themeColor="text1"/>
        </w:rPr>
        <w:t xml:space="preserve"> more reliable statistics.</w:t>
      </w:r>
    </w:p>
    <w:p w:rsidR="008C39C0" w:rsidRPr="007E7878" w:rsidRDefault="008C39C0" w:rsidP="008C39C0">
      <w:pPr>
        <w:pStyle w:val="ListParagraph"/>
        <w:numPr>
          <w:ilvl w:val="0"/>
          <w:numId w:val="28"/>
        </w:numPr>
        <w:spacing w:after="0" w:line="240" w:lineRule="auto"/>
        <w:rPr>
          <w:rFonts w:eastAsia="Times New Roman" w:cstheme="minorHAnsi"/>
          <w:color w:val="000000" w:themeColor="text1"/>
        </w:rPr>
      </w:pPr>
      <w:r w:rsidRPr="007E7878">
        <w:rPr>
          <w:rFonts w:eastAsia="Times New Roman" w:cstheme="minorHAnsi"/>
          <w:color w:val="000000" w:themeColor="text1"/>
        </w:rPr>
        <w:t>There is a raise in the values for mean, median, standard deviation, and range in the week 6, 8, 12 for EOS.</w:t>
      </w:r>
    </w:p>
    <w:p w:rsidR="008C39C0" w:rsidRPr="007E7878" w:rsidRDefault="008C39C0" w:rsidP="008C39C0">
      <w:pPr>
        <w:pStyle w:val="ListParagraph"/>
        <w:numPr>
          <w:ilvl w:val="0"/>
          <w:numId w:val="28"/>
        </w:numPr>
        <w:spacing w:after="0" w:line="240" w:lineRule="auto"/>
        <w:rPr>
          <w:rFonts w:eastAsia="Times New Roman" w:cstheme="minorHAnsi"/>
          <w:color w:val="000000" w:themeColor="text1"/>
        </w:rPr>
      </w:pPr>
      <w:r w:rsidRPr="007E7878">
        <w:rPr>
          <w:rFonts w:eastAsia="Times New Roman" w:cstheme="minorHAnsi"/>
          <w:color w:val="000000" w:themeColor="text1"/>
        </w:rPr>
        <w:t>There is a general trend of decreasing CHG and PCHG over time. Initially, both the mean changes and percentage changes are high, with substantial variability, but this variability decreases as time progressed.</w:t>
      </w:r>
    </w:p>
    <w:p w:rsidR="008C39C0" w:rsidRPr="007E7878" w:rsidRDefault="008C39C0" w:rsidP="008C39C0">
      <w:pPr>
        <w:pStyle w:val="ListParagraph"/>
        <w:numPr>
          <w:ilvl w:val="0"/>
          <w:numId w:val="28"/>
        </w:numPr>
        <w:spacing w:after="0" w:line="240" w:lineRule="auto"/>
        <w:rPr>
          <w:rFonts w:eastAsia="Times New Roman" w:cstheme="minorHAnsi"/>
          <w:color w:val="000000" w:themeColor="text1"/>
        </w:rPr>
      </w:pPr>
      <w:r w:rsidRPr="007E7878">
        <w:rPr>
          <w:rFonts w:eastAsia="Times New Roman" w:cstheme="minorHAnsi"/>
          <w:color w:val="000000" w:themeColor="text1"/>
        </w:rPr>
        <w:t>There is fall in the mean CHG in week 20 for LYM.</w:t>
      </w:r>
    </w:p>
    <w:p w:rsidR="008C39C0" w:rsidRPr="007E7878" w:rsidRDefault="008C39C0" w:rsidP="008C39C0">
      <w:pPr>
        <w:pStyle w:val="ListParagraph"/>
        <w:numPr>
          <w:ilvl w:val="0"/>
          <w:numId w:val="28"/>
        </w:numPr>
        <w:spacing w:after="0" w:line="240" w:lineRule="auto"/>
        <w:rPr>
          <w:rFonts w:eastAsia="Times New Roman" w:cstheme="minorHAnsi"/>
          <w:color w:val="000000" w:themeColor="text1"/>
        </w:rPr>
      </w:pPr>
      <w:r w:rsidRPr="007E7878">
        <w:rPr>
          <w:rFonts w:eastAsia="Times New Roman" w:cstheme="minorHAnsi"/>
          <w:color w:val="000000" w:themeColor="text1"/>
        </w:rPr>
        <w:t>Even though the mean CHG don't change much over time in MCH there are minor variations in the mean percent change (PCHG), with some weeks showing slight positive or negative shifts.</w:t>
      </w:r>
    </w:p>
    <w:p w:rsidR="008C39C0" w:rsidRPr="007E7878" w:rsidRDefault="008C39C0" w:rsidP="008C39C0">
      <w:pPr>
        <w:pStyle w:val="ListParagraph"/>
        <w:numPr>
          <w:ilvl w:val="0"/>
          <w:numId w:val="28"/>
        </w:numPr>
        <w:spacing w:after="0" w:line="240" w:lineRule="auto"/>
        <w:rPr>
          <w:rFonts w:eastAsia="Times New Roman" w:cstheme="minorHAnsi"/>
          <w:color w:val="000000" w:themeColor="text1"/>
        </w:rPr>
      </w:pPr>
      <w:r w:rsidRPr="007E7878">
        <w:rPr>
          <w:rFonts w:eastAsia="Times New Roman" w:cstheme="minorHAnsi"/>
          <w:color w:val="000000" w:themeColor="text1"/>
        </w:rPr>
        <w:t>There’s a noticeable drop in CHG at Week 12 and Week 16, followed by some recovery in later weeks.</w:t>
      </w:r>
    </w:p>
    <w:p w:rsidR="008C39C0" w:rsidRPr="007E7878" w:rsidRDefault="008C39C0" w:rsidP="008C39C0">
      <w:pPr>
        <w:pStyle w:val="ListParagraph"/>
        <w:numPr>
          <w:ilvl w:val="0"/>
          <w:numId w:val="28"/>
        </w:numPr>
        <w:spacing w:after="0" w:line="240" w:lineRule="auto"/>
        <w:rPr>
          <w:rFonts w:eastAsia="Times New Roman" w:cstheme="minorHAnsi"/>
          <w:color w:val="000000" w:themeColor="text1"/>
        </w:rPr>
      </w:pPr>
      <w:r w:rsidRPr="007E7878">
        <w:rPr>
          <w:rFonts w:eastAsia="Times New Roman" w:cstheme="minorHAnsi"/>
          <w:color w:val="000000" w:themeColor="text1"/>
        </w:rPr>
        <w:t>The standard deviation values suggest that the variability in PLAT levels is generally high throughout the study period, with the highest variability observed around Week 8.Weeks like Week 8 and Week 26 show substantial outliers in terms of the lower and upper ranges of percent change.</w:t>
      </w:r>
    </w:p>
    <w:p w:rsidR="008C39C0" w:rsidRPr="007E7878" w:rsidRDefault="008C39C0" w:rsidP="008C39C0">
      <w:pPr>
        <w:rPr>
          <w:rFonts w:cstheme="minorHAnsi"/>
        </w:rPr>
      </w:pPr>
    </w:p>
    <w:p w:rsidR="00233B03" w:rsidRPr="007E7878" w:rsidRDefault="00233B03" w:rsidP="0023107E">
      <w:pPr>
        <w:rPr>
          <w:rFonts w:cstheme="minorHAnsi"/>
        </w:rPr>
      </w:pPr>
    </w:p>
    <w:p w:rsidR="0023107E" w:rsidRDefault="0023107E" w:rsidP="0023107E">
      <w:r>
        <w:t>Figure 3.1</w:t>
      </w:r>
    </w:p>
    <w:p w:rsidR="0023107E" w:rsidRDefault="0023107E" w:rsidP="0023107E">
      <w:r>
        <w:t>The Dot plot shows the relationship between analysis visits and analysis relative day of subjects.</w:t>
      </w:r>
    </w:p>
    <w:p w:rsidR="00B919A6" w:rsidRPr="0023107E" w:rsidRDefault="0023107E" w:rsidP="0023107E">
      <w:pPr>
        <w:pStyle w:val="ListParagraph"/>
        <w:numPr>
          <w:ilvl w:val="0"/>
          <w:numId w:val="19"/>
        </w:numPr>
      </w:pPr>
      <w:r>
        <w:t>Visits have</w:t>
      </w:r>
      <w:r w:rsidR="00845C90" w:rsidRPr="0023107E">
        <w:t xml:space="preserve"> bee</w:t>
      </w:r>
      <w:r w:rsidR="00233B03">
        <w:t>n done from almost 100 days prior to</w:t>
      </w:r>
      <w:r w:rsidR="00845C90" w:rsidRPr="0023107E">
        <w:t xml:space="preserve"> the treatment. </w:t>
      </w:r>
    </w:p>
    <w:p w:rsidR="00B919A6" w:rsidRPr="0023107E" w:rsidRDefault="00845C90" w:rsidP="0023107E">
      <w:pPr>
        <w:pStyle w:val="ListParagraph"/>
        <w:numPr>
          <w:ilvl w:val="0"/>
          <w:numId w:val="19"/>
        </w:numPr>
      </w:pPr>
      <w:r w:rsidRPr="0023107E">
        <w:t xml:space="preserve">There are unscheduled visits prior to and during the treatment but it gradually decreases as analysis duration increases. </w:t>
      </w:r>
    </w:p>
    <w:p w:rsidR="0023107E" w:rsidRDefault="0023107E" w:rsidP="0023107E">
      <w:pPr>
        <w:pStyle w:val="ListParagraph"/>
        <w:numPr>
          <w:ilvl w:val="0"/>
          <w:numId w:val="19"/>
        </w:numPr>
      </w:pPr>
      <w:r w:rsidRPr="0023107E">
        <w:t>The visit weeks of subjects are overlapping</w:t>
      </w:r>
      <w:r>
        <w:t xml:space="preserve"> indicating that there is no sharp distinction between the days included in any visits of the subjects.</w:t>
      </w:r>
    </w:p>
    <w:p w:rsidR="0023107E" w:rsidRDefault="0023107E" w:rsidP="0023107E"/>
    <w:p w:rsidR="0023107E" w:rsidRDefault="0023107E" w:rsidP="0023107E"/>
    <w:p w:rsidR="0023107E" w:rsidRDefault="0023107E" w:rsidP="0023107E">
      <w:r>
        <w:t>Figure 3.2</w:t>
      </w:r>
    </w:p>
    <w:p w:rsidR="0023107E" w:rsidRDefault="00FE69AE" w:rsidP="0023107E">
      <w:r>
        <w:t>The horizontal bar chart is used to</w:t>
      </w:r>
      <w:r w:rsidR="0023107E">
        <w:t xml:space="preserve"> compare the number of subjects across different visit weeks in a study</w:t>
      </w:r>
      <w:r>
        <w:t>.</w:t>
      </w:r>
    </w:p>
    <w:p w:rsidR="00FE69AE" w:rsidRPr="00FE69AE" w:rsidRDefault="00FE69AE" w:rsidP="00FE69AE">
      <w:pPr>
        <w:pStyle w:val="NormalWeb"/>
        <w:numPr>
          <w:ilvl w:val="0"/>
          <w:numId w:val="21"/>
        </w:numPr>
        <w:spacing w:before="0" w:beforeAutospacing="0" w:after="0" w:afterAutospacing="0"/>
        <w:textAlignment w:val="baseline"/>
        <w:rPr>
          <w:rFonts w:asciiTheme="minorHAnsi" w:hAnsiTheme="minorHAnsi" w:cstheme="minorHAnsi"/>
          <w:sz w:val="22"/>
          <w:szCs w:val="22"/>
        </w:rPr>
      </w:pPr>
      <w:r w:rsidRPr="00FE69AE">
        <w:rPr>
          <w:rFonts w:asciiTheme="minorHAnsi" w:hAnsiTheme="minorHAnsi" w:cstheme="minorHAnsi"/>
          <w:sz w:val="22"/>
          <w:szCs w:val="22"/>
        </w:rPr>
        <w:t>Largest number of subject visit is during Baseline week.</w:t>
      </w:r>
    </w:p>
    <w:p w:rsidR="00FE69AE" w:rsidRPr="00FE69AE" w:rsidRDefault="00FE69AE" w:rsidP="00FE69AE">
      <w:pPr>
        <w:pStyle w:val="NormalWeb"/>
        <w:numPr>
          <w:ilvl w:val="0"/>
          <w:numId w:val="21"/>
        </w:numPr>
        <w:spacing w:before="0" w:beforeAutospacing="0" w:after="0" w:afterAutospacing="0"/>
        <w:textAlignment w:val="baseline"/>
        <w:rPr>
          <w:rFonts w:asciiTheme="minorHAnsi" w:hAnsiTheme="minorHAnsi" w:cstheme="minorHAnsi"/>
          <w:sz w:val="22"/>
          <w:szCs w:val="22"/>
        </w:rPr>
      </w:pPr>
      <w:r>
        <w:rPr>
          <w:rFonts w:asciiTheme="minorHAnsi" w:hAnsiTheme="minorHAnsi" w:cstheme="minorHAnsi"/>
          <w:sz w:val="22"/>
          <w:szCs w:val="22"/>
        </w:rPr>
        <w:t>46 subject visits are</w:t>
      </w:r>
      <w:r w:rsidRPr="00FE69AE">
        <w:rPr>
          <w:rFonts w:asciiTheme="minorHAnsi" w:hAnsiTheme="minorHAnsi" w:cstheme="minorHAnsi"/>
          <w:sz w:val="22"/>
          <w:szCs w:val="22"/>
        </w:rPr>
        <w:t xml:space="preserve"> unscheduled</w:t>
      </w:r>
      <w:r>
        <w:rPr>
          <w:rFonts w:asciiTheme="minorHAnsi" w:hAnsiTheme="minorHAnsi" w:cstheme="minorHAnsi"/>
          <w:sz w:val="22"/>
          <w:szCs w:val="22"/>
        </w:rPr>
        <w:t xml:space="preserve"> and can be between any visits.</w:t>
      </w:r>
    </w:p>
    <w:p w:rsidR="00FE69AE" w:rsidRDefault="00FE69AE" w:rsidP="00FE69AE">
      <w:pPr>
        <w:pStyle w:val="NormalWeb"/>
        <w:numPr>
          <w:ilvl w:val="0"/>
          <w:numId w:val="21"/>
        </w:numPr>
        <w:spacing w:before="0" w:beforeAutospacing="0" w:after="0" w:afterAutospacing="0"/>
        <w:textAlignment w:val="baseline"/>
        <w:rPr>
          <w:rFonts w:asciiTheme="minorHAnsi" w:hAnsiTheme="minorHAnsi" w:cstheme="minorHAnsi"/>
          <w:sz w:val="22"/>
          <w:szCs w:val="22"/>
        </w:rPr>
      </w:pPr>
      <w:r w:rsidRPr="00FE69AE">
        <w:rPr>
          <w:rFonts w:asciiTheme="minorHAnsi" w:hAnsiTheme="minorHAnsi" w:cstheme="minorHAnsi"/>
          <w:sz w:val="22"/>
          <w:szCs w:val="22"/>
        </w:rPr>
        <w:t>109 subjects completed the last week 26 visit</w:t>
      </w:r>
      <w:r>
        <w:rPr>
          <w:rFonts w:asciiTheme="minorHAnsi" w:hAnsiTheme="minorHAnsi" w:cstheme="minorHAnsi"/>
          <w:sz w:val="22"/>
          <w:szCs w:val="22"/>
        </w:rPr>
        <w:t xml:space="preserve"> that is, the follow up week.</w:t>
      </w:r>
    </w:p>
    <w:p w:rsidR="00FE69AE" w:rsidRPr="00FE69AE" w:rsidRDefault="00FE69AE" w:rsidP="00FE69AE">
      <w:pPr>
        <w:pStyle w:val="NormalWeb"/>
        <w:numPr>
          <w:ilvl w:val="0"/>
          <w:numId w:val="21"/>
        </w:numPr>
        <w:spacing w:before="0" w:beforeAutospacing="0" w:after="0" w:afterAutospacing="0"/>
        <w:textAlignment w:val="baseline"/>
        <w:rPr>
          <w:rFonts w:asciiTheme="minorHAnsi" w:hAnsiTheme="minorHAnsi" w:cstheme="minorHAnsi"/>
          <w:sz w:val="22"/>
          <w:szCs w:val="22"/>
        </w:rPr>
      </w:pPr>
      <w:r>
        <w:rPr>
          <w:rFonts w:asciiTheme="minorHAnsi" w:hAnsiTheme="minorHAnsi" w:cstheme="minorHAnsi"/>
          <w:sz w:val="22"/>
          <w:szCs w:val="22"/>
        </w:rPr>
        <w:t xml:space="preserve">Out of 254 unique </w:t>
      </w:r>
      <w:r w:rsidR="00C8218B">
        <w:rPr>
          <w:rFonts w:asciiTheme="minorHAnsi" w:hAnsiTheme="minorHAnsi" w:cstheme="minorHAnsi"/>
          <w:sz w:val="22"/>
          <w:szCs w:val="22"/>
        </w:rPr>
        <w:t>subjects</w:t>
      </w:r>
      <w:r>
        <w:rPr>
          <w:rFonts w:asciiTheme="minorHAnsi" w:hAnsiTheme="minorHAnsi" w:cstheme="minorHAnsi"/>
          <w:sz w:val="22"/>
          <w:szCs w:val="22"/>
        </w:rPr>
        <w:t xml:space="preserve"> IDs 247 subjects have taken the baseline visit and the rest 7 subjects have taken unscheduled visits before the start of analysis.</w:t>
      </w:r>
    </w:p>
    <w:p w:rsidR="00FE69AE" w:rsidRDefault="00FE69AE" w:rsidP="00FE69AE"/>
    <w:p w:rsidR="00FE69AE" w:rsidRDefault="00FE69AE" w:rsidP="00FE69AE"/>
    <w:p w:rsidR="00FE69AE" w:rsidRDefault="00FE69AE" w:rsidP="00FE69AE">
      <w:r>
        <w:t>Figure 3.3</w:t>
      </w:r>
    </w:p>
    <w:p w:rsidR="00FE69AE" w:rsidRDefault="00FE69AE" w:rsidP="00FE69AE">
      <w:r>
        <w:t xml:space="preserve">The </w:t>
      </w:r>
      <w:proofErr w:type="spellStart"/>
      <w:r>
        <w:t>Heatmap</w:t>
      </w:r>
      <w:proofErr w:type="spellEnd"/>
      <w:r>
        <w:t xml:space="preserve"> shows the c</w:t>
      </w:r>
      <w:r w:rsidRPr="00FE69AE">
        <w:t>ount of subjects in different parameters marked according to reference range indicator</w:t>
      </w:r>
      <w:r>
        <w:t>.</w:t>
      </w:r>
      <w:r w:rsidR="00434EB4">
        <w:t xml:space="preserve"> The variable used is PARAMCD. </w:t>
      </w:r>
    </w:p>
    <w:p w:rsidR="00B919A6" w:rsidRPr="00FE69AE" w:rsidRDefault="00845C90" w:rsidP="00FE69AE">
      <w:pPr>
        <w:pStyle w:val="ListParagraph"/>
        <w:numPr>
          <w:ilvl w:val="0"/>
          <w:numId w:val="23"/>
        </w:numPr>
      </w:pPr>
      <w:r w:rsidRPr="00FE69AE">
        <w:t xml:space="preserve">Majority of subjects have remained normal pre and post treatment. </w:t>
      </w:r>
    </w:p>
    <w:p w:rsidR="00B919A6" w:rsidRPr="00FE69AE" w:rsidRDefault="00845C90" w:rsidP="00FE69AE">
      <w:pPr>
        <w:pStyle w:val="ListParagraph"/>
        <w:numPr>
          <w:ilvl w:val="0"/>
          <w:numId w:val="23"/>
        </w:numPr>
      </w:pPr>
      <w:r w:rsidRPr="00FE69AE">
        <w:t>There has been an increase in t</w:t>
      </w:r>
      <w:r w:rsidR="00E24A5A">
        <w:t>he number of records in the high value in parameter ‘M</w:t>
      </w:r>
      <w:r w:rsidRPr="00FE69AE">
        <w:t>CV’</w:t>
      </w:r>
      <w:r w:rsidR="00C8218B">
        <w:t xml:space="preserve"> </w:t>
      </w:r>
      <w:r w:rsidRPr="00FE69AE">
        <w:t>(</w:t>
      </w:r>
      <w:r w:rsidR="00E24A5A">
        <w:t>116 - 187</w:t>
      </w:r>
      <w:r w:rsidRPr="00FE69AE">
        <w:t>),</w:t>
      </w:r>
      <w:r w:rsidR="00434EB4" w:rsidRPr="00FE69AE">
        <w:t>’RBC’ (</w:t>
      </w:r>
      <w:r w:rsidR="00E24A5A">
        <w:t>90 - 132</w:t>
      </w:r>
      <w:r w:rsidRPr="00FE69AE">
        <w:t xml:space="preserve">) and </w:t>
      </w:r>
      <w:proofErr w:type="gramStart"/>
      <w:r w:rsidRPr="00FE69AE">
        <w:t>‘HGB’(</w:t>
      </w:r>
      <w:proofErr w:type="gramEnd"/>
      <w:r w:rsidR="00E24A5A">
        <w:t>54 -96</w:t>
      </w:r>
      <w:r w:rsidRPr="00FE69AE">
        <w:t xml:space="preserve">). </w:t>
      </w:r>
    </w:p>
    <w:p w:rsidR="00434EB4" w:rsidRDefault="00C8218B" w:rsidP="00434EB4">
      <w:pPr>
        <w:pStyle w:val="ListParagraph"/>
        <w:numPr>
          <w:ilvl w:val="0"/>
          <w:numId w:val="23"/>
        </w:numPr>
      </w:pPr>
      <w:r>
        <w:t xml:space="preserve">Frequency of subjects normal is </w:t>
      </w:r>
      <w:r w:rsidR="00E24A5A">
        <w:t xml:space="preserve">largest </w:t>
      </w:r>
      <w:r>
        <w:t>in 12 parameters.</w:t>
      </w:r>
    </w:p>
    <w:p w:rsidR="00434EB4" w:rsidRPr="00434EB4" w:rsidRDefault="00C8218B" w:rsidP="00434EB4">
      <w:pPr>
        <w:pStyle w:val="ListParagraph"/>
        <w:numPr>
          <w:ilvl w:val="0"/>
          <w:numId w:val="23"/>
        </w:numPr>
      </w:pPr>
      <w:r>
        <w:t xml:space="preserve">Number </w:t>
      </w:r>
      <w:r w:rsidR="00434EB4">
        <w:t xml:space="preserve">of subjects tested for parameters </w:t>
      </w:r>
      <w:r w:rsidR="00434EB4" w:rsidRPr="00434EB4">
        <w:rPr>
          <w:rFonts w:ascii="Arial" w:eastAsia="Times New Roman" w:hAnsi="Arial" w:cs="Arial"/>
          <w:color w:val="000000"/>
          <w:sz w:val="20"/>
          <w:szCs w:val="20"/>
        </w:rPr>
        <w:t>Anisocytes</w:t>
      </w:r>
      <w:r w:rsidR="00434EB4">
        <w:rPr>
          <w:rFonts w:ascii="Arial" w:eastAsia="Times New Roman" w:hAnsi="Arial" w:cs="Arial"/>
          <w:color w:val="000000"/>
          <w:sz w:val="20"/>
          <w:szCs w:val="20"/>
        </w:rPr>
        <w:t>, Macrocytes and Polychromasia remained abnormal before and after the treatment.</w:t>
      </w:r>
    </w:p>
    <w:p w:rsidR="00C8218B" w:rsidRDefault="00434EB4" w:rsidP="00FE69AE">
      <w:pPr>
        <w:pStyle w:val="ListParagraph"/>
        <w:numPr>
          <w:ilvl w:val="0"/>
          <w:numId w:val="23"/>
        </w:numPr>
      </w:pPr>
      <w:r>
        <w:t xml:space="preserve"> </w:t>
      </w:r>
      <w:r w:rsidR="00E24A5A">
        <w:t>There has been an increase in the number of records for 4 parameters i.e., BASO, HCT, MCHC, and PLAT.</w:t>
      </w:r>
    </w:p>
    <w:p w:rsidR="00441461" w:rsidRDefault="00441461" w:rsidP="00441461"/>
    <w:p w:rsidR="00441461" w:rsidRDefault="00441461" w:rsidP="00441461">
      <w:r>
        <w:t xml:space="preserve">Figure 3.4 </w:t>
      </w:r>
    </w:p>
    <w:p w:rsidR="00441461" w:rsidRDefault="00441461" w:rsidP="00441461">
      <w:r>
        <w:t>The line plot tells about the average CHG and PHG IN treatment groups.</w:t>
      </w:r>
    </w:p>
    <w:p w:rsidR="00441461" w:rsidRDefault="00441461" w:rsidP="00441461">
      <w:pPr>
        <w:pStyle w:val="ListParagraph"/>
        <w:numPr>
          <w:ilvl w:val="0"/>
          <w:numId w:val="30"/>
        </w:numPr>
      </w:pPr>
      <w:r>
        <w:t>The parameter PLAT shows the highest range of values.</w:t>
      </w:r>
    </w:p>
    <w:p w:rsidR="00441461" w:rsidRDefault="00441461" w:rsidP="00441461">
      <w:pPr>
        <w:pStyle w:val="ListParagraph"/>
        <w:numPr>
          <w:ilvl w:val="0"/>
          <w:numId w:val="30"/>
        </w:numPr>
      </w:pPr>
      <w:r>
        <w:t>The PCHG of BASO is not shown as its value is infinity because its baseline value is 0.</w:t>
      </w:r>
    </w:p>
    <w:p w:rsidR="00441461" w:rsidRDefault="00441461" w:rsidP="00441461">
      <w:pPr>
        <w:pStyle w:val="ListParagraph"/>
        <w:numPr>
          <w:ilvl w:val="0"/>
          <w:numId w:val="30"/>
        </w:numPr>
      </w:pPr>
      <w:r>
        <w:t xml:space="preserve">Average PCHG value is marked highest for </w:t>
      </w:r>
      <w:proofErr w:type="spellStart"/>
      <w:r>
        <w:t>Xanomeline</w:t>
      </w:r>
      <w:proofErr w:type="spellEnd"/>
      <w:r>
        <w:t xml:space="preserve"> High dose under the parameter EOS.</w:t>
      </w:r>
    </w:p>
    <w:p w:rsidR="00441461" w:rsidRDefault="00441461" w:rsidP="00441461">
      <w:pPr>
        <w:pStyle w:val="ListParagraph"/>
        <w:numPr>
          <w:ilvl w:val="0"/>
          <w:numId w:val="30"/>
        </w:numPr>
      </w:pPr>
      <w:r>
        <w:t xml:space="preserve">Highest CHG value is also observed for </w:t>
      </w:r>
      <w:proofErr w:type="spellStart"/>
      <w:r>
        <w:t>Xanomeline</w:t>
      </w:r>
      <w:proofErr w:type="spellEnd"/>
      <w:r>
        <w:t xml:space="preserve"> High dose under the parameter PLAT.</w:t>
      </w:r>
    </w:p>
    <w:p w:rsidR="00441461" w:rsidRDefault="00441461" w:rsidP="00441461"/>
    <w:p w:rsidR="0036730C" w:rsidRDefault="0036730C" w:rsidP="00441461">
      <w:pPr>
        <w:rPr>
          <w:sz w:val="28"/>
          <w:szCs w:val="28"/>
        </w:rPr>
      </w:pPr>
    </w:p>
    <w:p w:rsidR="0036730C" w:rsidRDefault="0036730C" w:rsidP="00441461">
      <w:pPr>
        <w:rPr>
          <w:sz w:val="28"/>
          <w:szCs w:val="28"/>
        </w:rPr>
      </w:pPr>
    </w:p>
    <w:p w:rsidR="00441461" w:rsidRPr="007E7878" w:rsidRDefault="00441461" w:rsidP="00441461">
      <w:pPr>
        <w:rPr>
          <w:sz w:val="28"/>
          <w:szCs w:val="28"/>
        </w:rPr>
      </w:pPr>
      <w:r w:rsidRPr="007E7878">
        <w:rPr>
          <w:sz w:val="28"/>
          <w:szCs w:val="28"/>
        </w:rPr>
        <w:lastRenderedPageBreak/>
        <w:t>TASK 4_ BONUS TASK</w:t>
      </w:r>
    </w:p>
    <w:p w:rsidR="00441461" w:rsidRDefault="00441461" w:rsidP="00441461">
      <w:r>
        <w:t>Figure 4.1</w:t>
      </w:r>
    </w:p>
    <w:p w:rsidR="00441461" w:rsidRDefault="00441461" w:rsidP="00441461">
      <w:pPr>
        <w:pStyle w:val="NormalWeb"/>
        <w:spacing w:before="0" w:beforeAutospacing="0" w:after="0" w:afterAutospacing="0"/>
        <w:textAlignment w:val="baseline"/>
        <w:rPr>
          <w:rFonts w:asciiTheme="minorHAnsi" w:hAnsiTheme="minorHAnsi" w:cstheme="minorHAnsi"/>
          <w:color w:val="000000" w:themeColor="text1"/>
          <w:sz w:val="22"/>
          <w:szCs w:val="22"/>
        </w:rPr>
      </w:pPr>
      <w:r w:rsidRPr="00441461">
        <w:rPr>
          <w:rFonts w:asciiTheme="minorHAnsi" w:hAnsiTheme="minorHAnsi" w:cstheme="minorHAnsi"/>
          <w:color w:val="000000" w:themeColor="text1"/>
          <w:sz w:val="22"/>
          <w:szCs w:val="22"/>
        </w:rPr>
        <w:t xml:space="preserve">We intend to explore the counts of severe adverse events under the varying doses of </w:t>
      </w:r>
      <w:proofErr w:type="spellStart"/>
      <w:r w:rsidRPr="00441461">
        <w:rPr>
          <w:rFonts w:asciiTheme="minorHAnsi" w:hAnsiTheme="minorHAnsi" w:cstheme="minorHAnsi"/>
          <w:color w:val="000000" w:themeColor="text1"/>
          <w:sz w:val="22"/>
          <w:szCs w:val="22"/>
        </w:rPr>
        <w:t>Xanomeline</w:t>
      </w:r>
      <w:proofErr w:type="spellEnd"/>
      <w:r w:rsidRPr="00441461">
        <w:rPr>
          <w:rFonts w:asciiTheme="minorHAnsi" w:hAnsiTheme="minorHAnsi" w:cstheme="minorHAnsi"/>
          <w:color w:val="000000" w:themeColor="text1"/>
          <w:sz w:val="22"/>
          <w:szCs w:val="22"/>
        </w:rPr>
        <w:t xml:space="preserve"> High Dose.</w:t>
      </w:r>
    </w:p>
    <w:p w:rsidR="00441461" w:rsidRPr="00441461" w:rsidRDefault="00441461" w:rsidP="00441461">
      <w:pPr>
        <w:pStyle w:val="NormalWeb"/>
        <w:numPr>
          <w:ilvl w:val="0"/>
          <w:numId w:val="29"/>
        </w:numPr>
        <w:spacing w:before="0" w:beforeAutospacing="0" w:after="0" w:afterAutospacing="0"/>
        <w:textAlignment w:val="baseline"/>
        <w:rPr>
          <w:rFonts w:asciiTheme="minorHAnsi" w:hAnsiTheme="minorHAnsi" w:cstheme="minorHAnsi"/>
          <w:color w:val="000000" w:themeColor="text1"/>
          <w:sz w:val="22"/>
          <w:szCs w:val="22"/>
        </w:rPr>
      </w:pPr>
      <w:r w:rsidRPr="00441461">
        <w:rPr>
          <w:rFonts w:asciiTheme="minorHAnsi" w:hAnsiTheme="minorHAnsi" w:cstheme="minorHAnsi"/>
          <w:color w:val="000000" w:themeColor="text1"/>
          <w:sz w:val="22"/>
          <w:szCs w:val="22"/>
        </w:rPr>
        <w:t>As the average dose increases, the count of mild, moderate and severe cases are increasing.</w:t>
      </w:r>
    </w:p>
    <w:p w:rsidR="00441461" w:rsidRPr="00441461" w:rsidRDefault="00441461" w:rsidP="00441461">
      <w:pPr>
        <w:pStyle w:val="NormalWeb"/>
        <w:numPr>
          <w:ilvl w:val="0"/>
          <w:numId w:val="29"/>
        </w:numPr>
        <w:spacing w:before="0" w:beforeAutospacing="0" w:after="0" w:afterAutospacing="0"/>
        <w:textAlignment w:val="baseline"/>
        <w:rPr>
          <w:rFonts w:asciiTheme="minorHAnsi" w:hAnsiTheme="minorHAnsi" w:cstheme="minorHAnsi"/>
          <w:color w:val="000000" w:themeColor="text1"/>
          <w:sz w:val="22"/>
          <w:szCs w:val="22"/>
        </w:rPr>
      </w:pPr>
      <w:r w:rsidRPr="00441461">
        <w:rPr>
          <w:rFonts w:asciiTheme="minorHAnsi" w:hAnsiTheme="minorHAnsi" w:cstheme="minorHAnsi"/>
          <w:color w:val="000000" w:themeColor="text1"/>
          <w:sz w:val="22"/>
          <w:szCs w:val="22"/>
        </w:rPr>
        <w:t>In the case of mild and severe adverse events, the frequency increase in the range of (74 - 78.5).</w:t>
      </w:r>
    </w:p>
    <w:p w:rsidR="00441461" w:rsidRDefault="00441461" w:rsidP="00441461">
      <w:pPr>
        <w:pStyle w:val="NormalWeb"/>
        <w:numPr>
          <w:ilvl w:val="0"/>
          <w:numId w:val="29"/>
        </w:numPr>
        <w:spacing w:before="0" w:beforeAutospacing="0" w:after="0" w:afterAutospacing="0"/>
        <w:textAlignment w:val="baseline"/>
        <w:rPr>
          <w:rFonts w:asciiTheme="minorHAnsi" w:hAnsiTheme="minorHAnsi" w:cstheme="minorHAnsi"/>
          <w:color w:val="000000" w:themeColor="text1"/>
          <w:sz w:val="22"/>
          <w:szCs w:val="22"/>
        </w:rPr>
      </w:pPr>
      <w:r w:rsidRPr="00441461">
        <w:rPr>
          <w:rFonts w:asciiTheme="minorHAnsi" w:hAnsiTheme="minorHAnsi" w:cstheme="minorHAnsi"/>
          <w:color w:val="000000" w:themeColor="text1"/>
          <w:sz w:val="22"/>
          <w:szCs w:val="22"/>
        </w:rPr>
        <w:t>In moderate adverse e</w:t>
      </w:r>
      <w:r w:rsidR="00AE2C30">
        <w:rPr>
          <w:rFonts w:asciiTheme="minorHAnsi" w:hAnsiTheme="minorHAnsi" w:cstheme="minorHAnsi"/>
          <w:color w:val="000000" w:themeColor="text1"/>
          <w:sz w:val="22"/>
          <w:szCs w:val="22"/>
        </w:rPr>
        <w:t>vents, it is more in (53.999-58</w:t>
      </w:r>
      <w:r w:rsidRPr="00441461">
        <w:rPr>
          <w:rFonts w:asciiTheme="minorHAnsi" w:hAnsiTheme="minorHAnsi" w:cstheme="minorHAnsi"/>
          <w:color w:val="000000" w:themeColor="text1"/>
          <w:sz w:val="22"/>
          <w:szCs w:val="22"/>
        </w:rPr>
        <w:t>)</w:t>
      </w:r>
      <w:r w:rsidR="00AE2C30">
        <w:rPr>
          <w:rFonts w:asciiTheme="minorHAnsi" w:hAnsiTheme="minorHAnsi" w:cstheme="minorHAnsi"/>
          <w:color w:val="000000" w:themeColor="text1"/>
          <w:sz w:val="22"/>
          <w:szCs w:val="22"/>
        </w:rPr>
        <w:t xml:space="preserve"> </w:t>
      </w:r>
      <w:r w:rsidRPr="00441461">
        <w:rPr>
          <w:rFonts w:asciiTheme="minorHAnsi" w:hAnsiTheme="minorHAnsi" w:cstheme="minorHAnsi"/>
          <w:color w:val="000000" w:themeColor="text1"/>
          <w:sz w:val="22"/>
          <w:szCs w:val="22"/>
        </w:rPr>
        <w:t xml:space="preserve">it then decreases and gradually increases in the </w:t>
      </w:r>
      <w:proofErr w:type="gramStart"/>
      <w:r w:rsidRPr="00441461">
        <w:rPr>
          <w:rFonts w:asciiTheme="minorHAnsi" w:hAnsiTheme="minorHAnsi" w:cstheme="minorHAnsi"/>
          <w:color w:val="000000" w:themeColor="text1"/>
          <w:sz w:val="22"/>
          <w:szCs w:val="22"/>
        </w:rPr>
        <w:t>range(</w:t>
      </w:r>
      <w:proofErr w:type="gramEnd"/>
      <w:r w:rsidRPr="00441461">
        <w:rPr>
          <w:rFonts w:asciiTheme="minorHAnsi" w:hAnsiTheme="minorHAnsi" w:cstheme="minorHAnsi"/>
          <w:color w:val="000000" w:themeColor="text1"/>
          <w:sz w:val="22"/>
          <w:szCs w:val="22"/>
        </w:rPr>
        <w:t>74 - 78.6).</w:t>
      </w:r>
    </w:p>
    <w:p w:rsidR="002E04B9" w:rsidRDefault="002E04B9" w:rsidP="002E04B9">
      <w:pPr>
        <w:pStyle w:val="NormalWeb"/>
        <w:spacing w:before="0" w:beforeAutospacing="0" w:after="0" w:afterAutospacing="0"/>
        <w:textAlignment w:val="baseline"/>
        <w:rPr>
          <w:rFonts w:asciiTheme="minorHAnsi" w:hAnsiTheme="minorHAnsi" w:cstheme="minorHAnsi"/>
          <w:color w:val="000000" w:themeColor="text1"/>
          <w:sz w:val="22"/>
          <w:szCs w:val="22"/>
        </w:rPr>
      </w:pPr>
    </w:p>
    <w:p w:rsidR="002E04B9" w:rsidRDefault="002E04B9" w:rsidP="002E04B9">
      <w:pPr>
        <w:pStyle w:val="NormalWeb"/>
        <w:spacing w:before="0" w:beforeAutospacing="0" w:after="0" w:afterAutospacing="0"/>
        <w:textAlignment w:val="baseline"/>
        <w:rPr>
          <w:rFonts w:asciiTheme="minorHAnsi" w:hAnsiTheme="minorHAnsi" w:cstheme="minorHAnsi"/>
          <w:color w:val="000000" w:themeColor="text1"/>
          <w:sz w:val="22"/>
          <w:szCs w:val="22"/>
        </w:rPr>
      </w:pPr>
    </w:p>
    <w:p w:rsidR="002E04B9" w:rsidRDefault="002E04B9" w:rsidP="002E04B9">
      <w:pPr>
        <w:pStyle w:val="NormalWeb"/>
        <w:spacing w:before="0" w:beforeAutospacing="0" w:after="0" w:afterAutospacing="0"/>
        <w:textAlignment w:val="baseline"/>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Figure 4.2</w:t>
      </w:r>
    </w:p>
    <w:p w:rsidR="002E04B9" w:rsidRDefault="002E04B9" w:rsidP="002E04B9">
      <w:pPr>
        <w:pStyle w:val="NormalWeb"/>
        <w:spacing w:before="0" w:beforeAutospacing="0" w:after="0" w:afterAutospacing="0"/>
        <w:textAlignment w:val="baseline"/>
        <w:rPr>
          <w:rFonts w:asciiTheme="minorHAnsi" w:hAnsiTheme="minorHAnsi" w:cstheme="minorHAnsi"/>
          <w:color w:val="000000" w:themeColor="text1"/>
          <w:sz w:val="22"/>
          <w:szCs w:val="22"/>
        </w:rPr>
      </w:pPr>
    </w:p>
    <w:p w:rsidR="002E04B9" w:rsidRDefault="002E04B9" w:rsidP="002E04B9">
      <w:pPr>
        <w:pStyle w:val="NormalWeb"/>
        <w:spacing w:before="0" w:beforeAutospacing="0" w:after="0" w:afterAutospacing="0"/>
        <w:textAlignment w:val="baseline"/>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The line chart shows the range of a particular parameter for hospitalized subjects under mild, moderate and severe adverse events separately.</w:t>
      </w:r>
    </w:p>
    <w:p w:rsidR="002E04B9" w:rsidRDefault="002C64AE" w:rsidP="002E04B9">
      <w:pPr>
        <w:pStyle w:val="NormalWeb"/>
        <w:numPr>
          <w:ilvl w:val="0"/>
          <w:numId w:val="34"/>
        </w:numPr>
        <w:spacing w:before="0" w:beforeAutospacing="0" w:after="0" w:afterAutospacing="0"/>
        <w:textAlignment w:val="baseline"/>
        <w:rPr>
          <w:rFonts w:asciiTheme="minorHAnsi" w:hAnsiTheme="minorHAnsi" w:cstheme="minorHAnsi"/>
          <w:color w:val="000000" w:themeColor="text1"/>
          <w:sz w:val="22"/>
          <w:szCs w:val="22"/>
        </w:rPr>
      </w:pPr>
      <w:proofErr w:type="gramStart"/>
      <w:r>
        <w:rPr>
          <w:rFonts w:asciiTheme="minorHAnsi" w:hAnsiTheme="minorHAnsi" w:cstheme="minorHAnsi"/>
          <w:color w:val="000000" w:themeColor="text1"/>
          <w:sz w:val="22"/>
          <w:szCs w:val="22"/>
        </w:rPr>
        <w:t xml:space="preserve">The </w:t>
      </w:r>
      <w:r w:rsidR="002E04B9">
        <w:rPr>
          <w:rFonts w:asciiTheme="minorHAnsi" w:hAnsiTheme="minorHAnsi" w:cstheme="minorHAnsi"/>
          <w:color w:val="000000" w:themeColor="text1"/>
          <w:sz w:val="22"/>
          <w:szCs w:val="22"/>
        </w:rPr>
        <w:t xml:space="preserve"> </w:t>
      </w:r>
      <w:r>
        <w:rPr>
          <w:rFonts w:asciiTheme="minorHAnsi" w:hAnsiTheme="minorHAnsi" w:cstheme="minorHAnsi"/>
          <w:color w:val="000000" w:themeColor="text1"/>
          <w:sz w:val="22"/>
          <w:szCs w:val="22"/>
        </w:rPr>
        <w:t>range</w:t>
      </w:r>
      <w:proofErr w:type="gramEnd"/>
      <w:r>
        <w:rPr>
          <w:rFonts w:asciiTheme="minorHAnsi" w:hAnsiTheme="minorHAnsi" w:cstheme="minorHAnsi"/>
          <w:color w:val="000000" w:themeColor="text1"/>
          <w:sz w:val="22"/>
          <w:szCs w:val="22"/>
        </w:rPr>
        <w:t xml:space="preserve"> of 12 lab parameters of subjects is</w:t>
      </w:r>
      <w:r w:rsidR="002E04B9">
        <w:rPr>
          <w:rFonts w:asciiTheme="minorHAnsi" w:hAnsiTheme="minorHAnsi" w:cstheme="minorHAnsi"/>
          <w:color w:val="000000" w:themeColor="text1"/>
          <w:sz w:val="22"/>
          <w:szCs w:val="22"/>
        </w:rPr>
        <w:t xml:space="preserve"> visualized</w:t>
      </w:r>
      <w:r>
        <w:rPr>
          <w:rFonts w:asciiTheme="minorHAnsi" w:hAnsiTheme="minorHAnsi" w:cstheme="minorHAnsi"/>
          <w:color w:val="000000" w:themeColor="text1"/>
          <w:sz w:val="22"/>
          <w:szCs w:val="22"/>
        </w:rPr>
        <w:t xml:space="preserve"> and the remaining parameters have been omitted due to constant val</w:t>
      </w:r>
      <w:r w:rsidR="00833EBE">
        <w:rPr>
          <w:rFonts w:asciiTheme="minorHAnsi" w:hAnsiTheme="minorHAnsi" w:cstheme="minorHAnsi"/>
          <w:color w:val="000000" w:themeColor="text1"/>
          <w:sz w:val="22"/>
          <w:szCs w:val="22"/>
        </w:rPr>
        <w:t>ues or missing values.</w:t>
      </w:r>
    </w:p>
    <w:p w:rsidR="002C64AE" w:rsidRDefault="002C64AE" w:rsidP="002E04B9">
      <w:pPr>
        <w:pStyle w:val="NormalWeb"/>
        <w:numPr>
          <w:ilvl w:val="0"/>
          <w:numId w:val="34"/>
        </w:numPr>
        <w:spacing w:before="0" w:beforeAutospacing="0" w:after="0" w:afterAutospacing="0"/>
        <w:textAlignment w:val="baseline"/>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Under hospitalized cases, there are 3 subjects in mild, 6 subjects in moderate and 12 subjects in severe.</w:t>
      </w:r>
    </w:p>
    <w:p w:rsidR="002C64AE" w:rsidRDefault="002E04B9" w:rsidP="002E04B9">
      <w:pPr>
        <w:pStyle w:val="NormalWeb"/>
        <w:numPr>
          <w:ilvl w:val="0"/>
          <w:numId w:val="34"/>
        </w:numPr>
        <w:spacing w:before="0" w:beforeAutospacing="0" w:after="0" w:afterAutospacing="0"/>
        <w:textAlignment w:val="baseline"/>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For example,</w:t>
      </w:r>
      <w:r w:rsidR="002C64AE">
        <w:rPr>
          <w:rFonts w:asciiTheme="minorHAnsi" w:hAnsiTheme="minorHAnsi" w:cstheme="minorHAnsi"/>
          <w:color w:val="000000" w:themeColor="text1"/>
          <w:sz w:val="22"/>
          <w:szCs w:val="22"/>
        </w:rPr>
        <w:t xml:space="preserve"> </w:t>
      </w:r>
      <w:r>
        <w:rPr>
          <w:rFonts w:asciiTheme="minorHAnsi" w:hAnsiTheme="minorHAnsi" w:cstheme="minorHAnsi"/>
          <w:color w:val="000000" w:themeColor="text1"/>
          <w:sz w:val="22"/>
          <w:szCs w:val="22"/>
        </w:rPr>
        <w:t>in HGB parameter,</w:t>
      </w:r>
      <w:r w:rsidR="002C64AE">
        <w:rPr>
          <w:rFonts w:asciiTheme="minorHAnsi" w:hAnsiTheme="minorHAnsi" w:cstheme="minorHAnsi"/>
          <w:color w:val="000000" w:themeColor="text1"/>
          <w:sz w:val="22"/>
          <w:szCs w:val="22"/>
        </w:rPr>
        <w:t xml:space="preserve"> </w:t>
      </w:r>
    </w:p>
    <w:p w:rsidR="002C64AE" w:rsidRDefault="002C64AE" w:rsidP="002C64AE">
      <w:pPr>
        <w:pStyle w:val="NormalWeb"/>
        <w:numPr>
          <w:ilvl w:val="1"/>
          <w:numId w:val="34"/>
        </w:numPr>
        <w:spacing w:before="0" w:beforeAutospacing="0" w:after="0" w:afterAutospacing="0"/>
        <w:textAlignment w:val="baseline"/>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In severe cases the highest range is observed for subject ID 01-710-1368 and lowest range is observed for 01-710-1066.</w:t>
      </w:r>
    </w:p>
    <w:p w:rsidR="002C64AE" w:rsidRDefault="002C64AE" w:rsidP="002C64AE">
      <w:pPr>
        <w:pStyle w:val="NormalWeb"/>
        <w:numPr>
          <w:ilvl w:val="1"/>
          <w:numId w:val="34"/>
        </w:numPr>
        <w:spacing w:before="0" w:beforeAutospacing="0" w:after="0" w:afterAutospacing="0"/>
        <w:textAlignment w:val="baseline"/>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In moderate cases, the highest range is observed for subject ID 01-701-1192 and lowest range is observed for 01-710-1142.</w:t>
      </w:r>
    </w:p>
    <w:p w:rsidR="002C64AE" w:rsidRPr="002C64AE" w:rsidRDefault="002C64AE" w:rsidP="002C64AE">
      <w:pPr>
        <w:pStyle w:val="NormalWeb"/>
        <w:numPr>
          <w:ilvl w:val="1"/>
          <w:numId w:val="34"/>
        </w:numPr>
        <w:spacing w:before="0" w:beforeAutospacing="0" w:after="0" w:afterAutospacing="0"/>
        <w:textAlignment w:val="baseline"/>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In mild cases, the highest range is observed for subject ID 01-709-1259 and lowest range is observed for 01-709-1326 and 01-710-1002.</w:t>
      </w:r>
    </w:p>
    <w:p w:rsidR="00441461" w:rsidRPr="00441461" w:rsidRDefault="00441461" w:rsidP="00441461">
      <w:pPr>
        <w:rPr>
          <w:rFonts w:cstheme="minorHAnsi"/>
          <w:color w:val="000000" w:themeColor="text1"/>
        </w:rPr>
      </w:pPr>
    </w:p>
    <w:p w:rsidR="00393999" w:rsidRDefault="00393999" w:rsidP="00393999">
      <w:pPr>
        <w:pStyle w:val="ListParagraph"/>
      </w:pPr>
    </w:p>
    <w:p w:rsidR="0087706F" w:rsidRDefault="0087706F" w:rsidP="0087706F">
      <w:pPr>
        <w:pStyle w:val="ListParagraph"/>
      </w:pPr>
    </w:p>
    <w:p w:rsidR="009E0AE4" w:rsidRDefault="009E0AE4" w:rsidP="009E0AE4">
      <w:pPr>
        <w:pStyle w:val="ListParagraph"/>
      </w:pPr>
    </w:p>
    <w:sectPr w:rsidR="009E0AE4" w:rsidSect="008D637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F630C2"/>
    <w:multiLevelType w:val="hybridMultilevel"/>
    <w:tmpl w:val="3738B0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9D6F99"/>
    <w:multiLevelType w:val="hybridMultilevel"/>
    <w:tmpl w:val="321EFB60"/>
    <w:lvl w:ilvl="0" w:tplc="5D726F74">
      <w:start w:val="1"/>
      <w:numFmt w:val="bullet"/>
      <w:lvlText w:val="●"/>
      <w:lvlJc w:val="left"/>
      <w:pPr>
        <w:tabs>
          <w:tab w:val="num" w:pos="720"/>
        </w:tabs>
        <w:ind w:left="720" w:hanging="360"/>
      </w:pPr>
      <w:rPr>
        <w:rFonts w:ascii="Arial" w:hAnsi="Arial" w:hint="default"/>
      </w:rPr>
    </w:lvl>
    <w:lvl w:ilvl="1" w:tplc="4748EE4E" w:tentative="1">
      <w:start w:val="1"/>
      <w:numFmt w:val="bullet"/>
      <w:lvlText w:val="●"/>
      <w:lvlJc w:val="left"/>
      <w:pPr>
        <w:tabs>
          <w:tab w:val="num" w:pos="1440"/>
        </w:tabs>
        <w:ind w:left="1440" w:hanging="360"/>
      </w:pPr>
      <w:rPr>
        <w:rFonts w:ascii="Arial" w:hAnsi="Arial" w:hint="default"/>
      </w:rPr>
    </w:lvl>
    <w:lvl w:ilvl="2" w:tplc="A90A805A" w:tentative="1">
      <w:start w:val="1"/>
      <w:numFmt w:val="bullet"/>
      <w:lvlText w:val="●"/>
      <w:lvlJc w:val="left"/>
      <w:pPr>
        <w:tabs>
          <w:tab w:val="num" w:pos="2160"/>
        </w:tabs>
        <w:ind w:left="2160" w:hanging="360"/>
      </w:pPr>
      <w:rPr>
        <w:rFonts w:ascii="Arial" w:hAnsi="Arial" w:hint="default"/>
      </w:rPr>
    </w:lvl>
    <w:lvl w:ilvl="3" w:tplc="7188FF10" w:tentative="1">
      <w:start w:val="1"/>
      <w:numFmt w:val="bullet"/>
      <w:lvlText w:val="●"/>
      <w:lvlJc w:val="left"/>
      <w:pPr>
        <w:tabs>
          <w:tab w:val="num" w:pos="2880"/>
        </w:tabs>
        <w:ind w:left="2880" w:hanging="360"/>
      </w:pPr>
      <w:rPr>
        <w:rFonts w:ascii="Arial" w:hAnsi="Arial" w:hint="default"/>
      </w:rPr>
    </w:lvl>
    <w:lvl w:ilvl="4" w:tplc="AECAF17E" w:tentative="1">
      <w:start w:val="1"/>
      <w:numFmt w:val="bullet"/>
      <w:lvlText w:val="●"/>
      <w:lvlJc w:val="left"/>
      <w:pPr>
        <w:tabs>
          <w:tab w:val="num" w:pos="3600"/>
        </w:tabs>
        <w:ind w:left="3600" w:hanging="360"/>
      </w:pPr>
      <w:rPr>
        <w:rFonts w:ascii="Arial" w:hAnsi="Arial" w:hint="default"/>
      </w:rPr>
    </w:lvl>
    <w:lvl w:ilvl="5" w:tplc="0838BFB0" w:tentative="1">
      <w:start w:val="1"/>
      <w:numFmt w:val="bullet"/>
      <w:lvlText w:val="●"/>
      <w:lvlJc w:val="left"/>
      <w:pPr>
        <w:tabs>
          <w:tab w:val="num" w:pos="4320"/>
        </w:tabs>
        <w:ind w:left="4320" w:hanging="360"/>
      </w:pPr>
      <w:rPr>
        <w:rFonts w:ascii="Arial" w:hAnsi="Arial" w:hint="default"/>
      </w:rPr>
    </w:lvl>
    <w:lvl w:ilvl="6" w:tplc="741CC71C" w:tentative="1">
      <w:start w:val="1"/>
      <w:numFmt w:val="bullet"/>
      <w:lvlText w:val="●"/>
      <w:lvlJc w:val="left"/>
      <w:pPr>
        <w:tabs>
          <w:tab w:val="num" w:pos="5040"/>
        </w:tabs>
        <w:ind w:left="5040" w:hanging="360"/>
      </w:pPr>
      <w:rPr>
        <w:rFonts w:ascii="Arial" w:hAnsi="Arial" w:hint="default"/>
      </w:rPr>
    </w:lvl>
    <w:lvl w:ilvl="7" w:tplc="17C66D76" w:tentative="1">
      <w:start w:val="1"/>
      <w:numFmt w:val="bullet"/>
      <w:lvlText w:val="●"/>
      <w:lvlJc w:val="left"/>
      <w:pPr>
        <w:tabs>
          <w:tab w:val="num" w:pos="5760"/>
        </w:tabs>
        <w:ind w:left="5760" w:hanging="360"/>
      </w:pPr>
      <w:rPr>
        <w:rFonts w:ascii="Arial" w:hAnsi="Arial" w:hint="default"/>
      </w:rPr>
    </w:lvl>
    <w:lvl w:ilvl="8" w:tplc="B3404510" w:tentative="1">
      <w:start w:val="1"/>
      <w:numFmt w:val="bullet"/>
      <w:lvlText w:val="●"/>
      <w:lvlJc w:val="left"/>
      <w:pPr>
        <w:tabs>
          <w:tab w:val="num" w:pos="6480"/>
        </w:tabs>
        <w:ind w:left="6480" w:hanging="360"/>
      </w:pPr>
      <w:rPr>
        <w:rFonts w:ascii="Arial" w:hAnsi="Arial" w:hint="default"/>
      </w:rPr>
    </w:lvl>
  </w:abstractNum>
  <w:abstractNum w:abstractNumId="2">
    <w:nsid w:val="0C0250A7"/>
    <w:multiLevelType w:val="hybridMultilevel"/>
    <w:tmpl w:val="5F4E92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E93562D"/>
    <w:multiLevelType w:val="multilevel"/>
    <w:tmpl w:val="2FF8AFE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4">
    <w:nsid w:val="127E1D7B"/>
    <w:multiLevelType w:val="hybridMultilevel"/>
    <w:tmpl w:val="F6604A30"/>
    <w:lvl w:ilvl="0" w:tplc="A65C8086">
      <w:start w:val="1"/>
      <w:numFmt w:val="decimal"/>
      <w:lvlText w:val="%1."/>
      <w:lvlJc w:val="left"/>
      <w:pPr>
        <w:ind w:left="720" w:hanging="360"/>
      </w:pPr>
      <w:rPr>
        <w:rFonts w:ascii="Arial" w:hAnsi="Arial" w:cs="Arial"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6A14F96"/>
    <w:multiLevelType w:val="hybridMultilevel"/>
    <w:tmpl w:val="599297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B787A09"/>
    <w:multiLevelType w:val="hybridMultilevel"/>
    <w:tmpl w:val="E092E2DC"/>
    <w:lvl w:ilvl="0" w:tplc="AD74D594">
      <w:start w:val="1"/>
      <w:numFmt w:val="bullet"/>
      <w:lvlText w:val="●"/>
      <w:lvlJc w:val="left"/>
      <w:pPr>
        <w:tabs>
          <w:tab w:val="num" w:pos="720"/>
        </w:tabs>
        <w:ind w:left="720" w:hanging="360"/>
      </w:pPr>
      <w:rPr>
        <w:rFonts w:ascii="Arial" w:hAnsi="Arial" w:hint="default"/>
      </w:rPr>
    </w:lvl>
    <w:lvl w:ilvl="1" w:tplc="257094CE" w:tentative="1">
      <w:start w:val="1"/>
      <w:numFmt w:val="bullet"/>
      <w:lvlText w:val="●"/>
      <w:lvlJc w:val="left"/>
      <w:pPr>
        <w:tabs>
          <w:tab w:val="num" w:pos="1440"/>
        </w:tabs>
        <w:ind w:left="1440" w:hanging="360"/>
      </w:pPr>
      <w:rPr>
        <w:rFonts w:ascii="Arial" w:hAnsi="Arial" w:hint="default"/>
      </w:rPr>
    </w:lvl>
    <w:lvl w:ilvl="2" w:tplc="429E27E4" w:tentative="1">
      <w:start w:val="1"/>
      <w:numFmt w:val="bullet"/>
      <w:lvlText w:val="●"/>
      <w:lvlJc w:val="left"/>
      <w:pPr>
        <w:tabs>
          <w:tab w:val="num" w:pos="2160"/>
        </w:tabs>
        <w:ind w:left="2160" w:hanging="360"/>
      </w:pPr>
      <w:rPr>
        <w:rFonts w:ascii="Arial" w:hAnsi="Arial" w:hint="default"/>
      </w:rPr>
    </w:lvl>
    <w:lvl w:ilvl="3" w:tplc="B442CCF4" w:tentative="1">
      <w:start w:val="1"/>
      <w:numFmt w:val="bullet"/>
      <w:lvlText w:val="●"/>
      <w:lvlJc w:val="left"/>
      <w:pPr>
        <w:tabs>
          <w:tab w:val="num" w:pos="2880"/>
        </w:tabs>
        <w:ind w:left="2880" w:hanging="360"/>
      </w:pPr>
      <w:rPr>
        <w:rFonts w:ascii="Arial" w:hAnsi="Arial" w:hint="default"/>
      </w:rPr>
    </w:lvl>
    <w:lvl w:ilvl="4" w:tplc="3918D230" w:tentative="1">
      <w:start w:val="1"/>
      <w:numFmt w:val="bullet"/>
      <w:lvlText w:val="●"/>
      <w:lvlJc w:val="left"/>
      <w:pPr>
        <w:tabs>
          <w:tab w:val="num" w:pos="3600"/>
        </w:tabs>
        <w:ind w:left="3600" w:hanging="360"/>
      </w:pPr>
      <w:rPr>
        <w:rFonts w:ascii="Arial" w:hAnsi="Arial" w:hint="default"/>
      </w:rPr>
    </w:lvl>
    <w:lvl w:ilvl="5" w:tplc="01FEAA94" w:tentative="1">
      <w:start w:val="1"/>
      <w:numFmt w:val="bullet"/>
      <w:lvlText w:val="●"/>
      <w:lvlJc w:val="left"/>
      <w:pPr>
        <w:tabs>
          <w:tab w:val="num" w:pos="4320"/>
        </w:tabs>
        <w:ind w:left="4320" w:hanging="360"/>
      </w:pPr>
      <w:rPr>
        <w:rFonts w:ascii="Arial" w:hAnsi="Arial" w:hint="default"/>
      </w:rPr>
    </w:lvl>
    <w:lvl w:ilvl="6" w:tplc="9AEE27DA" w:tentative="1">
      <w:start w:val="1"/>
      <w:numFmt w:val="bullet"/>
      <w:lvlText w:val="●"/>
      <w:lvlJc w:val="left"/>
      <w:pPr>
        <w:tabs>
          <w:tab w:val="num" w:pos="5040"/>
        </w:tabs>
        <w:ind w:left="5040" w:hanging="360"/>
      </w:pPr>
      <w:rPr>
        <w:rFonts w:ascii="Arial" w:hAnsi="Arial" w:hint="default"/>
      </w:rPr>
    </w:lvl>
    <w:lvl w:ilvl="7" w:tplc="368056CC" w:tentative="1">
      <w:start w:val="1"/>
      <w:numFmt w:val="bullet"/>
      <w:lvlText w:val="●"/>
      <w:lvlJc w:val="left"/>
      <w:pPr>
        <w:tabs>
          <w:tab w:val="num" w:pos="5760"/>
        </w:tabs>
        <w:ind w:left="5760" w:hanging="360"/>
      </w:pPr>
      <w:rPr>
        <w:rFonts w:ascii="Arial" w:hAnsi="Arial" w:hint="default"/>
      </w:rPr>
    </w:lvl>
    <w:lvl w:ilvl="8" w:tplc="5DD4E7CE" w:tentative="1">
      <w:start w:val="1"/>
      <w:numFmt w:val="bullet"/>
      <w:lvlText w:val="●"/>
      <w:lvlJc w:val="left"/>
      <w:pPr>
        <w:tabs>
          <w:tab w:val="num" w:pos="6480"/>
        </w:tabs>
        <w:ind w:left="6480" w:hanging="360"/>
      </w:pPr>
      <w:rPr>
        <w:rFonts w:ascii="Arial" w:hAnsi="Arial" w:hint="default"/>
      </w:rPr>
    </w:lvl>
  </w:abstractNum>
  <w:abstractNum w:abstractNumId="7">
    <w:nsid w:val="1F467F79"/>
    <w:multiLevelType w:val="hybridMultilevel"/>
    <w:tmpl w:val="45B81FB2"/>
    <w:lvl w:ilvl="0" w:tplc="7AEE9348">
      <w:start w:val="1"/>
      <w:numFmt w:val="bullet"/>
      <w:lvlText w:val="●"/>
      <w:lvlJc w:val="left"/>
      <w:pPr>
        <w:tabs>
          <w:tab w:val="num" w:pos="720"/>
        </w:tabs>
        <w:ind w:left="720" w:hanging="360"/>
      </w:pPr>
      <w:rPr>
        <w:rFonts w:ascii="Arial" w:hAnsi="Arial" w:hint="default"/>
      </w:rPr>
    </w:lvl>
    <w:lvl w:ilvl="1" w:tplc="C628A1AC" w:tentative="1">
      <w:start w:val="1"/>
      <w:numFmt w:val="bullet"/>
      <w:lvlText w:val="●"/>
      <w:lvlJc w:val="left"/>
      <w:pPr>
        <w:tabs>
          <w:tab w:val="num" w:pos="1440"/>
        </w:tabs>
        <w:ind w:left="1440" w:hanging="360"/>
      </w:pPr>
      <w:rPr>
        <w:rFonts w:ascii="Arial" w:hAnsi="Arial" w:hint="default"/>
      </w:rPr>
    </w:lvl>
    <w:lvl w:ilvl="2" w:tplc="B06ED93C" w:tentative="1">
      <w:start w:val="1"/>
      <w:numFmt w:val="bullet"/>
      <w:lvlText w:val="●"/>
      <w:lvlJc w:val="left"/>
      <w:pPr>
        <w:tabs>
          <w:tab w:val="num" w:pos="2160"/>
        </w:tabs>
        <w:ind w:left="2160" w:hanging="360"/>
      </w:pPr>
      <w:rPr>
        <w:rFonts w:ascii="Arial" w:hAnsi="Arial" w:hint="default"/>
      </w:rPr>
    </w:lvl>
    <w:lvl w:ilvl="3" w:tplc="6986B972" w:tentative="1">
      <w:start w:val="1"/>
      <w:numFmt w:val="bullet"/>
      <w:lvlText w:val="●"/>
      <w:lvlJc w:val="left"/>
      <w:pPr>
        <w:tabs>
          <w:tab w:val="num" w:pos="2880"/>
        </w:tabs>
        <w:ind w:left="2880" w:hanging="360"/>
      </w:pPr>
      <w:rPr>
        <w:rFonts w:ascii="Arial" w:hAnsi="Arial" w:hint="default"/>
      </w:rPr>
    </w:lvl>
    <w:lvl w:ilvl="4" w:tplc="CB0403B4" w:tentative="1">
      <w:start w:val="1"/>
      <w:numFmt w:val="bullet"/>
      <w:lvlText w:val="●"/>
      <w:lvlJc w:val="left"/>
      <w:pPr>
        <w:tabs>
          <w:tab w:val="num" w:pos="3600"/>
        </w:tabs>
        <w:ind w:left="3600" w:hanging="360"/>
      </w:pPr>
      <w:rPr>
        <w:rFonts w:ascii="Arial" w:hAnsi="Arial" w:hint="default"/>
      </w:rPr>
    </w:lvl>
    <w:lvl w:ilvl="5" w:tplc="6DB42318" w:tentative="1">
      <w:start w:val="1"/>
      <w:numFmt w:val="bullet"/>
      <w:lvlText w:val="●"/>
      <w:lvlJc w:val="left"/>
      <w:pPr>
        <w:tabs>
          <w:tab w:val="num" w:pos="4320"/>
        </w:tabs>
        <w:ind w:left="4320" w:hanging="360"/>
      </w:pPr>
      <w:rPr>
        <w:rFonts w:ascii="Arial" w:hAnsi="Arial" w:hint="default"/>
      </w:rPr>
    </w:lvl>
    <w:lvl w:ilvl="6" w:tplc="9390A678" w:tentative="1">
      <w:start w:val="1"/>
      <w:numFmt w:val="bullet"/>
      <w:lvlText w:val="●"/>
      <w:lvlJc w:val="left"/>
      <w:pPr>
        <w:tabs>
          <w:tab w:val="num" w:pos="5040"/>
        </w:tabs>
        <w:ind w:left="5040" w:hanging="360"/>
      </w:pPr>
      <w:rPr>
        <w:rFonts w:ascii="Arial" w:hAnsi="Arial" w:hint="default"/>
      </w:rPr>
    </w:lvl>
    <w:lvl w:ilvl="7" w:tplc="B5B0B1FA" w:tentative="1">
      <w:start w:val="1"/>
      <w:numFmt w:val="bullet"/>
      <w:lvlText w:val="●"/>
      <w:lvlJc w:val="left"/>
      <w:pPr>
        <w:tabs>
          <w:tab w:val="num" w:pos="5760"/>
        </w:tabs>
        <w:ind w:left="5760" w:hanging="360"/>
      </w:pPr>
      <w:rPr>
        <w:rFonts w:ascii="Arial" w:hAnsi="Arial" w:hint="default"/>
      </w:rPr>
    </w:lvl>
    <w:lvl w:ilvl="8" w:tplc="30A819CA" w:tentative="1">
      <w:start w:val="1"/>
      <w:numFmt w:val="bullet"/>
      <w:lvlText w:val="●"/>
      <w:lvlJc w:val="left"/>
      <w:pPr>
        <w:tabs>
          <w:tab w:val="num" w:pos="6480"/>
        </w:tabs>
        <w:ind w:left="6480" w:hanging="360"/>
      </w:pPr>
      <w:rPr>
        <w:rFonts w:ascii="Arial" w:hAnsi="Arial" w:hint="default"/>
      </w:rPr>
    </w:lvl>
  </w:abstractNum>
  <w:abstractNum w:abstractNumId="8">
    <w:nsid w:val="2350629E"/>
    <w:multiLevelType w:val="hybridMultilevel"/>
    <w:tmpl w:val="0F580A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41B46B2"/>
    <w:multiLevelType w:val="hybridMultilevel"/>
    <w:tmpl w:val="59BE4A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5974AD1"/>
    <w:multiLevelType w:val="hybridMultilevel"/>
    <w:tmpl w:val="D4E4C4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7650688"/>
    <w:multiLevelType w:val="hybridMultilevel"/>
    <w:tmpl w:val="403CA88E"/>
    <w:lvl w:ilvl="0" w:tplc="CE2C2C2A">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77E3C2A"/>
    <w:multiLevelType w:val="hybridMultilevel"/>
    <w:tmpl w:val="9E7EB8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9AA2256"/>
    <w:multiLevelType w:val="hybridMultilevel"/>
    <w:tmpl w:val="E67836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BA5090D"/>
    <w:multiLevelType w:val="hybridMultilevel"/>
    <w:tmpl w:val="1FBA7C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35D39A5"/>
    <w:multiLevelType w:val="hybridMultilevel"/>
    <w:tmpl w:val="F078EA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38071D9"/>
    <w:multiLevelType w:val="hybridMultilevel"/>
    <w:tmpl w:val="608416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76D200A"/>
    <w:multiLevelType w:val="multilevel"/>
    <w:tmpl w:val="A85A2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A8B2F15"/>
    <w:multiLevelType w:val="hybridMultilevel"/>
    <w:tmpl w:val="F8B275F2"/>
    <w:lvl w:ilvl="0" w:tplc="3E7EDD50">
      <w:start w:val="1"/>
      <w:numFmt w:val="bullet"/>
      <w:lvlText w:val="●"/>
      <w:lvlJc w:val="left"/>
      <w:pPr>
        <w:tabs>
          <w:tab w:val="num" w:pos="720"/>
        </w:tabs>
        <w:ind w:left="720" w:hanging="360"/>
      </w:pPr>
      <w:rPr>
        <w:rFonts w:ascii="Arial" w:hAnsi="Arial" w:hint="default"/>
      </w:rPr>
    </w:lvl>
    <w:lvl w:ilvl="1" w:tplc="0382D0DC" w:tentative="1">
      <w:start w:val="1"/>
      <w:numFmt w:val="bullet"/>
      <w:lvlText w:val="●"/>
      <w:lvlJc w:val="left"/>
      <w:pPr>
        <w:tabs>
          <w:tab w:val="num" w:pos="1440"/>
        </w:tabs>
        <w:ind w:left="1440" w:hanging="360"/>
      </w:pPr>
      <w:rPr>
        <w:rFonts w:ascii="Arial" w:hAnsi="Arial" w:hint="default"/>
      </w:rPr>
    </w:lvl>
    <w:lvl w:ilvl="2" w:tplc="0CEABA38" w:tentative="1">
      <w:start w:val="1"/>
      <w:numFmt w:val="bullet"/>
      <w:lvlText w:val="●"/>
      <w:lvlJc w:val="left"/>
      <w:pPr>
        <w:tabs>
          <w:tab w:val="num" w:pos="2160"/>
        </w:tabs>
        <w:ind w:left="2160" w:hanging="360"/>
      </w:pPr>
      <w:rPr>
        <w:rFonts w:ascii="Arial" w:hAnsi="Arial" w:hint="default"/>
      </w:rPr>
    </w:lvl>
    <w:lvl w:ilvl="3" w:tplc="75DE4F86" w:tentative="1">
      <w:start w:val="1"/>
      <w:numFmt w:val="bullet"/>
      <w:lvlText w:val="●"/>
      <w:lvlJc w:val="left"/>
      <w:pPr>
        <w:tabs>
          <w:tab w:val="num" w:pos="2880"/>
        </w:tabs>
        <w:ind w:left="2880" w:hanging="360"/>
      </w:pPr>
      <w:rPr>
        <w:rFonts w:ascii="Arial" w:hAnsi="Arial" w:hint="default"/>
      </w:rPr>
    </w:lvl>
    <w:lvl w:ilvl="4" w:tplc="29D684FC" w:tentative="1">
      <w:start w:val="1"/>
      <w:numFmt w:val="bullet"/>
      <w:lvlText w:val="●"/>
      <w:lvlJc w:val="left"/>
      <w:pPr>
        <w:tabs>
          <w:tab w:val="num" w:pos="3600"/>
        </w:tabs>
        <w:ind w:left="3600" w:hanging="360"/>
      </w:pPr>
      <w:rPr>
        <w:rFonts w:ascii="Arial" w:hAnsi="Arial" w:hint="default"/>
      </w:rPr>
    </w:lvl>
    <w:lvl w:ilvl="5" w:tplc="4CF6F5A0" w:tentative="1">
      <w:start w:val="1"/>
      <w:numFmt w:val="bullet"/>
      <w:lvlText w:val="●"/>
      <w:lvlJc w:val="left"/>
      <w:pPr>
        <w:tabs>
          <w:tab w:val="num" w:pos="4320"/>
        </w:tabs>
        <w:ind w:left="4320" w:hanging="360"/>
      </w:pPr>
      <w:rPr>
        <w:rFonts w:ascii="Arial" w:hAnsi="Arial" w:hint="default"/>
      </w:rPr>
    </w:lvl>
    <w:lvl w:ilvl="6" w:tplc="88D01C7C" w:tentative="1">
      <w:start w:val="1"/>
      <w:numFmt w:val="bullet"/>
      <w:lvlText w:val="●"/>
      <w:lvlJc w:val="left"/>
      <w:pPr>
        <w:tabs>
          <w:tab w:val="num" w:pos="5040"/>
        </w:tabs>
        <w:ind w:left="5040" w:hanging="360"/>
      </w:pPr>
      <w:rPr>
        <w:rFonts w:ascii="Arial" w:hAnsi="Arial" w:hint="default"/>
      </w:rPr>
    </w:lvl>
    <w:lvl w:ilvl="7" w:tplc="267254C6" w:tentative="1">
      <w:start w:val="1"/>
      <w:numFmt w:val="bullet"/>
      <w:lvlText w:val="●"/>
      <w:lvlJc w:val="left"/>
      <w:pPr>
        <w:tabs>
          <w:tab w:val="num" w:pos="5760"/>
        </w:tabs>
        <w:ind w:left="5760" w:hanging="360"/>
      </w:pPr>
      <w:rPr>
        <w:rFonts w:ascii="Arial" w:hAnsi="Arial" w:hint="default"/>
      </w:rPr>
    </w:lvl>
    <w:lvl w:ilvl="8" w:tplc="C45205C4" w:tentative="1">
      <w:start w:val="1"/>
      <w:numFmt w:val="bullet"/>
      <w:lvlText w:val="●"/>
      <w:lvlJc w:val="left"/>
      <w:pPr>
        <w:tabs>
          <w:tab w:val="num" w:pos="6480"/>
        </w:tabs>
        <w:ind w:left="6480" w:hanging="360"/>
      </w:pPr>
      <w:rPr>
        <w:rFonts w:ascii="Arial" w:hAnsi="Arial" w:hint="default"/>
      </w:rPr>
    </w:lvl>
  </w:abstractNum>
  <w:abstractNum w:abstractNumId="19">
    <w:nsid w:val="3F6A0723"/>
    <w:multiLevelType w:val="hybridMultilevel"/>
    <w:tmpl w:val="D70ECA5E"/>
    <w:lvl w:ilvl="0" w:tplc="349A5378">
      <w:start w:val="1"/>
      <w:numFmt w:val="bullet"/>
      <w:lvlText w:val="●"/>
      <w:lvlJc w:val="left"/>
      <w:pPr>
        <w:tabs>
          <w:tab w:val="num" w:pos="720"/>
        </w:tabs>
        <w:ind w:left="720" w:hanging="360"/>
      </w:pPr>
      <w:rPr>
        <w:rFonts w:ascii="Arial" w:hAnsi="Arial" w:hint="default"/>
      </w:rPr>
    </w:lvl>
    <w:lvl w:ilvl="1" w:tplc="71FAEBE6" w:tentative="1">
      <w:start w:val="1"/>
      <w:numFmt w:val="bullet"/>
      <w:lvlText w:val="●"/>
      <w:lvlJc w:val="left"/>
      <w:pPr>
        <w:tabs>
          <w:tab w:val="num" w:pos="1440"/>
        </w:tabs>
        <w:ind w:left="1440" w:hanging="360"/>
      </w:pPr>
      <w:rPr>
        <w:rFonts w:ascii="Arial" w:hAnsi="Arial" w:hint="default"/>
      </w:rPr>
    </w:lvl>
    <w:lvl w:ilvl="2" w:tplc="796A4EC2" w:tentative="1">
      <w:start w:val="1"/>
      <w:numFmt w:val="bullet"/>
      <w:lvlText w:val="●"/>
      <w:lvlJc w:val="left"/>
      <w:pPr>
        <w:tabs>
          <w:tab w:val="num" w:pos="2160"/>
        </w:tabs>
        <w:ind w:left="2160" w:hanging="360"/>
      </w:pPr>
      <w:rPr>
        <w:rFonts w:ascii="Arial" w:hAnsi="Arial" w:hint="default"/>
      </w:rPr>
    </w:lvl>
    <w:lvl w:ilvl="3" w:tplc="CA0E027E" w:tentative="1">
      <w:start w:val="1"/>
      <w:numFmt w:val="bullet"/>
      <w:lvlText w:val="●"/>
      <w:lvlJc w:val="left"/>
      <w:pPr>
        <w:tabs>
          <w:tab w:val="num" w:pos="2880"/>
        </w:tabs>
        <w:ind w:left="2880" w:hanging="360"/>
      </w:pPr>
      <w:rPr>
        <w:rFonts w:ascii="Arial" w:hAnsi="Arial" w:hint="default"/>
      </w:rPr>
    </w:lvl>
    <w:lvl w:ilvl="4" w:tplc="0B062654" w:tentative="1">
      <w:start w:val="1"/>
      <w:numFmt w:val="bullet"/>
      <w:lvlText w:val="●"/>
      <w:lvlJc w:val="left"/>
      <w:pPr>
        <w:tabs>
          <w:tab w:val="num" w:pos="3600"/>
        </w:tabs>
        <w:ind w:left="3600" w:hanging="360"/>
      </w:pPr>
      <w:rPr>
        <w:rFonts w:ascii="Arial" w:hAnsi="Arial" w:hint="default"/>
      </w:rPr>
    </w:lvl>
    <w:lvl w:ilvl="5" w:tplc="C7628494" w:tentative="1">
      <w:start w:val="1"/>
      <w:numFmt w:val="bullet"/>
      <w:lvlText w:val="●"/>
      <w:lvlJc w:val="left"/>
      <w:pPr>
        <w:tabs>
          <w:tab w:val="num" w:pos="4320"/>
        </w:tabs>
        <w:ind w:left="4320" w:hanging="360"/>
      </w:pPr>
      <w:rPr>
        <w:rFonts w:ascii="Arial" w:hAnsi="Arial" w:hint="default"/>
      </w:rPr>
    </w:lvl>
    <w:lvl w:ilvl="6" w:tplc="80941900" w:tentative="1">
      <w:start w:val="1"/>
      <w:numFmt w:val="bullet"/>
      <w:lvlText w:val="●"/>
      <w:lvlJc w:val="left"/>
      <w:pPr>
        <w:tabs>
          <w:tab w:val="num" w:pos="5040"/>
        </w:tabs>
        <w:ind w:left="5040" w:hanging="360"/>
      </w:pPr>
      <w:rPr>
        <w:rFonts w:ascii="Arial" w:hAnsi="Arial" w:hint="default"/>
      </w:rPr>
    </w:lvl>
    <w:lvl w:ilvl="7" w:tplc="851867DC" w:tentative="1">
      <w:start w:val="1"/>
      <w:numFmt w:val="bullet"/>
      <w:lvlText w:val="●"/>
      <w:lvlJc w:val="left"/>
      <w:pPr>
        <w:tabs>
          <w:tab w:val="num" w:pos="5760"/>
        </w:tabs>
        <w:ind w:left="5760" w:hanging="360"/>
      </w:pPr>
      <w:rPr>
        <w:rFonts w:ascii="Arial" w:hAnsi="Arial" w:hint="default"/>
      </w:rPr>
    </w:lvl>
    <w:lvl w:ilvl="8" w:tplc="F378C946" w:tentative="1">
      <w:start w:val="1"/>
      <w:numFmt w:val="bullet"/>
      <w:lvlText w:val="●"/>
      <w:lvlJc w:val="left"/>
      <w:pPr>
        <w:tabs>
          <w:tab w:val="num" w:pos="6480"/>
        </w:tabs>
        <w:ind w:left="6480" w:hanging="360"/>
      </w:pPr>
      <w:rPr>
        <w:rFonts w:ascii="Arial" w:hAnsi="Arial" w:hint="default"/>
      </w:rPr>
    </w:lvl>
  </w:abstractNum>
  <w:abstractNum w:abstractNumId="20">
    <w:nsid w:val="4BAA6E04"/>
    <w:multiLevelType w:val="hybridMultilevel"/>
    <w:tmpl w:val="6D969C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1B6761C"/>
    <w:multiLevelType w:val="hybridMultilevel"/>
    <w:tmpl w:val="E06C33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4087633"/>
    <w:multiLevelType w:val="hybridMultilevel"/>
    <w:tmpl w:val="31F4EE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8962BA4"/>
    <w:multiLevelType w:val="multilevel"/>
    <w:tmpl w:val="4654892E"/>
    <w:lvl w:ilvl="0">
      <w:start w:val="1"/>
      <w:numFmt w:val="decimal"/>
      <w:lvlText w:val="%1."/>
      <w:lvlJc w:val="left"/>
      <w:pPr>
        <w:tabs>
          <w:tab w:val="num" w:pos="720"/>
        </w:tabs>
        <w:ind w:left="720" w:hanging="360"/>
      </w:pPr>
      <w:rPr>
        <w:rFonts w:asciiTheme="minorHAnsi" w:eastAsia="Times New Roman" w:hAnsiTheme="minorHAnsi" w:cstheme="minorHAnsi"/>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8C414A9"/>
    <w:multiLevelType w:val="hybridMultilevel"/>
    <w:tmpl w:val="F27663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A3E4409"/>
    <w:multiLevelType w:val="hybridMultilevel"/>
    <w:tmpl w:val="A68261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119571F"/>
    <w:multiLevelType w:val="multilevel"/>
    <w:tmpl w:val="65CE28A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27">
    <w:nsid w:val="672C5FEA"/>
    <w:multiLevelType w:val="hybridMultilevel"/>
    <w:tmpl w:val="510E15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C0A0FF2"/>
    <w:multiLevelType w:val="hybridMultilevel"/>
    <w:tmpl w:val="4022CD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425052A"/>
    <w:multiLevelType w:val="hybridMultilevel"/>
    <w:tmpl w:val="6C78CE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6D51000"/>
    <w:multiLevelType w:val="hybridMultilevel"/>
    <w:tmpl w:val="A88A58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8854FEE"/>
    <w:multiLevelType w:val="hybridMultilevel"/>
    <w:tmpl w:val="3D6E03BC"/>
    <w:lvl w:ilvl="0" w:tplc="9CF851B4">
      <w:start w:val="1"/>
      <w:numFmt w:val="bullet"/>
      <w:lvlText w:val="●"/>
      <w:lvlJc w:val="left"/>
      <w:pPr>
        <w:tabs>
          <w:tab w:val="num" w:pos="720"/>
        </w:tabs>
        <w:ind w:left="720" w:hanging="360"/>
      </w:pPr>
      <w:rPr>
        <w:rFonts w:ascii="Arial" w:hAnsi="Arial" w:hint="default"/>
      </w:rPr>
    </w:lvl>
    <w:lvl w:ilvl="1" w:tplc="B6C41784" w:tentative="1">
      <w:start w:val="1"/>
      <w:numFmt w:val="bullet"/>
      <w:lvlText w:val="●"/>
      <w:lvlJc w:val="left"/>
      <w:pPr>
        <w:tabs>
          <w:tab w:val="num" w:pos="1440"/>
        </w:tabs>
        <w:ind w:left="1440" w:hanging="360"/>
      </w:pPr>
      <w:rPr>
        <w:rFonts w:ascii="Arial" w:hAnsi="Arial" w:hint="default"/>
      </w:rPr>
    </w:lvl>
    <w:lvl w:ilvl="2" w:tplc="A2CCE456" w:tentative="1">
      <w:start w:val="1"/>
      <w:numFmt w:val="bullet"/>
      <w:lvlText w:val="●"/>
      <w:lvlJc w:val="left"/>
      <w:pPr>
        <w:tabs>
          <w:tab w:val="num" w:pos="2160"/>
        </w:tabs>
        <w:ind w:left="2160" w:hanging="360"/>
      </w:pPr>
      <w:rPr>
        <w:rFonts w:ascii="Arial" w:hAnsi="Arial" w:hint="default"/>
      </w:rPr>
    </w:lvl>
    <w:lvl w:ilvl="3" w:tplc="536A6560" w:tentative="1">
      <w:start w:val="1"/>
      <w:numFmt w:val="bullet"/>
      <w:lvlText w:val="●"/>
      <w:lvlJc w:val="left"/>
      <w:pPr>
        <w:tabs>
          <w:tab w:val="num" w:pos="2880"/>
        </w:tabs>
        <w:ind w:left="2880" w:hanging="360"/>
      </w:pPr>
      <w:rPr>
        <w:rFonts w:ascii="Arial" w:hAnsi="Arial" w:hint="default"/>
      </w:rPr>
    </w:lvl>
    <w:lvl w:ilvl="4" w:tplc="AAA2B044" w:tentative="1">
      <w:start w:val="1"/>
      <w:numFmt w:val="bullet"/>
      <w:lvlText w:val="●"/>
      <w:lvlJc w:val="left"/>
      <w:pPr>
        <w:tabs>
          <w:tab w:val="num" w:pos="3600"/>
        </w:tabs>
        <w:ind w:left="3600" w:hanging="360"/>
      </w:pPr>
      <w:rPr>
        <w:rFonts w:ascii="Arial" w:hAnsi="Arial" w:hint="default"/>
      </w:rPr>
    </w:lvl>
    <w:lvl w:ilvl="5" w:tplc="B0ECD082" w:tentative="1">
      <w:start w:val="1"/>
      <w:numFmt w:val="bullet"/>
      <w:lvlText w:val="●"/>
      <w:lvlJc w:val="left"/>
      <w:pPr>
        <w:tabs>
          <w:tab w:val="num" w:pos="4320"/>
        </w:tabs>
        <w:ind w:left="4320" w:hanging="360"/>
      </w:pPr>
      <w:rPr>
        <w:rFonts w:ascii="Arial" w:hAnsi="Arial" w:hint="default"/>
      </w:rPr>
    </w:lvl>
    <w:lvl w:ilvl="6" w:tplc="AD44A0FA" w:tentative="1">
      <w:start w:val="1"/>
      <w:numFmt w:val="bullet"/>
      <w:lvlText w:val="●"/>
      <w:lvlJc w:val="left"/>
      <w:pPr>
        <w:tabs>
          <w:tab w:val="num" w:pos="5040"/>
        </w:tabs>
        <w:ind w:left="5040" w:hanging="360"/>
      </w:pPr>
      <w:rPr>
        <w:rFonts w:ascii="Arial" w:hAnsi="Arial" w:hint="default"/>
      </w:rPr>
    </w:lvl>
    <w:lvl w:ilvl="7" w:tplc="02ACC7C2" w:tentative="1">
      <w:start w:val="1"/>
      <w:numFmt w:val="bullet"/>
      <w:lvlText w:val="●"/>
      <w:lvlJc w:val="left"/>
      <w:pPr>
        <w:tabs>
          <w:tab w:val="num" w:pos="5760"/>
        </w:tabs>
        <w:ind w:left="5760" w:hanging="360"/>
      </w:pPr>
      <w:rPr>
        <w:rFonts w:ascii="Arial" w:hAnsi="Arial" w:hint="default"/>
      </w:rPr>
    </w:lvl>
    <w:lvl w:ilvl="8" w:tplc="1A1E41BE" w:tentative="1">
      <w:start w:val="1"/>
      <w:numFmt w:val="bullet"/>
      <w:lvlText w:val="●"/>
      <w:lvlJc w:val="left"/>
      <w:pPr>
        <w:tabs>
          <w:tab w:val="num" w:pos="6480"/>
        </w:tabs>
        <w:ind w:left="6480" w:hanging="360"/>
      </w:pPr>
      <w:rPr>
        <w:rFonts w:ascii="Arial" w:hAnsi="Arial" w:hint="default"/>
      </w:rPr>
    </w:lvl>
  </w:abstractNum>
  <w:abstractNum w:abstractNumId="32">
    <w:nsid w:val="79F336FE"/>
    <w:multiLevelType w:val="hybridMultilevel"/>
    <w:tmpl w:val="B4C0C5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FF36D18"/>
    <w:multiLevelType w:val="hybridMultilevel"/>
    <w:tmpl w:val="BAACE8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5"/>
  </w:num>
  <w:num w:numId="3">
    <w:abstractNumId w:val="16"/>
  </w:num>
  <w:num w:numId="4">
    <w:abstractNumId w:val="28"/>
  </w:num>
  <w:num w:numId="5">
    <w:abstractNumId w:val="25"/>
  </w:num>
  <w:num w:numId="6">
    <w:abstractNumId w:val="15"/>
  </w:num>
  <w:num w:numId="7">
    <w:abstractNumId w:val="9"/>
  </w:num>
  <w:num w:numId="8">
    <w:abstractNumId w:val="18"/>
  </w:num>
  <w:num w:numId="9">
    <w:abstractNumId w:val="10"/>
  </w:num>
  <w:num w:numId="10">
    <w:abstractNumId w:val="19"/>
  </w:num>
  <w:num w:numId="11">
    <w:abstractNumId w:val="32"/>
  </w:num>
  <w:num w:numId="12">
    <w:abstractNumId w:val="6"/>
  </w:num>
  <w:num w:numId="13">
    <w:abstractNumId w:val="21"/>
  </w:num>
  <w:num w:numId="14">
    <w:abstractNumId w:val="11"/>
  </w:num>
  <w:num w:numId="15">
    <w:abstractNumId w:val="29"/>
  </w:num>
  <w:num w:numId="16">
    <w:abstractNumId w:val="31"/>
  </w:num>
  <w:num w:numId="17">
    <w:abstractNumId w:val="22"/>
  </w:num>
  <w:num w:numId="18">
    <w:abstractNumId w:val="24"/>
  </w:num>
  <w:num w:numId="19">
    <w:abstractNumId w:val="12"/>
  </w:num>
  <w:num w:numId="20">
    <w:abstractNumId w:val="1"/>
  </w:num>
  <w:num w:numId="21">
    <w:abstractNumId w:val="33"/>
  </w:num>
  <w:num w:numId="22">
    <w:abstractNumId w:val="17"/>
  </w:num>
  <w:num w:numId="23">
    <w:abstractNumId w:val="8"/>
  </w:num>
  <w:num w:numId="24">
    <w:abstractNumId w:val="7"/>
  </w:num>
  <w:num w:numId="25">
    <w:abstractNumId w:val="30"/>
  </w:num>
  <w:num w:numId="26">
    <w:abstractNumId w:val="27"/>
  </w:num>
  <w:num w:numId="27">
    <w:abstractNumId w:val="14"/>
  </w:num>
  <w:num w:numId="28">
    <w:abstractNumId w:val="4"/>
  </w:num>
  <w:num w:numId="29">
    <w:abstractNumId w:val="23"/>
  </w:num>
  <w:num w:numId="30">
    <w:abstractNumId w:val="20"/>
  </w:num>
  <w:num w:numId="31">
    <w:abstractNumId w:val="0"/>
  </w:num>
  <w:num w:numId="32">
    <w:abstractNumId w:val="3"/>
  </w:num>
  <w:num w:numId="33">
    <w:abstractNumId w:val="2"/>
  </w:num>
  <w:num w:numId="34">
    <w:abstractNumId w:val="2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1"/>
  <w:proofState w:spelling="clean" w:grammar="clean"/>
  <w:defaultTabStop w:val="720"/>
  <w:characterSpacingControl w:val="doNotCompress"/>
  <w:compat/>
  <w:rsids>
    <w:rsidRoot w:val="009E0AE4"/>
    <w:rsid w:val="000505D9"/>
    <w:rsid w:val="000A77BA"/>
    <w:rsid w:val="00105F32"/>
    <w:rsid w:val="00122BAD"/>
    <w:rsid w:val="00156DDD"/>
    <w:rsid w:val="001D5B9F"/>
    <w:rsid w:val="0023107E"/>
    <w:rsid w:val="00233B03"/>
    <w:rsid w:val="00276A0A"/>
    <w:rsid w:val="002C64AE"/>
    <w:rsid w:val="002E04B9"/>
    <w:rsid w:val="002F43E8"/>
    <w:rsid w:val="0036730C"/>
    <w:rsid w:val="00393999"/>
    <w:rsid w:val="00434EB4"/>
    <w:rsid w:val="00441461"/>
    <w:rsid w:val="00493328"/>
    <w:rsid w:val="004A0C87"/>
    <w:rsid w:val="00574B7E"/>
    <w:rsid w:val="005B3749"/>
    <w:rsid w:val="005F52D9"/>
    <w:rsid w:val="006578A8"/>
    <w:rsid w:val="00686E1F"/>
    <w:rsid w:val="0070454E"/>
    <w:rsid w:val="007A6E28"/>
    <w:rsid w:val="007E7878"/>
    <w:rsid w:val="00833EBE"/>
    <w:rsid w:val="00845C90"/>
    <w:rsid w:val="0087706F"/>
    <w:rsid w:val="008C39C0"/>
    <w:rsid w:val="008D6370"/>
    <w:rsid w:val="008E2552"/>
    <w:rsid w:val="0096791B"/>
    <w:rsid w:val="009903A9"/>
    <w:rsid w:val="009E0AE4"/>
    <w:rsid w:val="00A44A52"/>
    <w:rsid w:val="00A553D9"/>
    <w:rsid w:val="00A81593"/>
    <w:rsid w:val="00AD4220"/>
    <w:rsid w:val="00AE2C30"/>
    <w:rsid w:val="00B117F2"/>
    <w:rsid w:val="00B62720"/>
    <w:rsid w:val="00B817E6"/>
    <w:rsid w:val="00B919A6"/>
    <w:rsid w:val="00BC7B30"/>
    <w:rsid w:val="00C33A80"/>
    <w:rsid w:val="00C3438D"/>
    <w:rsid w:val="00C8218B"/>
    <w:rsid w:val="00D316F5"/>
    <w:rsid w:val="00D44B0A"/>
    <w:rsid w:val="00D746D7"/>
    <w:rsid w:val="00E24A5A"/>
    <w:rsid w:val="00FC58A2"/>
    <w:rsid w:val="00FE69A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637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0AE4"/>
    <w:pPr>
      <w:ind w:left="720"/>
      <w:contextualSpacing/>
    </w:pPr>
  </w:style>
  <w:style w:type="paragraph" w:styleId="NormalWeb">
    <w:name w:val="Normal (Web)"/>
    <w:basedOn w:val="Normal"/>
    <w:uiPriority w:val="99"/>
    <w:semiHidden/>
    <w:unhideWhenUsed/>
    <w:rsid w:val="0087706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67503637">
      <w:bodyDiv w:val="1"/>
      <w:marLeft w:val="0"/>
      <w:marRight w:val="0"/>
      <w:marTop w:val="0"/>
      <w:marBottom w:val="0"/>
      <w:divBdr>
        <w:top w:val="none" w:sz="0" w:space="0" w:color="auto"/>
        <w:left w:val="none" w:sz="0" w:space="0" w:color="auto"/>
        <w:bottom w:val="none" w:sz="0" w:space="0" w:color="auto"/>
        <w:right w:val="none" w:sz="0" w:space="0" w:color="auto"/>
      </w:divBdr>
    </w:div>
    <w:div w:id="381444034">
      <w:bodyDiv w:val="1"/>
      <w:marLeft w:val="0"/>
      <w:marRight w:val="0"/>
      <w:marTop w:val="0"/>
      <w:marBottom w:val="0"/>
      <w:divBdr>
        <w:top w:val="none" w:sz="0" w:space="0" w:color="auto"/>
        <w:left w:val="none" w:sz="0" w:space="0" w:color="auto"/>
        <w:bottom w:val="none" w:sz="0" w:space="0" w:color="auto"/>
        <w:right w:val="none" w:sz="0" w:space="0" w:color="auto"/>
      </w:divBdr>
      <w:divsChild>
        <w:div w:id="1823497035">
          <w:marLeft w:val="720"/>
          <w:marRight w:val="0"/>
          <w:marTop w:val="0"/>
          <w:marBottom w:val="0"/>
          <w:divBdr>
            <w:top w:val="none" w:sz="0" w:space="0" w:color="auto"/>
            <w:left w:val="none" w:sz="0" w:space="0" w:color="auto"/>
            <w:bottom w:val="none" w:sz="0" w:space="0" w:color="auto"/>
            <w:right w:val="none" w:sz="0" w:space="0" w:color="auto"/>
          </w:divBdr>
        </w:div>
        <w:div w:id="2018187640">
          <w:marLeft w:val="720"/>
          <w:marRight w:val="0"/>
          <w:marTop w:val="0"/>
          <w:marBottom w:val="0"/>
          <w:divBdr>
            <w:top w:val="none" w:sz="0" w:space="0" w:color="auto"/>
            <w:left w:val="none" w:sz="0" w:space="0" w:color="auto"/>
            <w:bottom w:val="none" w:sz="0" w:space="0" w:color="auto"/>
            <w:right w:val="none" w:sz="0" w:space="0" w:color="auto"/>
          </w:divBdr>
        </w:div>
      </w:divsChild>
    </w:div>
    <w:div w:id="421266078">
      <w:bodyDiv w:val="1"/>
      <w:marLeft w:val="0"/>
      <w:marRight w:val="0"/>
      <w:marTop w:val="0"/>
      <w:marBottom w:val="0"/>
      <w:divBdr>
        <w:top w:val="none" w:sz="0" w:space="0" w:color="auto"/>
        <w:left w:val="none" w:sz="0" w:space="0" w:color="auto"/>
        <w:bottom w:val="none" w:sz="0" w:space="0" w:color="auto"/>
        <w:right w:val="none" w:sz="0" w:space="0" w:color="auto"/>
      </w:divBdr>
      <w:divsChild>
        <w:div w:id="1249774142">
          <w:marLeft w:val="720"/>
          <w:marRight w:val="0"/>
          <w:marTop w:val="0"/>
          <w:marBottom w:val="0"/>
          <w:divBdr>
            <w:top w:val="none" w:sz="0" w:space="0" w:color="auto"/>
            <w:left w:val="none" w:sz="0" w:space="0" w:color="auto"/>
            <w:bottom w:val="none" w:sz="0" w:space="0" w:color="auto"/>
            <w:right w:val="none" w:sz="0" w:space="0" w:color="auto"/>
          </w:divBdr>
        </w:div>
        <w:div w:id="1928608217">
          <w:marLeft w:val="720"/>
          <w:marRight w:val="0"/>
          <w:marTop w:val="0"/>
          <w:marBottom w:val="0"/>
          <w:divBdr>
            <w:top w:val="none" w:sz="0" w:space="0" w:color="auto"/>
            <w:left w:val="none" w:sz="0" w:space="0" w:color="auto"/>
            <w:bottom w:val="none" w:sz="0" w:space="0" w:color="auto"/>
            <w:right w:val="none" w:sz="0" w:space="0" w:color="auto"/>
          </w:divBdr>
        </w:div>
        <w:div w:id="1112212150">
          <w:marLeft w:val="720"/>
          <w:marRight w:val="0"/>
          <w:marTop w:val="0"/>
          <w:marBottom w:val="0"/>
          <w:divBdr>
            <w:top w:val="none" w:sz="0" w:space="0" w:color="auto"/>
            <w:left w:val="none" w:sz="0" w:space="0" w:color="auto"/>
            <w:bottom w:val="none" w:sz="0" w:space="0" w:color="auto"/>
            <w:right w:val="none" w:sz="0" w:space="0" w:color="auto"/>
          </w:divBdr>
        </w:div>
      </w:divsChild>
    </w:div>
    <w:div w:id="523907942">
      <w:bodyDiv w:val="1"/>
      <w:marLeft w:val="0"/>
      <w:marRight w:val="0"/>
      <w:marTop w:val="0"/>
      <w:marBottom w:val="0"/>
      <w:divBdr>
        <w:top w:val="none" w:sz="0" w:space="0" w:color="auto"/>
        <w:left w:val="none" w:sz="0" w:space="0" w:color="auto"/>
        <w:bottom w:val="none" w:sz="0" w:space="0" w:color="auto"/>
        <w:right w:val="none" w:sz="0" w:space="0" w:color="auto"/>
      </w:divBdr>
      <w:divsChild>
        <w:div w:id="1163473476">
          <w:marLeft w:val="720"/>
          <w:marRight w:val="0"/>
          <w:marTop w:val="0"/>
          <w:marBottom w:val="0"/>
          <w:divBdr>
            <w:top w:val="none" w:sz="0" w:space="0" w:color="auto"/>
            <w:left w:val="none" w:sz="0" w:space="0" w:color="auto"/>
            <w:bottom w:val="none" w:sz="0" w:space="0" w:color="auto"/>
            <w:right w:val="none" w:sz="0" w:space="0" w:color="auto"/>
          </w:divBdr>
        </w:div>
        <w:div w:id="2111973873">
          <w:marLeft w:val="720"/>
          <w:marRight w:val="0"/>
          <w:marTop w:val="0"/>
          <w:marBottom w:val="0"/>
          <w:divBdr>
            <w:top w:val="none" w:sz="0" w:space="0" w:color="auto"/>
            <w:left w:val="none" w:sz="0" w:space="0" w:color="auto"/>
            <w:bottom w:val="none" w:sz="0" w:space="0" w:color="auto"/>
            <w:right w:val="none" w:sz="0" w:space="0" w:color="auto"/>
          </w:divBdr>
        </w:div>
        <w:div w:id="230699312">
          <w:marLeft w:val="720"/>
          <w:marRight w:val="0"/>
          <w:marTop w:val="0"/>
          <w:marBottom w:val="0"/>
          <w:divBdr>
            <w:top w:val="none" w:sz="0" w:space="0" w:color="auto"/>
            <w:left w:val="none" w:sz="0" w:space="0" w:color="auto"/>
            <w:bottom w:val="none" w:sz="0" w:space="0" w:color="auto"/>
            <w:right w:val="none" w:sz="0" w:space="0" w:color="auto"/>
          </w:divBdr>
        </w:div>
      </w:divsChild>
    </w:div>
    <w:div w:id="655765043">
      <w:bodyDiv w:val="1"/>
      <w:marLeft w:val="0"/>
      <w:marRight w:val="0"/>
      <w:marTop w:val="0"/>
      <w:marBottom w:val="0"/>
      <w:divBdr>
        <w:top w:val="none" w:sz="0" w:space="0" w:color="auto"/>
        <w:left w:val="none" w:sz="0" w:space="0" w:color="auto"/>
        <w:bottom w:val="none" w:sz="0" w:space="0" w:color="auto"/>
        <w:right w:val="none" w:sz="0" w:space="0" w:color="auto"/>
      </w:divBdr>
      <w:divsChild>
        <w:div w:id="2038847627">
          <w:marLeft w:val="720"/>
          <w:marRight w:val="0"/>
          <w:marTop w:val="0"/>
          <w:marBottom w:val="0"/>
          <w:divBdr>
            <w:top w:val="none" w:sz="0" w:space="0" w:color="auto"/>
            <w:left w:val="none" w:sz="0" w:space="0" w:color="auto"/>
            <w:bottom w:val="none" w:sz="0" w:space="0" w:color="auto"/>
            <w:right w:val="none" w:sz="0" w:space="0" w:color="auto"/>
          </w:divBdr>
        </w:div>
        <w:div w:id="1670789675">
          <w:marLeft w:val="720"/>
          <w:marRight w:val="0"/>
          <w:marTop w:val="0"/>
          <w:marBottom w:val="0"/>
          <w:divBdr>
            <w:top w:val="none" w:sz="0" w:space="0" w:color="auto"/>
            <w:left w:val="none" w:sz="0" w:space="0" w:color="auto"/>
            <w:bottom w:val="none" w:sz="0" w:space="0" w:color="auto"/>
            <w:right w:val="none" w:sz="0" w:space="0" w:color="auto"/>
          </w:divBdr>
        </w:div>
      </w:divsChild>
    </w:div>
    <w:div w:id="1019895897">
      <w:bodyDiv w:val="1"/>
      <w:marLeft w:val="0"/>
      <w:marRight w:val="0"/>
      <w:marTop w:val="0"/>
      <w:marBottom w:val="0"/>
      <w:divBdr>
        <w:top w:val="none" w:sz="0" w:space="0" w:color="auto"/>
        <w:left w:val="none" w:sz="0" w:space="0" w:color="auto"/>
        <w:bottom w:val="none" w:sz="0" w:space="0" w:color="auto"/>
        <w:right w:val="none" w:sz="0" w:space="0" w:color="auto"/>
      </w:divBdr>
    </w:div>
    <w:div w:id="1157770965">
      <w:bodyDiv w:val="1"/>
      <w:marLeft w:val="0"/>
      <w:marRight w:val="0"/>
      <w:marTop w:val="0"/>
      <w:marBottom w:val="0"/>
      <w:divBdr>
        <w:top w:val="none" w:sz="0" w:space="0" w:color="auto"/>
        <w:left w:val="none" w:sz="0" w:space="0" w:color="auto"/>
        <w:bottom w:val="none" w:sz="0" w:space="0" w:color="auto"/>
        <w:right w:val="none" w:sz="0" w:space="0" w:color="auto"/>
      </w:divBdr>
    </w:div>
    <w:div w:id="1392654754">
      <w:bodyDiv w:val="1"/>
      <w:marLeft w:val="0"/>
      <w:marRight w:val="0"/>
      <w:marTop w:val="0"/>
      <w:marBottom w:val="0"/>
      <w:divBdr>
        <w:top w:val="none" w:sz="0" w:space="0" w:color="auto"/>
        <w:left w:val="none" w:sz="0" w:space="0" w:color="auto"/>
        <w:bottom w:val="none" w:sz="0" w:space="0" w:color="auto"/>
        <w:right w:val="none" w:sz="0" w:space="0" w:color="auto"/>
      </w:divBdr>
      <w:divsChild>
        <w:div w:id="1140148476">
          <w:marLeft w:val="720"/>
          <w:marRight w:val="0"/>
          <w:marTop w:val="0"/>
          <w:marBottom w:val="0"/>
          <w:divBdr>
            <w:top w:val="none" w:sz="0" w:space="0" w:color="auto"/>
            <w:left w:val="none" w:sz="0" w:space="0" w:color="auto"/>
            <w:bottom w:val="none" w:sz="0" w:space="0" w:color="auto"/>
            <w:right w:val="none" w:sz="0" w:space="0" w:color="auto"/>
          </w:divBdr>
        </w:div>
        <w:div w:id="96605726">
          <w:marLeft w:val="720"/>
          <w:marRight w:val="0"/>
          <w:marTop w:val="0"/>
          <w:marBottom w:val="0"/>
          <w:divBdr>
            <w:top w:val="none" w:sz="0" w:space="0" w:color="auto"/>
            <w:left w:val="none" w:sz="0" w:space="0" w:color="auto"/>
            <w:bottom w:val="none" w:sz="0" w:space="0" w:color="auto"/>
            <w:right w:val="none" w:sz="0" w:space="0" w:color="auto"/>
          </w:divBdr>
        </w:div>
        <w:div w:id="90048630">
          <w:marLeft w:val="720"/>
          <w:marRight w:val="0"/>
          <w:marTop w:val="0"/>
          <w:marBottom w:val="0"/>
          <w:divBdr>
            <w:top w:val="none" w:sz="0" w:space="0" w:color="auto"/>
            <w:left w:val="none" w:sz="0" w:space="0" w:color="auto"/>
            <w:bottom w:val="none" w:sz="0" w:space="0" w:color="auto"/>
            <w:right w:val="none" w:sz="0" w:space="0" w:color="auto"/>
          </w:divBdr>
        </w:div>
        <w:div w:id="525944012">
          <w:marLeft w:val="720"/>
          <w:marRight w:val="0"/>
          <w:marTop w:val="0"/>
          <w:marBottom w:val="0"/>
          <w:divBdr>
            <w:top w:val="none" w:sz="0" w:space="0" w:color="auto"/>
            <w:left w:val="none" w:sz="0" w:space="0" w:color="auto"/>
            <w:bottom w:val="none" w:sz="0" w:space="0" w:color="auto"/>
            <w:right w:val="none" w:sz="0" w:space="0" w:color="auto"/>
          </w:divBdr>
        </w:div>
      </w:divsChild>
    </w:div>
    <w:div w:id="1643538545">
      <w:bodyDiv w:val="1"/>
      <w:marLeft w:val="0"/>
      <w:marRight w:val="0"/>
      <w:marTop w:val="0"/>
      <w:marBottom w:val="0"/>
      <w:divBdr>
        <w:top w:val="none" w:sz="0" w:space="0" w:color="auto"/>
        <w:left w:val="none" w:sz="0" w:space="0" w:color="auto"/>
        <w:bottom w:val="none" w:sz="0" w:space="0" w:color="auto"/>
        <w:right w:val="none" w:sz="0" w:space="0" w:color="auto"/>
      </w:divBdr>
    </w:div>
    <w:div w:id="1730764010">
      <w:bodyDiv w:val="1"/>
      <w:marLeft w:val="0"/>
      <w:marRight w:val="0"/>
      <w:marTop w:val="0"/>
      <w:marBottom w:val="0"/>
      <w:divBdr>
        <w:top w:val="none" w:sz="0" w:space="0" w:color="auto"/>
        <w:left w:val="none" w:sz="0" w:space="0" w:color="auto"/>
        <w:bottom w:val="none" w:sz="0" w:space="0" w:color="auto"/>
        <w:right w:val="none" w:sz="0" w:space="0" w:color="auto"/>
      </w:divBdr>
    </w:div>
    <w:div w:id="1955332203">
      <w:bodyDiv w:val="1"/>
      <w:marLeft w:val="0"/>
      <w:marRight w:val="0"/>
      <w:marTop w:val="0"/>
      <w:marBottom w:val="0"/>
      <w:divBdr>
        <w:top w:val="none" w:sz="0" w:space="0" w:color="auto"/>
        <w:left w:val="none" w:sz="0" w:space="0" w:color="auto"/>
        <w:bottom w:val="none" w:sz="0" w:space="0" w:color="auto"/>
        <w:right w:val="none" w:sz="0" w:space="0" w:color="auto"/>
      </w:divBdr>
      <w:divsChild>
        <w:div w:id="13387574">
          <w:marLeft w:val="720"/>
          <w:marRight w:val="0"/>
          <w:marTop w:val="120"/>
          <w:marBottom w:val="0"/>
          <w:divBdr>
            <w:top w:val="none" w:sz="0" w:space="0" w:color="auto"/>
            <w:left w:val="none" w:sz="0" w:space="0" w:color="auto"/>
            <w:bottom w:val="none" w:sz="0" w:space="0" w:color="auto"/>
            <w:right w:val="none" w:sz="0" w:space="0" w:color="auto"/>
          </w:divBdr>
        </w:div>
        <w:div w:id="239290366">
          <w:marLeft w:val="720"/>
          <w:marRight w:val="0"/>
          <w:marTop w:val="0"/>
          <w:marBottom w:val="0"/>
          <w:divBdr>
            <w:top w:val="none" w:sz="0" w:space="0" w:color="auto"/>
            <w:left w:val="none" w:sz="0" w:space="0" w:color="auto"/>
            <w:bottom w:val="none" w:sz="0" w:space="0" w:color="auto"/>
            <w:right w:val="none" w:sz="0" w:space="0" w:color="auto"/>
          </w:divBdr>
        </w:div>
        <w:div w:id="38825821">
          <w:marLeft w:val="720"/>
          <w:marRight w:val="0"/>
          <w:marTop w:val="0"/>
          <w:marBottom w:val="0"/>
          <w:divBdr>
            <w:top w:val="none" w:sz="0" w:space="0" w:color="auto"/>
            <w:left w:val="none" w:sz="0" w:space="0" w:color="auto"/>
            <w:bottom w:val="none" w:sz="0" w:space="0" w:color="auto"/>
            <w:right w:val="none" w:sz="0" w:space="0" w:color="auto"/>
          </w:divBdr>
        </w:div>
      </w:divsChild>
    </w:div>
    <w:div w:id="2030984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4279</TotalTime>
  <Pages>1</Pages>
  <Words>1720</Words>
  <Characters>9805</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11</cp:revision>
  <dcterms:created xsi:type="dcterms:W3CDTF">2024-08-26T15:46:00Z</dcterms:created>
  <dcterms:modified xsi:type="dcterms:W3CDTF">2024-08-31T10:14:00Z</dcterms:modified>
</cp:coreProperties>
</file>