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ecd0f51c7b97702f2187654d4f9fd14cd892f20"/>
    <w:p>
      <w:pPr>
        <w:pStyle w:val="Heading1"/>
        <w:keepNext/>
        <w:spacing w:before="400" w:after="120"/>
      </w:pPr>
      <w:r>
        <w:rPr>
          <w:rFonts w:ascii="Georgia" w:hAnsi="Georgia"/>
          <w:b/>
          <w:color w:val="1E2761"/>
          <w:sz w:val="34"/>
        </w:rPr>
        <w:t xml:space="preserve">GGMI Mexico: September Media Budget Proposal</w:t>
      </w:r>
    </w:p>
    <w:p>
      <w:pPr>
        <w:pStyle w:val="FirstParagraph"/>
        <w:spacing w:after="160" w:line="276" w:lineRule="auto"/>
      </w:pPr>
      <w:r>
        <w:rPr>
          <w:rFonts w:ascii="Calibri" w:hAnsi="Calibri"/>
          <w:b/>
          <w:bCs/>
        </w:rPr>
        <w:t xml:space="preserve">Entity:</w:t>
      </w:r>
      <w:r>
        <w:rPr>
          <w:rFonts w:ascii="Calibri" w:hAnsi="Calibri"/>
        </w:rPr>
        <w:t xml:space="preserve"> </w:t>
      </w:r>
      <w:r>
        <w:rPr>
          <w:rFonts w:ascii="Calibri" w:hAnsi="Calibri"/>
        </w:rPr>
        <w:t xml:space="preserve">GGMI, GAIN Global Markets Inc. (Mexico, forex.com/es)</w:t>
      </w:r>
      <w:r>
        <w:rPr>
          <w:rFonts w:ascii="Calibri" w:hAnsi="Calibri"/>
        </w:rPr>
        <w:br/>
      </w:r>
      <w:r>
        <w:rPr>
          <w:rFonts w:ascii="Calibri" w:hAnsi="Calibri"/>
          <w:b/>
          <w:bCs/>
        </w:rPr>
        <w:t xml:space="preserve">Prepared for:</w:t>
      </w:r>
      <w:r>
        <w:rPr>
          <w:rFonts w:ascii="Calibri" w:hAnsi="Calibri"/>
        </w:rPr>
        <w:t xml:space="preserve"> </w:t>
      </w:r>
      <w:r>
        <w:rPr>
          <w:rFonts w:ascii="Calibri" w:hAnsi="Calibri"/>
        </w:rPr>
        <w:t xml:space="preserve">FOREX.com</w:t>
      </w:r>
      <w:r>
        <w:rPr>
          <w:rFonts w:ascii="Calibri" w:hAnsi="Calibri"/>
        </w:rPr>
        <w:br/>
      </w:r>
      <w:r>
        <w:rPr>
          <w:rFonts w:ascii="Calibri" w:hAnsi="Calibri"/>
          <w:b/>
          <w:bCs/>
        </w:rPr>
        <w:t xml:space="preserve">Prepared by:</w:t>
      </w:r>
      <w:r>
        <w:rPr>
          <w:rFonts w:ascii="Calibri" w:hAnsi="Calibri"/>
        </w:rPr>
        <w:t xml:space="preserve"> </w:t>
      </w:r>
      <w:r>
        <w:rPr>
          <w:rFonts w:ascii="Calibri" w:hAnsi="Calibri"/>
        </w:rPr>
        <w:t xml:space="preserve">brlvnt</w:t>
      </w:r>
      <w:r>
        <w:rPr>
          <w:rFonts w:ascii="Calibri" w:hAnsi="Calibri"/>
        </w:rPr>
        <w:br/>
      </w:r>
      <w:r>
        <w:rPr>
          <w:rFonts w:ascii="Calibri" w:hAnsi="Calibri"/>
          <w:b/>
          <w:bCs/>
        </w:rPr>
        <w:t xml:space="preserve">Date:</w:t>
      </w:r>
      <w:r>
        <w:rPr>
          <w:rFonts w:ascii="Calibri" w:hAnsi="Calibri"/>
        </w:rPr>
        <w:t xml:space="preserve"> </w:t>
      </w:r>
      <w:r>
        <w:rPr>
          <w:rFonts w:ascii="Calibri" w:hAnsi="Calibri"/>
        </w:rPr>
        <w:t xml:space="preserve">August 27, 2026</w:t>
      </w:r>
      <w:r>
        <w:rPr>
          <w:rFonts w:ascii="Calibri" w:hAnsi="Calibri"/>
        </w:rPr>
        <w:br/>
      </w:r>
      <w:r>
        <w:rPr>
          <w:rFonts w:ascii="Calibri" w:hAnsi="Calibri"/>
          <w:b/>
          <w:bCs/>
        </w:rPr>
        <w:t xml:space="preserve">Decision required:</w:t>
      </w:r>
      <w:r>
        <w:rPr>
          <w:rFonts w:ascii="Calibri" w:hAnsi="Calibri"/>
        </w:rPr>
        <w:t xml:space="preserve"> </w:t>
      </w:r>
      <w:r>
        <w:rPr>
          <w:rFonts w:ascii="Calibri" w:hAnsi="Calibri"/>
        </w:rPr>
        <w:t xml:space="preserve">September operating budget, with a review in early October</w:t>
      </w:r>
      <w:r>
        <w:rPr>
          <w:rFonts w:ascii="Calibri" w:hAnsi="Calibri"/>
        </w:rPr>
        <w:br/>
      </w:r>
      <w:r>
        <w:rPr>
          <w:rFonts w:ascii="Calibri" w:hAnsi="Calibri"/>
          <w:b/>
          <w:bCs/>
        </w:rPr>
        <w:t xml:space="preserve">Status:</w:t>
      </w:r>
      <w:r>
        <w:rPr>
          <w:rFonts w:ascii="Calibri" w:hAnsi="Calibri"/>
        </w:rPr>
        <w:t xml:space="preserve"> </w:t>
      </w:r>
      <w:r>
        <w:rPr>
          <w:rFonts w:ascii="Calibri" w:hAnsi="Calibri"/>
        </w:rPr>
        <w:t xml:space="preserve">DRAFT for FOREX.com review. Not for distribution.</w:t>
      </w:r>
    </w:p>
    <w:p>
      <w:pPr>
        <w:spacing w:after="160" w:line="276" w:lineRule="auto"/>
      </w:pPr>
      <w:r>
        <w:rPr>
          <w:rFonts w:ascii="Calibri" w:hAnsi="Calibri"/>
        </w:rPr>
        <w:pict>
          <v:rect style="width:0;height:1.5pt" o:hralign="center" o:hrstd="t" o:hr="t"/>
        </w:pict>
      </w:r>
    </w:p>
    <w:bookmarkStart w:id="9" w:name="X4e245aea7cc935a5530563396dbc6b4bb9e6f4f"/>
    <w:p>
      <w:pPr>
        <w:pStyle w:val="Heading2"/>
        <w:keepNext/>
        <w:spacing w:before="320" w:after="120"/>
      </w:pPr>
      <w:r>
        <w:rPr>
          <w:rFonts w:ascii="Georgia" w:hAnsi="Georgia"/>
          <w:b/>
          <w:color w:val="1E2761"/>
          <w:sz w:val="26"/>
        </w:rPr>
        <w:t xml:space="preserve">1. Recommendation</w:t>
      </w:r>
    </w:p>
    <w:p>
      <w:pPr>
        <w:pStyle w:val="FirstParagraph"/>
        <w:spacing w:after="160" w:line="276" w:lineRule="auto"/>
      </w:pPr>
      <w:r>
        <w:rPr>
          <w:rFonts w:ascii="Calibri" w:hAnsi="Calibri"/>
        </w:rPr>
        <w:t xml:space="preserve">brlvnt recommends the</w:t>
      </w:r>
      <w:r>
        <w:rPr>
          <w:rFonts w:ascii="Calibri" w:hAnsi="Calibri"/>
        </w:rPr>
        <w:t xml:space="preserve"> </w:t>
      </w:r>
      <w:r>
        <w:rPr>
          <w:rFonts w:ascii="Calibri" w:hAnsi="Calibri"/>
          <w:b/>
          <w:bCs/>
        </w:rPr>
        <w:t xml:space="preserve">Controlled Pullback: a $61,000 September operating budget.</w:t>
      </w:r>
      <w:r>
        <w:rPr>
          <w:rFonts w:ascii="Calibri" w:hAnsi="Calibri"/>
        </w:rPr>
        <w:t xml:space="preserve"> </w:t>
      </w:r>
      <w:r>
        <w:rPr>
          <w:rFonts w:ascii="Calibri" w:hAnsi="Calibri"/>
        </w:rPr>
        <w:t xml:space="preserve">A</w:t>
      </w:r>
      <w:r>
        <w:rPr>
          <w:rFonts w:ascii="Calibri" w:hAnsi="Calibri"/>
        </w:rPr>
        <w:t xml:space="preserve"> </w:t>
      </w:r>
      <w:r>
        <w:rPr>
          <w:rFonts w:ascii="Calibri" w:hAnsi="Calibri"/>
          <w:b/>
          <w:bCs/>
        </w:rPr>
        <w:t xml:space="preserve">Deep Pullback at $33,500</w:t>
      </w:r>
      <w:r>
        <w:rPr>
          <w:rFonts w:ascii="Calibri" w:hAnsi="Calibri"/>
        </w:rPr>
        <w:t xml:space="preserve"> </w:t>
      </w:r>
      <w:r>
        <w:rPr>
          <w:rFonts w:ascii="Calibri" w:hAnsi="Calibri"/>
        </w:rPr>
        <w:t xml:space="preserve">is the alternative if cash preservation outweighs volume.</w:t>
      </w:r>
    </w:p>
    <w:tbl>
      <w:tblPr>
        <w:tblStyle w:val="Table"/>
        <w:tblW w:type="auto" w:w="0"/>
        <w:jc w:val="left"/>
        <w:tblLook w:firstRow="1" w:lastRow="0" w:firstColumn="0" w:lastColumn="0" w:noHBand="0" w:noVBand="0" w:val="0020"/>
        <w:tblBorders>
          <w:top w:val="single" w:sz="4" w:color="D0D4DC"/>
          <w:left w:val="single" w:sz="4" w:color="D0D4DC"/>
          <w:bottom w:val="single" w:sz="4" w:color="D0D4DC"/>
          <w:right w:val="single" w:sz="4" w:color="D0D4DC"/>
          <w:insideH w:val="single" w:sz="4" w:color="D0D4DC"/>
          <w:insideV w:val="single" w:sz="4" w:color="D0D4DC"/>
        </w:tblBorders>
      </w:tblPr>
      <w:tblGrid>
        <w:gridCol w:w="1980"/>
        <w:gridCol w:w="1980"/>
        <w:gridCol w:w="1980"/>
        <w:gridCol w:w="1980"/>
      </w:tblGrid>
      <w:tr>
        <w:trPr>
          <w:tblHeader w:val="on"/>
          <w:cantSplit/>
          <w:tblHeader/>
        </w:trPr>
        <w:tc>
          <w:tcPr>
            <w:vAlign w:val="center"/>
            <w:shd w:val="clear" w:fill="1E2761"/>
          </w:tcPr>
          <w:p>
            <w:pPr>
              <w:pStyle w:val="Compact"/>
              <w:spacing w:before="60" w:after="60"/>
            </w:pPr>
            <w:r>
              <w:rPr>
                <w:rFonts w:ascii="Calibri" w:hAnsi="Calibri"/>
                <w:b/>
                <w:color w:val="FFFFFF"/>
                <w:sz w:val="19"/>
              </w:rPr>
              <w:t xml:space="preserve">Line</w:t>
            </w:r>
          </w:p>
        </w:tc>
        <w:tc>
          <w:tcPr>
            <w:vAlign w:val="center"/>
            <w:shd w:val="clear" w:fill="1E2761"/>
          </w:tcPr>
          <w:p>
            <w:pPr>
              <w:pStyle w:val="Compact"/>
              <w:spacing w:before="60" w:after="60"/>
              <w:jc w:val="right"/>
            </w:pPr>
            <w:r>
              <w:rPr>
                <w:rFonts w:ascii="Calibri" w:hAnsi="Calibri"/>
                <w:b/>
                <w:color w:val="FFFFFF"/>
                <w:sz w:val="19"/>
              </w:rPr>
              <w:t xml:space="preserve">Approved September</w:t>
            </w:r>
          </w:p>
        </w:tc>
        <w:tc>
          <w:tcPr>
            <w:vAlign w:val="center"/>
            <w:shd w:val="clear" w:fill="1E2761"/>
          </w:tcPr>
          <w:p>
            <w:pPr>
              <w:pStyle w:val="Compact"/>
              <w:spacing w:before="60" w:after="60"/>
              <w:jc w:val="right"/>
            </w:pPr>
            <w:r>
              <w:rPr>
                <w:rFonts w:ascii="Calibri" w:hAnsi="Calibri"/>
                <w:b/>
                <w:color w:val="FFFFFF"/>
                <w:sz w:val="19"/>
              </w:rPr>
              <w:t xml:space="preserve">Controlled Pullback</w:t>
            </w:r>
          </w:p>
        </w:tc>
        <w:tc>
          <w:tcPr>
            <w:vAlign w:val="center"/>
            <w:shd w:val="clear" w:fill="1E2761"/>
          </w:tcPr>
          <w:p>
            <w:pPr>
              <w:pStyle w:val="Compact"/>
              <w:spacing w:before="60" w:after="60"/>
              <w:jc w:val="right"/>
            </w:pPr>
            <w:r>
              <w:rPr>
                <w:rFonts w:ascii="Calibri" w:hAnsi="Calibri"/>
                <w:b/>
                <w:color w:val="FFFFFF"/>
                <w:sz w:val="19"/>
              </w:rPr>
              <w:t xml:space="preserve">Deep Pullback</w:t>
            </w:r>
          </w:p>
        </w:tc>
      </w:tr>
      <w:tr>
        <w:trPr>
          <w:cantSplit/>
        </w:trPr>
        <w:tc>
          <w:tcPr>
            <w:vAlign w:val="center"/>
          </w:tcPr>
          <w:p>
            <w:pPr>
              <w:pStyle w:val="Compact"/>
              <w:spacing w:before="60" w:after="60"/>
            </w:pPr>
            <w:r>
              <w:rPr>
                <w:rFonts w:ascii="Calibri" w:hAnsi="Calibri"/>
                <w:color w:val="2B3147"/>
                <w:sz w:val="19"/>
              </w:rPr>
              <w:t xml:space="preserve">Bing</w:t>
            </w:r>
          </w:p>
        </w:tc>
        <w:tc>
          <w:tcPr>
            <w:vAlign w:val="center"/>
          </w:tcPr>
          <w:p>
            <w:pPr>
              <w:pStyle w:val="Compact"/>
              <w:spacing w:before="60" w:after="60"/>
              <w:jc w:val="right"/>
            </w:pPr>
            <w:r>
              <w:rPr>
                <w:rFonts w:ascii="Calibri" w:hAnsi="Calibri"/>
                <w:color w:val="2B3147"/>
                <w:sz w:val="19"/>
              </w:rPr>
              <w:t xml:space="preserve">$30,000</w:t>
            </w:r>
          </w:p>
        </w:tc>
        <w:tc>
          <w:tcPr>
            <w:vAlign w:val="center"/>
          </w:tcPr>
          <w:p>
            <w:pPr>
              <w:pStyle w:val="Compact"/>
              <w:spacing w:before="60" w:after="60"/>
              <w:jc w:val="right"/>
            </w:pPr>
            <w:r>
              <w:rPr>
                <w:rFonts w:ascii="Calibri" w:hAnsi="Calibri"/>
                <w:b/>
                <w:bCs/>
                <w:color w:val="2B3147"/>
                <w:sz w:val="19"/>
              </w:rPr>
              <w:t xml:space="preserve">$25,000</w:t>
            </w:r>
          </w:p>
        </w:tc>
        <w:tc>
          <w:tcPr>
            <w:vAlign w:val="center"/>
          </w:tcPr>
          <w:p>
            <w:pPr>
              <w:pStyle w:val="Compact"/>
              <w:spacing w:before="60" w:after="60"/>
              <w:jc w:val="right"/>
            </w:pPr>
            <w:r>
              <w:rPr>
                <w:rFonts w:ascii="Calibri" w:hAnsi="Calibri"/>
                <w:b/>
                <w:bCs/>
                <w:color w:val="2B3147"/>
                <w:sz w:val="19"/>
              </w:rPr>
              <w:t xml:space="preserve">$18,500</w:t>
            </w:r>
          </w:p>
        </w:tc>
      </w:tr>
      <w:tr>
        <w:trPr>
          <w:cantSplit/>
        </w:trPr>
        <w:tc>
          <w:tcPr>
            <w:vAlign w:val="center"/>
            <w:shd w:val="clear" w:fill="F9FAFC"/>
          </w:tcPr>
          <w:p>
            <w:pPr>
              <w:pStyle w:val="Compact"/>
              <w:spacing w:before="60" w:after="60"/>
            </w:pPr>
            <w:r>
              <w:rPr>
                <w:rFonts w:ascii="Calibri" w:hAnsi="Calibri"/>
                <w:color w:val="2B3147"/>
                <w:sz w:val="19"/>
              </w:rPr>
              <w:t xml:space="preserve">Azerion</w:t>
            </w:r>
          </w:p>
        </w:tc>
        <w:tc>
          <w:tcPr>
            <w:vAlign w:val="center"/>
            <w:shd w:val="clear" w:fill="F9FAFC"/>
          </w:tcPr>
          <w:p>
            <w:pPr>
              <w:pStyle w:val="Compact"/>
              <w:spacing w:before="60" w:after="60"/>
              <w:jc w:val="right"/>
            </w:pPr>
            <w:r>
              <w:rPr>
                <w:rFonts w:ascii="Calibri" w:hAnsi="Calibri"/>
                <w:color w:val="2B3147"/>
                <w:sz w:val="19"/>
              </w:rPr>
              <w:t xml:space="preserve">$35,000</w:t>
            </w:r>
          </w:p>
        </w:tc>
        <w:tc>
          <w:tcPr>
            <w:vAlign w:val="center"/>
            <w:shd w:val="clear" w:fill="F9FAFC"/>
          </w:tcPr>
          <w:p>
            <w:pPr>
              <w:pStyle w:val="Compact"/>
              <w:spacing w:before="60" w:after="60"/>
              <w:jc w:val="right"/>
            </w:pPr>
            <w:r>
              <w:rPr>
                <w:rFonts w:ascii="Calibri" w:hAnsi="Calibri"/>
                <w:b/>
                <w:bCs/>
                <w:color w:val="2B3147"/>
                <w:sz w:val="19"/>
              </w:rPr>
              <w:t xml:space="preserve">$25,000</w:t>
            </w:r>
          </w:p>
        </w:tc>
        <w:tc>
          <w:tcPr>
            <w:vAlign w:val="center"/>
            <w:shd w:val="clear" w:fill="F9FAFC"/>
          </w:tcPr>
          <w:p>
            <w:pPr>
              <w:pStyle w:val="Compact"/>
              <w:spacing w:before="60" w:after="60"/>
              <w:jc w:val="right"/>
            </w:pPr>
            <w:r>
              <w:rPr>
                <w:rFonts w:ascii="Calibri" w:hAnsi="Calibri"/>
                <w:b/>
                <w:bCs/>
                <w:color w:val="2B3147"/>
                <w:sz w:val="19"/>
              </w:rPr>
              <w:t xml:space="preserve">$15,000</w:t>
            </w:r>
          </w:p>
        </w:tc>
      </w:tr>
      <w:tr>
        <w:trPr>
          <w:cantSplit/>
        </w:trPr>
        <w:tc>
          <w:tcPr>
            <w:vAlign w:val="center"/>
          </w:tcPr>
          <w:p>
            <w:pPr>
              <w:pStyle w:val="Compact"/>
              <w:spacing w:before="60" w:after="60"/>
            </w:pPr>
            <w:r>
              <w:rPr>
                <w:rFonts w:ascii="Calibri" w:hAnsi="Calibri"/>
                <w:color w:val="2B3147"/>
                <w:sz w:val="19"/>
              </w:rPr>
              <w:t xml:space="preserve">Quantcast</w:t>
            </w:r>
          </w:p>
        </w:tc>
        <w:tc>
          <w:tcPr>
            <w:vAlign w:val="center"/>
          </w:tcPr>
          <w:p>
            <w:pPr>
              <w:pStyle w:val="Compact"/>
              <w:spacing w:before="60" w:after="60"/>
              <w:jc w:val="right"/>
            </w:pPr>
            <w:r>
              <w:rPr>
                <w:rFonts w:ascii="Calibri" w:hAnsi="Calibri"/>
                <w:color w:val="2B3147"/>
                <w:sz w:val="19"/>
              </w:rPr>
              <w:t xml:space="preserve">$35,000</w:t>
            </w:r>
          </w:p>
        </w:tc>
        <w:tc>
          <w:tcPr>
            <w:vAlign w:val="center"/>
          </w:tcPr>
          <w:p>
            <w:pPr>
              <w:pStyle w:val="Compact"/>
              <w:spacing w:before="60" w:after="60"/>
              <w:jc w:val="right"/>
            </w:pPr>
            <w:r>
              <w:rPr>
                <w:rFonts w:ascii="Calibri" w:hAnsi="Calibri"/>
                <w:color w:val="2B3147"/>
                <w:sz w:val="19"/>
              </w:rPr>
              <w:t xml:space="preserve">$11,000</w:t>
            </w:r>
          </w:p>
        </w:tc>
        <w:tc>
          <w:tcPr>
            <w:vAlign w:val="center"/>
          </w:tcPr>
          <w:p>
            <w:pPr>
              <w:pStyle w:val="Compact"/>
              <w:spacing w:before="60" w:after="60"/>
              <w:jc w:val="right"/>
            </w:pPr>
            <w:r>
              <w:rPr>
                <w:rFonts w:ascii="Calibri" w:hAnsi="Calibri"/>
                <w:color w:val="2B3147"/>
                <w:sz w:val="19"/>
              </w:rPr>
              <w:t xml:space="preserve">$0</w:t>
            </w:r>
          </w:p>
        </w:tc>
      </w:tr>
      <w:tr>
        <w:trPr>
          <w:cantSplit/>
        </w:trPr>
        <w:tc>
          <w:tcPr>
            <w:vAlign w:val="center"/>
            <w:shd w:val="clear" w:fill="F9FAFC"/>
          </w:tcPr>
          <w:p>
            <w:pPr>
              <w:pStyle w:val="Compact"/>
              <w:spacing w:before="60" w:after="60"/>
            </w:pPr>
            <w:r>
              <w:rPr>
                <w:rFonts w:ascii="Calibri" w:hAnsi="Calibri"/>
                <w:color w:val="2B3147"/>
                <w:sz w:val="19"/>
              </w:rPr>
              <w:t xml:space="preserve">Native</w:t>
            </w:r>
          </w:p>
        </w:tc>
        <w:tc>
          <w:tcPr>
            <w:vAlign w:val="center"/>
            <w:shd w:val="clear" w:fill="F9FAFC"/>
          </w:tcPr>
          <w:p>
            <w:pPr>
              <w:pStyle w:val="Compact"/>
              <w:spacing w:before="60" w:after="60"/>
              <w:jc w:val="right"/>
            </w:pPr>
            <w:r>
              <w:rPr>
                <w:rFonts w:ascii="Calibri" w:hAnsi="Calibri"/>
                <w:color w:val="2B3147"/>
                <w:sz w:val="19"/>
              </w:rPr>
              <w:t xml:space="preserve">$25,000</w:t>
            </w:r>
          </w:p>
        </w:tc>
        <w:tc>
          <w:tcPr>
            <w:vAlign w:val="center"/>
            <w:shd w:val="clear" w:fill="F9FAFC"/>
          </w:tcPr>
          <w:p>
            <w:pPr>
              <w:pStyle w:val="Compact"/>
              <w:spacing w:before="60" w:after="60"/>
              <w:jc w:val="right"/>
            </w:pPr>
            <w:r>
              <w:rPr>
                <w:rFonts w:ascii="Calibri" w:hAnsi="Calibri"/>
                <w:color w:val="2B3147"/>
                <w:sz w:val="19"/>
              </w:rPr>
              <w:t xml:space="preserve">$0</w:t>
            </w:r>
          </w:p>
        </w:tc>
        <w:tc>
          <w:tcPr>
            <w:vAlign w:val="center"/>
            <w:shd w:val="clear" w:fill="F9FAFC"/>
          </w:tcPr>
          <w:p>
            <w:pPr>
              <w:pStyle w:val="Compact"/>
              <w:spacing w:before="60" w:after="60"/>
              <w:jc w:val="right"/>
            </w:pPr>
            <w:r>
              <w:rPr>
                <w:rFonts w:ascii="Calibri" w:hAnsi="Calibri"/>
                <w:color w:val="2B3147"/>
                <w:sz w:val="19"/>
              </w:rPr>
              <w:t xml:space="preserve">$0</w:t>
            </w:r>
          </w:p>
        </w:tc>
      </w:tr>
      <w:tr>
        <w:trPr>
          <w:cantSplit/>
        </w:trPr>
        <w:tc>
          <w:tcPr>
            <w:vAlign w:val="center"/>
          </w:tcPr>
          <w:p>
            <w:pPr>
              <w:pStyle w:val="Compact"/>
              <w:spacing w:before="60" w:after="60"/>
            </w:pPr>
            <w:r>
              <w:rPr>
                <w:rFonts w:ascii="Calibri" w:hAnsi="Calibri"/>
                <w:color w:val="2B3147"/>
                <w:sz w:val="19"/>
              </w:rPr>
              <w:t xml:space="preserve">Meta</w:t>
            </w:r>
          </w:p>
        </w:tc>
        <w:tc>
          <w:tcPr>
            <w:vAlign w:val="center"/>
          </w:tcPr>
          <w:p>
            <w:pPr>
              <w:pStyle w:val="Compact"/>
              <w:spacing w:before="60" w:after="60"/>
              <w:jc w:val="right"/>
            </w:pPr>
            <w:r>
              <w:rPr>
                <w:rFonts w:ascii="Calibri" w:hAnsi="Calibri"/>
                <w:color w:val="2B3147"/>
                <w:sz w:val="19"/>
              </w:rPr>
              <w:t xml:space="preserve">$30,000</w:t>
            </w:r>
          </w:p>
        </w:tc>
        <w:tc>
          <w:tcPr>
            <w:vAlign w:val="center"/>
          </w:tcPr>
          <w:p>
            <w:pPr>
              <w:pStyle w:val="Compact"/>
              <w:spacing w:before="60" w:after="60"/>
              <w:jc w:val="right"/>
            </w:pPr>
            <w:r>
              <w:rPr>
                <w:rFonts w:ascii="Calibri" w:hAnsi="Calibri"/>
                <w:color w:val="2B3147"/>
                <w:sz w:val="19"/>
              </w:rPr>
              <w:t xml:space="preserve">Deferred</w:t>
            </w:r>
          </w:p>
        </w:tc>
        <w:tc>
          <w:tcPr>
            <w:vAlign w:val="center"/>
          </w:tcPr>
          <w:p>
            <w:pPr>
              <w:pStyle w:val="Compact"/>
              <w:spacing w:before="60" w:after="60"/>
              <w:jc w:val="right"/>
            </w:pPr>
            <w:r>
              <w:rPr>
                <w:rFonts w:ascii="Calibri" w:hAnsi="Calibri"/>
                <w:color w:val="2B3147"/>
                <w:sz w:val="19"/>
              </w:rPr>
              <w:t xml:space="preserve">Deferred</w:t>
            </w:r>
          </w:p>
        </w:tc>
      </w:tr>
      <w:tr>
        <w:trPr>
          <w:cantSplit/>
        </w:trPr>
        <w:tc>
          <w:tcPr>
            <w:vAlign w:val="center"/>
            <w:shd w:val="clear" w:fill="F9FAFC"/>
          </w:tcPr>
          <w:p>
            <w:pPr>
              <w:pStyle w:val="Compact"/>
              <w:spacing w:before="60" w:after="60"/>
            </w:pPr>
            <w:r>
              <w:rPr>
                <w:rFonts w:ascii="Calibri" w:hAnsi="Calibri"/>
                <w:color w:val="2B3147"/>
                <w:sz w:val="19"/>
              </w:rPr>
              <w:t xml:space="preserve">TikTok</w:t>
            </w:r>
          </w:p>
        </w:tc>
        <w:tc>
          <w:tcPr>
            <w:vAlign w:val="center"/>
            <w:shd w:val="clear" w:fill="F9FAFC"/>
          </w:tcPr>
          <w:p>
            <w:pPr>
              <w:pStyle w:val="Compact"/>
              <w:spacing w:before="60" w:after="60"/>
              <w:jc w:val="right"/>
            </w:pPr>
            <w:r>
              <w:rPr>
                <w:rFonts w:ascii="Calibri" w:hAnsi="Calibri"/>
                <w:color w:val="2B3147"/>
                <w:sz w:val="19"/>
              </w:rPr>
              <w:t xml:space="preserve">$10,000</w:t>
            </w:r>
          </w:p>
        </w:tc>
        <w:tc>
          <w:tcPr>
            <w:vAlign w:val="center"/>
            <w:shd w:val="clear" w:fill="F9FAFC"/>
          </w:tcPr>
          <w:p>
            <w:pPr>
              <w:pStyle w:val="Compact"/>
              <w:spacing w:before="60" w:after="60"/>
              <w:jc w:val="right"/>
            </w:pPr>
            <w:r>
              <w:rPr>
                <w:rFonts w:ascii="Calibri" w:hAnsi="Calibri"/>
                <w:color w:val="2B3147"/>
                <w:sz w:val="19"/>
              </w:rPr>
              <w:t xml:space="preserve">Deferred</w:t>
            </w:r>
          </w:p>
        </w:tc>
        <w:tc>
          <w:tcPr>
            <w:vAlign w:val="center"/>
            <w:shd w:val="clear" w:fill="F9FAFC"/>
          </w:tcPr>
          <w:p>
            <w:pPr>
              <w:pStyle w:val="Compact"/>
              <w:spacing w:before="60" w:after="60"/>
              <w:jc w:val="right"/>
            </w:pPr>
            <w:r>
              <w:rPr>
                <w:rFonts w:ascii="Calibri" w:hAnsi="Calibri"/>
                <w:color w:val="2B3147"/>
                <w:sz w:val="19"/>
              </w:rPr>
              <w:t xml:space="preserve">Deferred</w:t>
            </w:r>
          </w:p>
        </w:tc>
      </w:tr>
      <w:tr>
        <w:trPr>
          <w:cantSplit/>
        </w:trPr>
        <w:tc>
          <w:tcPr>
            <w:vAlign w:val="center"/>
          </w:tcPr>
          <w:p>
            <w:pPr>
              <w:pStyle w:val="Compact"/>
              <w:spacing w:before="60" w:after="60"/>
            </w:pPr>
            <w:r>
              <w:rPr>
                <w:rFonts w:ascii="Calibri" w:hAnsi="Calibri"/>
                <w:color w:val="2B3147"/>
                <w:sz w:val="19"/>
              </w:rPr>
              <w:t xml:space="preserve">Strategic Partnerships</w:t>
            </w:r>
          </w:p>
        </w:tc>
        <w:tc>
          <w:tcPr>
            <w:vAlign w:val="center"/>
          </w:tcPr>
          <w:p>
            <w:pPr>
              <w:pStyle w:val="Compact"/>
              <w:spacing w:before="60" w:after="60"/>
              <w:jc w:val="right"/>
            </w:pPr>
            <w:r>
              <w:rPr>
                <w:rFonts w:ascii="Calibri" w:hAnsi="Calibri"/>
                <w:color w:val="2B3147"/>
                <w:sz w:val="19"/>
              </w:rPr>
              <w:t xml:space="preserve">$40,000</w:t>
            </w:r>
          </w:p>
        </w:tc>
        <w:tc>
          <w:tcPr>
            <w:vAlign w:val="center"/>
          </w:tcPr>
          <w:p>
            <w:pPr>
              <w:pStyle w:val="Compact"/>
              <w:spacing w:before="60" w:after="60"/>
              <w:jc w:val="right"/>
            </w:pPr>
            <w:r>
              <w:rPr>
                <w:rFonts w:ascii="Calibri" w:hAnsi="Calibri"/>
                <w:color w:val="2B3147"/>
                <w:sz w:val="19"/>
              </w:rPr>
              <w:t xml:space="preserve">Deferred</w:t>
            </w:r>
          </w:p>
        </w:tc>
        <w:tc>
          <w:tcPr>
            <w:vAlign w:val="center"/>
          </w:tcPr>
          <w:p>
            <w:pPr>
              <w:pStyle w:val="Compact"/>
              <w:spacing w:before="60" w:after="60"/>
              <w:jc w:val="right"/>
            </w:pPr>
            <w:r>
              <w:rPr>
                <w:rFonts w:ascii="Calibri" w:hAnsi="Calibri"/>
                <w:color w:val="2B3147"/>
                <w:sz w:val="19"/>
              </w:rPr>
              <w:t xml:space="preserve">Deferred</w:t>
            </w:r>
          </w:p>
        </w:tc>
      </w:tr>
      <w:tr>
        <w:trPr>
          <w:cantSplit/>
        </w:trPr>
        <w:tc>
          <w:tcPr>
            <w:vAlign w:val="center"/>
            <w:shd w:val="clear" w:fill="CADCFC"/>
          </w:tcPr>
          <w:p>
            <w:pPr>
              <w:pStyle w:val="Compact"/>
              <w:spacing w:before="60" w:after="60"/>
            </w:pPr>
            <w:r>
              <w:rPr>
                <w:rFonts w:ascii="Calibri" w:hAnsi="Calibri"/>
                <w:b/>
                <w:bCs/>
                <w:color w:val="2B3147"/>
                <w:sz w:val="19"/>
              </w:rPr>
              <w:t xml:space="preserve">September operating budget</w:t>
            </w:r>
          </w:p>
        </w:tc>
        <w:tc>
          <w:tcPr>
            <w:vAlign w:val="center"/>
            <w:shd w:val="clear" w:fill="CADCFC"/>
          </w:tcPr>
          <w:p>
            <w:pPr>
              <w:pStyle w:val="Compact"/>
              <w:spacing w:before="60" w:after="60"/>
              <w:jc w:val="right"/>
            </w:pPr>
            <w:r>
              <w:rPr>
                <w:rFonts w:ascii="Calibri" w:hAnsi="Calibri"/>
                <w:b/>
                <w:bCs/>
                <w:color w:val="2B3147"/>
                <w:sz w:val="19"/>
              </w:rPr>
              <w:t xml:space="preserve">$205,000</w:t>
            </w:r>
          </w:p>
        </w:tc>
        <w:tc>
          <w:tcPr>
            <w:vAlign w:val="center"/>
            <w:shd w:val="clear" w:fill="CADCFC"/>
          </w:tcPr>
          <w:p>
            <w:pPr>
              <w:pStyle w:val="Compact"/>
              <w:spacing w:before="60" w:after="60"/>
              <w:jc w:val="right"/>
            </w:pPr>
            <w:r>
              <w:rPr>
                <w:rFonts w:ascii="Calibri" w:hAnsi="Calibri"/>
                <w:b/>
                <w:bCs/>
                <w:color w:val="2B3147"/>
                <w:sz w:val="19"/>
              </w:rPr>
              <w:t xml:space="preserve">$61,000</w:t>
            </w:r>
          </w:p>
        </w:tc>
        <w:tc>
          <w:tcPr>
            <w:vAlign w:val="center"/>
            <w:shd w:val="clear" w:fill="CADCFC"/>
          </w:tcPr>
          <w:p>
            <w:pPr>
              <w:pStyle w:val="Compact"/>
              <w:spacing w:before="60" w:after="60"/>
              <w:jc w:val="right"/>
            </w:pPr>
            <w:r>
              <w:rPr>
                <w:rFonts w:ascii="Calibri" w:hAnsi="Calibri"/>
                <w:b/>
                <w:bCs/>
                <w:color w:val="2B3147"/>
                <w:sz w:val="19"/>
              </w:rPr>
              <w:t xml:space="preserve">$33,500</w:t>
            </w:r>
          </w:p>
        </w:tc>
      </w:tr>
    </w:tbl>
    <w:p>
      <w:pPr>
        <w:pStyle w:val="BodyText"/>
        <w:spacing w:after="160" w:line="276" w:lineRule="auto"/>
      </w:pPr>
      <w:r>
        <w:rPr>
          <w:rFonts w:ascii="Calibri" w:hAnsi="Calibri"/>
        </w:rPr>
        <w:t xml:space="preserve">Both options cut deeper than they appear against August alone, because the approved September plan steps up by 64%. Two comparisons are relevant:</w:t>
      </w:r>
    </w:p>
    <w:tbl>
      <w:tblPr>
        <w:tblStyle w:val="Table"/>
        <w:tblW w:type="auto" w:w="0"/>
        <w:jc w:val="left"/>
        <w:tblLook w:firstRow="1" w:lastRow="0" w:firstColumn="0" w:lastColumn="0" w:noHBand="0" w:noVBand="0" w:val="0020"/>
        <w:tblBorders>
          <w:top w:val="single" w:sz="4" w:color="D0D4DC"/>
          <w:left w:val="single" w:sz="4" w:color="D0D4DC"/>
          <w:bottom w:val="single" w:sz="4" w:color="D0D4DC"/>
          <w:right w:val="single" w:sz="4" w:color="D0D4DC"/>
          <w:insideH w:val="single" w:sz="4" w:color="D0D4DC"/>
          <w:insideV w:val="single" w:sz="4" w:color="D0D4DC"/>
        </w:tblBorders>
      </w:tblPr>
      <w:tblGrid>
        <w:gridCol w:w="2640"/>
        <w:gridCol w:w="2640"/>
        <w:gridCol w:w="2640"/>
      </w:tblGrid>
      <w:tr>
        <w:trPr>
          <w:tblHeader w:val="on"/>
          <w:cantSplit/>
          <w:tblHeader/>
        </w:trPr>
        <w:tc>
          <w:tcPr>
            <w:vAlign w:val="center"/>
            <w:shd w:val="clear" w:fill="1E2761"/>
          </w:tcPr>
          <w:p>
            <w:pPr>
              <w:pStyle w:val="Compact"/>
              <w:spacing w:before="60" w:after="60"/>
            </w:pPr>
          </w:p>
        </w:tc>
        <w:tc>
          <w:tcPr>
            <w:vAlign w:val="center"/>
            <w:shd w:val="clear" w:fill="1E2761"/>
          </w:tcPr>
          <w:p>
            <w:pPr>
              <w:pStyle w:val="Compact"/>
              <w:spacing w:before="60" w:after="60"/>
              <w:jc w:val="right"/>
            </w:pPr>
            <w:r>
              <w:rPr>
                <w:rFonts w:ascii="Calibri" w:hAnsi="Calibri"/>
                <w:b/>
                <w:color w:val="FFFFFF"/>
                <w:sz w:val="19"/>
              </w:rPr>
              <w:t xml:space="preserve">Controlled Pullback</w:t>
            </w:r>
          </w:p>
        </w:tc>
        <w:tc>
          <w:tcPr>
            <w:vAlign w:val="center"/>
            <w:shd w:val="clear" w:fill="1E2761"/>
          </w:tcPr>
          <w:p>
            <w:pPr>
              <w:pStyle w:val="Compact"/>
              <w:spacing w:before="60" w:after="60"/>
              <w:jc w:val="right"/>
            </w:pPr>
            <w:r>
              <w:rPr>
                <w:rFonts w:ascii="Calibri" w:hAnsi="Calibri"/>
                <w:b/>
                <w:color w:val="FFFFFF"/>
                <w:sz w:val="19"/>
              </w:rPr>
              <w:t xml:space="preserve">Deep Pullback</w:t>
            </w:r>
          </w:p>
        </w:tc>
      </w:tr>
      <w:tr>
        <w:trPr>
          <w:cantSplit/>
        </w:trPr>
        <w:tc>
          <w:tcPr>
            <w:vAlign w:val="center"/>
          </w:tcPr>
          <w:p>
            <w:pPr>
              <w:pStyle w:val="Compact"/>
              <w:spacing w:before="60" w:after="60"/>
            </w:pPr>
            <w:r>
              <w:rPr>
                <w:rFonts w:ascii="Calibri" w:hAnsi="Calibri"/>
                <w:color w:val="2B3147"/>
                <w:sz w:val="19"/>
              </w:rPr>
              <w:t xml:space="preserve">Reduction against the four active August channels ($125,000)</w:t>
            </w:r>
          </w:p>
        </w:tc>
        <w:tc>
          <w:tcPr>
            <w:vAlign w:val="center"/>
          </w:tcPr>
          <w:p>
            <w:pPr>
              <w:pStyle w:val="Compact"/>
              <w:spacing w:before="60" w:after="60"/>
              <w:jc w:val="right"/>
            </w:pPr>
            <w:r>
              <w:rPr>
                <w:rFonts w:ascii="Calibri" w:hAnsi="Calibri"/>
                <w:b/>
                <w:bCs/>
                <w:color w:val="2B3147"/>
                <w:sz w:val="19"/>
              </w:rPr>
              <w:t xml:space="preserve">51%</w:t>
            </w:r>
          </w:p>
        </w:tc>
        <w:tc>
          <w:tcPr>
            <w:vAlign w:val="center"/>
          </w:tcPr>
          <w:p>
            <w:pPr>
              <w:pStyle w:val="Compact"/>
              <w:spacing w:before="60" w:after="60"/>
              <w:jc w:val="right"/>
            </w:pPr>
            <w:r>
              <w:rPr>
                <w:rFonts w:ascii="Calibri" w:hAnsi="Calibri"/>
                <w:b/>
                <w:bCs/>
                <w:color w:val="2B3147"/>
                <w:sz w:val="19"/>
              </w:rPr>
              <w:t xml:space="preserve">73%</w:t>
            </w:r>
          </w:p>
        </w:tc>
      </w:tr>
      <w:tr>
        <w:trPr>
          <w:cantSplit/>
        </w:trPr>
        <w:tc>
          <w:tcPr>
            <w:vAlign w:val="center"/>
            <w:shd w:val="clear" w:fill="F9FAFC"/>
          </w:tcPr>
          <w:p>
            <w:pPr>
              <w:pStyle w:val="Compact"/>
              <w:spacing w:before="60" w:after="60"/>
            </w:pPr>
            <w:r>
              <w:rPr>
                <w:rFonts w:ascii="Calibri" w:hAnsi="Calibri"/>
                <w:color w:val="2B3147"/>
                <w:sz w:val="19"/>
              </w:rPr>
              <w:t xml:space="preserve">Reduction against the approved September plan ($205,000)</w:t>
            </w:r>
          </w:p>
        </w:tc>
        <w:tc>
          <w:tcPr>
            <w:vAlign w:val="center"/>
            <w:shd w:val="clear" w:fill="F9FAFC"/>
          </w:tcPr>
          <w:p>
            <w:pPr>
              <w:pStyle w:val="Compact"/>
              <w:spacing w:before="60" w:after="60"/>
              <w:jc w:val="right"/>
            </w:pPr>
            <w:r>
              <w:rPr>
                <w:rFonts w:ascii="Calibri" w:hAnsi="Calibri"/>
                <w:b/>
                <w:bCs/>
                <w:color w:val="2B3147"/>
                <w:sz w:val="19"/>
              </w:rPr>
              <w:t xml:space="preserve">70%</w:t>
            </w:r>
          </w:p>
        </w:tc>
        <w:tc>
          <w:tcPr>
            <w:vAlign w:val="center"/>
            <w:shd w:val="clear" w:fill="F9FAFC"/>
          </w:tcPr>
          <w:p>
            <w:pPr>
              <w:pStyle w:val="Compact"/>
              <w:spacing w:before="60" w:after="60"/>
              <w:jc w:val="right"/>
            </w:pPr>
            <w:r>
              <w:rPr>
                <w:rFonts w:ascii="Calibri" w:hAnsi="Calibri"/>
                <w:b/>
                <w:bCs/>
                <w:color w:val="2B3147"/>
                <w:sz w:val="19"/>
              </w:rPr>
              <w:t xml:space="preserve">84%</w:t>
            </w:r>
          </w:p>
        </w:tc>
      </w:tr>
      <w:tr>
        <w:trPr>
          <w:cantSplit/>
        </w:trPr>
        <w:tc>
          <w:tcPr>
            <w:vAlign w:val="center"/>
          </w:tcPr>
          <w:p>
            <w:pPr>
              <w:pStyle w:val="Compact"/>
              <w:spacing w:before="60" w:after="60"/>
            </w:pPr>
            <w:r>
              <w:rPr>
                <w:rFonts w:ascii="Calibri" w:hAnsi="Calibri"/>
                <w:color w:val="2B3147"/>
                <w:sz w:val="19"/>
              </w:rPr>
              <w:t xml:space="preserve">September spend avoided against the approved plan</w:t>
            </w:r>
          </w:p>
        </w:tc>
        <w:tc>
          <w:tcPr>
            <w:vAlign w:val="center"/>
          </w:tcPr>
          <w:p>
            <w:pPr>
              <w:pStyle w:val="Compact"/>
              <w:spacing w:before="60" w:after="60"/>
              <w:jc w:val="right"/>
            </w:pPr>
            <w:r>
              <w:rPr>
                <w:rFonts w:ascii="Calibri" w:hAnsi="Calibri"/>
                <w:b/>
                <w:bCs/>
                <w:color w:val="2B3147"/>
                <w:sz w:val="19"/>
              </w:rPr>
              <w:t xml:space="preserve">$144,000</w:t>
            </w:r>
          </w:p>
        </w:tc>
        <w:tc>
          <w:tcPr>
            <w:vAlign w:val="center"/>
          </w:tcPr>
          <w:p>
            <w:pPr>
              <w:pStyle w:val="Compact"/>
              <w:spacing w:before="60" w:after="60"/>
              <w:jc w:val="right"/>
            </w:pPr>
            <w:r>
              <w:rPr>
                <w:rFonts w:ascii="Calibri" w:hAnsi="Calibri"/>
                <w:b/>
                <w:bCs/>
                <w:color w:val="2B3147"/>
                <w:sz w:val="19"/>
              </w:rPr>
              <w:t xml:space="preserve">$171,500</w:t>
            </w:r>
          </w:p>
        </w:tc>
      </w:tr>
    </w:tbl>
    <w:p>
      <w:pPr>
        <w:pStyle w:val="BodyText"/>
        <w:spacing w:after="160" w:line="276" w:lineRule="auto"/>
      </w:pPr>
      <w:r>
        <w:rPr>
          <w:rFonts w:ascii="Calibri" w:hAnsi="Calibri"/>
        </w:rPr>
        <w:t xml:space="preserve">For the September decision, the relevant comparison is against the approved $205,000 plan: a 70% reduction under the Controlled Pullback and 84% under the Deep Pullback.</w:t>
      </w:r>
    </w:p>
    <w:p>
      <w:pPr>
        <w:pStyle w:val="BodyText"/>
        <w:spacing w:after="160" w:line="276" w:lineRule="auto"/>
      </w:pPr>
      <w:r>
        <w:rPr>
          <w:rFonts w:ascii="Calibri" w:hAnsi="Calibri"/>
        </w:rPr>
        <w:t xml:space="preserve">Run the chosen option through September. Review performance and market conditions in the first half of October, and decide then whether to ramp.</w:t>
      </w:r>
    </w:p>
    <w:p>
      <w:pPr>
        <w:pStyle w:val="BodyText"/>
        <w:spacing w:after="160" w:line="276" w:lineRule="auto"/>
      </w:pPr>
      <w:r>
        <w:rPr>
          <w:rFonts w:ascii="Calibri" w:hAnsi="Calibri"/>
        </w:rPr>
        <w:t xml:space="preserve">DOOH is already cancelled and is not part of the September comparison. Meta is currently paused, but its approved $30,000 September allocation is included in the avoided-spend comparison because the proposal recommends deferring its planned September reactivation.</w:t>
      </w:r>
    </w:p>
    <w:p>
      <w:pPr>
        <w:spacing w:after="160" w:line="276" w:lineRule="auto"/>
      </w:pPr>
      <w:r>
        <w:rPr>
          <w:rFonts w:ascii="Calibri" w:hAnsi="Calibri"/>
        </w:rPr>
        <w:pict>
          <v:rect style="width:0;height:1.5pt" o:hralign="center" o:hrstd="t" o:hr="t"/>
        </w:pict>
      </w:r>
    </w:p>
    <w:bookmarkEnd w:id="9"/>
    <w:bookmarkStart w:id="10" w:name="X5fd2dcb88d79fb3ca3299c9644d8749f9ed1553"/>
    <w:p>
      <w:pPr>
        <w:pStyle w:val="Heading2"/>
        <w:keepNext/>
        <w:spacing w:before="320" w:after="120"/>
      </w:pPr>
      <w:r>
        <w:rPr>
          <w:rFonts w:ascii="Georgia" w:hAnsi="Georgia"/>
          <w:b/>
          <w:color w:val="1E2761"/>
          <w:sz w:val="26"/>
        </w:rPr>
        <w:t xml:space="preserve">2. What the model shows by channel</w:t>
      </w:r>
    </w:p>
    <w:p>
      <w:pPr>
        <w:pStyle w:val="FirstParagraph"/>
        <w:spacing w:after="160" w:line="276" w:lineRule="auto"/>
      </w:pPr>
      <w:r>
        <w:rPr>
          <w:rFonts w:ascii="Calibri" w:hAnsi="Calibri"/>
        </w:rPr>
        <w:t xml:space="preserve">At current August cost-per-application levels, each channel models as follows. Actual volume will depend on how channel efficiency changes at the new weights.</w:t>
      </w:r>
    </w:p>
    <w:tbl>
      <w:tblPr>
        <w:tblStyle w:val="Table"/>
        <w:tblW w:type="auto" w:w="0"/>
        <w:jc w:val="left"/>
        <w:tblLook w:firstRow="1" w:lastRow="0" w:firstColumn="0" w:lastColumn="0" w:noHBand="0" w:noVBand="0" w:val="0020"/>
        <w:tblBorders>
          <w:top w:val="single" w:sz="4" w:color="D0D4DC"/>
          <w:left w:val="single" w:sz="4" w:color="D0D4DC"/>
          <w:bottom w:val="single" w:sz="4" w:color="D0D4DC"/>
          <w:right w:val="single" w:sz="4" w:color="D0D4DC"/>
          <w:insideH w:val="single" w:sz="4" w:color="D0D4DC"/>
          <w:insideV w:val="single" w:sz="4" w:color="D0D4DC"/>
        </w:tblBorders>
      </w:tblPr>
      <w:tblGrid>
        <w:gridCol w:w="1584"/>
        <w:gridCol w:w="1584"/>
        <w:gridCol w:w="1584"/>
        <w:gridCol w:w="1584"/>
        <w:gridCol w:w="1584"/>
      </w:tblGrid>
      <w:tr>
        <w:trPr>
          <w:tblHeader w:val="on"/>
          <w:cantSplit/>
          <w:tblHeader/>
        </w:trPr>
        <w:tc>
          <w:tcPr>
            <w:vAlign w:val="center"/>
            <w:shd w:val="clear" w:fill="1E2761"/>
          </w:tcPr>
          <w:p>
            <w:pPr>
              <w:pStyle w:val="Compact"/>
              <w:spacing w:before="60" w:after="60"/>
            </w:pPr>
            <w:r>
              <w:rPr>
                <w:rFonts w:ascii="Calibri" w:hAnsi="Calibri"/>
                <w:b/>
                <w:color w:val="FFFFFF"/>
                <w:sz w:val="19"/>
              </w:rPr>
              <w:t xml:space="preserve">Channel</w:t>
            </w:r>
          </w:p>
        </w:tc>
        <w:tc>
          <w:tcPr>
            <w:vAlign w:val="center"/>
            <w:shd w:val="clear" w:fill="1E2761"/>
          </w:tcPr>
          <w:p>
            <w:pPr>
              <w:pStyle w:val="Compact"/>
              <w:spacing w:before="60" w:after="60"/>
              <w:jc w:val="right"/>
            </w:pPr>
            <w:r>
              <w:rPr>
                <w:rFonts w:ascii="Calibri" w:hAnsi="Calibri"/>
                <w:b/>
                <w:color w:val="FFFFFF"/>
                <w:sz w:val="19"/>
              </w:rPr>
              <w:t xml:space="preserve">Controlled spend</w:t>
            </w:r>
          </w:p>
        </w:tc>
        <w:tc>
          <w:tcPr>
            <w:vAlign w:val="center"/>
            <w:shd w:val="clear" w:fill="1E2761"/>
          </w:tcPr>
          <w:p>
            <w:pPr>
              <w:pStyle w:val="Compact"/>
              <w:spacing w:before="60" w:after="60"/>
              <w:jc w:val="right"/>
            </w:pPr>
            <w:r>
              <w:rPr>
                <w:rFonts w:ascii="Calibri" w:hAnsi="Calibri"/>
                <w:b/>
                <w:color w:val="FFFFFF"/>
                <w:sz w:val="19"/>
              </w:rPr>
              <w:t xml:space="preserve">Modeled applications</w:t>
            </w:r>
          </w:p>
        </w:tc>
        <w:tc>
          <w:tcPr>
            <w:vAlign w:val="center"/>
            <w:shd w:val="clear" w:fill="1E2761"/>
          </w:tcPr>
          <w:p>
            <w:pPr>
              <w:pStyle w:val="Compact"/>
              <w:spacing w:before="60" w:after="60"/>
              <w:jc w:val="right"/>
            </w:pPr>
            <w:r>
              <w:rPr>
                <w:rFonts w:ascii="Calibri" w:hAnsi="Calibri"/>
                <w:b/>
                <w:color w:val="FFFFFF"/>
                <w:sz w:val="19"/>
              </w:rPr>
              <w:t xml:space="preserve">Deep spend</w:t>
            </w:r>
          </w:p>
        </w:tc>
        <w:tc>
          <w:tcPr>
            <w:vAlign w:val="center"/>
            <w:shd w:val="clear" w:fill="1E2761"/>
          </w:tcPr>
          <w:p>
            <w:pPr>
              <w:pStyle w:val="Compact"/>
              <w:spacing w:before="60" w:after="60"/>
              <w:jc w:val="right"/>
            </w:pPr>
            <w:r>
              <w:rPr>
                <w:rFonts w:ascii="Calibri" w:hAnsi="Calibri"/>
                <w:b/>
                <w:color w:val="FFFFFF"/>
                <w:sz w:val="19"/>
              </w:rPr>
              <w:t xml:space="preserve">Modeled applications</w:t>
            </w:r>
          </w:p>
        </w:tc>
      </w:tr>
      <w:tr>
        <w:trPr>
          <w:cantSplit/>
        </w:trPr>
        <w:tc>
          <w:tcPr>
            <w:vAlign w:val="center"/>
          </w:tcPr>
          <w:p>
            <w:pPr>
              <w:pStyle w:val="Compact"/>
              <w:spacing w:before="60" w:after="60"/>
            </w:pPr>
            <w:r>
              <w:rPr>
                <w:rFonts w:ascii="Calibri" w:hAnsi="Calibri"/>
                <w:color w:val="2B3147"/>
                <w:sz w:val="19"/>
              </w:rPr>
              <w:t xml:space="preserve">Bing</w:t>
            </w:r>
          </w:p>
        </w:tc>
        <w:tc>
          <w:tcPr>
            <w:vAlign w:val="center"/>
          </w:tcPr>
          <w:p>
            <w:pPr>
              <w:pStyle w:val="Compact"/>
              <w:spacing w:before="60" w:after="60"/>
              <w:jc w:val="right"/>
            </w:pPr>
            <w:r>
              <w:rPr>
                <w:rFonts w:ascii="Calibri" w:hAnsi="Calibri"/>
                <w:color w:val="2B3147"/>
                <w:sz w:val="19"/>
              </w:rPr>
              <w:t xml:space="preserve">$25,000</w:t>
            </w:r>
          </w:p>
        </w:tc>
        <w:tc>
          <w:tcPr>
            <w:vAlign w:val="center"/>
          </w:tcPr>
          <w:p>
            <w:pPr>
              <w:pStyle w:val="Compact"/>
              <w:spacing w:before="60" w:after="60"/>
              <w:jc w:val="right"/>
            </w:pPr>
            <w:r>
              <w:rPr>
                <w:rFonts w:ascii="Calibri" w:hAnsi="Calibri"/>
                <w:color w:val="2B3147"/>
                <w:sz w:val="19"/>
              </w:rPr>
              <w:t xml:space="preserve">~66</w:t>
            </w:r>
          </w:p>
        </w:tc>
        <w:tc>
          <w:tcPr>
            <w:vAlign w:val="center"/>
          </w:tcPr>
          <w:p>
            <w:pPr>
              <w:pStyle w:val="Compact"/>
              <w:spacing w:before="60" w:after="60"/>
              <w:jc w:val="right"/>
            </w:pPr>
            <w:r>
              <w:rPr>
                <w:rFonts w:ascii="Calibri" w:hAnsi="Calibri"/>
                <w:color w:val="2B3147"/>
                <w:sz w:val="19"/>
              </w:rPr>
              <w:t xml:space="preserve">$18,500</w:t>
            </w:r>
          </w:p>
        </w:tc>
        <w:tc>
          <w:tcPr>
            <w:vAlign w:val="center"/>
          </w:tcPr>
          <w:p>
            <w:pPr>
              <w:pStyle w:val="Compact"/>
              <w:spacing w:before="60" w:after="60"/>
              <w:jc w:val="right"/>
            </w:pPr>
            <w:r>
              <w:rPr>
                <w:rFonts w:ascii="Calibri" w:hAnsi="Calibri"/>
                <w:color w:val="2B3147"/>
                <w:sz w:val="19"/>
              </w:rPr>
              <w:t xml:space="preserve">~49</w:t>
            </w:r>
          </w:p>
        </w:tc>
      </w:tr>
      <w:tr>
        <w:trPr>
          <w:cantSplit/>
        </w:trPr>
        <w:tc>
          <w:tcPr>
            <w:vAlign w:val="center"/>
            <w:shd w:val="clear" w:fill="F9FAFC"/>
          </w:tcPr>
          <w:p>
            <w:pPr>
              <w:pStyle w:val="Compact"/>
              <w:spacing w:before="60" w:after="60"/>
            </w:pPr>
            <w:r>
              <w:rPr>
                <w:rFonts w:ascii="Calibri" w:hAnsi="Calibri"/>
                <w:color w:val="2B3147"/>
                <w:sz w:val="19"/>
              </w:rPr>
              <w:t xml:space="preserve">Azerion</w:t>
            </w:r>
          </w:p>
        </w:tc>
        <w:tc>
          <w:tcPr>
            <w:vAlign w:val="center"/>
            <w:shd w:val="clear" w:fill="F9FAFC"/>
          </w:tcPr>
          <w:p>
            <w:pPr>
              <w:pStyle w:val="Compact"/>
              <w:spacing w:before="60" w:after="60"/>
              <w:jc w:val="right"/>
            </w:pPr>
            <w:r>
              <w:rPr>
                <w:rFonts w:ascii="Calibri" w:hAnsi="Calibri"/>
                <w:color w:val="2B3147"/>
                <w:sz w:val="19"/>
              </w:rPr>
              <w:t xml:space="preserve">$25,000</w:t>
            </w:r>
          </w:p>
        </w:tc>
        <w:tc>
          <w:tcPr>
            <w:vAlign w:val="center"/>
            <w:shd w:val="clear" w:fill="F9FAFC"/>
          </w:tcPr>
          <w:p>
            <w:pPr>
              <w:pStyle w:val="Compact"/>
              <w:spacing w:before="60" w:after="60"/>
              <w:jc w:val="right"/>
            </w:pPr>
            <w:r>
              <w:rPr>
                <w:rFonts w:ascii="Calibri" w:hAnsi="Calibri"/>
                <w:color w:val="2B3147"/>
                <w:sz w:val="19"/>
              </w:rPr>
              <w:t xml:space="preserve">~26</w:t>
            </w:r>
          </w:p>
        </w:tc>
        <w:tc>
          <w:tcPr>
            <w:vAlign w:val="center"/>
            <w:shd w:val="clear" w:fill="F9FAFC"/>
          </w:tcPr>
          <w:p>
            <w:pPr>
              <w:pStyle w:val="Compact"/>
              <w:spacing w:before="60" w:after="60"/>
              <w:jc w:val="right"/>
            </w:pPr>
            <w:r>
              <w:rPr>
                <w:rFonts w:ascii="Calibri" w:hAnsi="Calibri"/>
                <w:color w:val="2B3147"/>
                <w:sz w:val="19"/>
              </w:rPr>
              <w:t xml:space="preserve">$15,000</w:t>
            </w:r>
          </w:p>
        </w:tc>
        <w:tc>
          <w:tcPr>
            <w:vAlign w:val="center"/>
            <w:shd w:val="clear" w:fill="F9FAFC"/>
          </w:tcPr>
          <w:p>
            <w:pPr>
              <w:pStyle w:val="Compact"/>
              <w:spacing w:before="60" w:after="60"/>
              <w:jc w:val="right"/>
            </w:pPr>
            <w:r>
              <w:rPr>
                <w:rFonts w:ascii="Calibri" w:hAnsi="Calibri"/>
                <w:color w:val="2B3147"/>
                <w:sz w:val="19"/>
              </w:rPr>
              <w:t xml:space="preserve">~15</w:t>
            </w:r>
          </w:p>
        </w:tc>
      </w:tr>
      <w:tr>
        <w:trPr>
          <w:cantSplit/>
        </w:trPr>
        <w:tc>
          <w:tcPr>
            <w:vAlign w:val="center"/>
          </w:tcPr>
          <w:p>
            <w:pPr>
              <w:pStyle w:val="Compact"/>
              <w:spacing w:before="60" w:after="60"/>
            </w:pPr>
            <w:r>
              <w:rPr>
                <w:rFonts w:ascii="Calibri" w:hAnsi="Calibri"/>
                <w:color w:val="2B3147"/>
                <w:sz w:val="19"/>
              </w:rPr>
              <w:t xml:space="preserve">Quantcast</w:t>
            </w:r>
          </w:p>
        </w:tc>
        <w:tc>
          <w:tcPr>
            <w:vAlign w:val="center"/>
          </w:tcPr>
          <w:p>
            <w:pPr>
              <w:pStyle w:val="Compact"/>
              <w:spacing w:before="60" w:after="60"/>
              <w:jc w:val="right"/>
            </w:pPr>
            <w:r>
              <w:rPr>
                <w:rFonts w:ascii="Calibri" w:hAnsi="Calibri"/>
                <w:color w:val="2B3147"/>
                <w:sz w:val="19"/>
              </w:rPr>
              <w:t xml:space="preserve">$11,000</w:t>
            </w:r>
          </w:p>
        </w:tc>
        <w:tc>
          <w:tcPr>
            <w:vAlign w:val="center"/>
          </w:tcPr>
          <w:p>
            <w:pPr>
              <w:pStyle w:val="Compact"/>
              <w:spacing w:before="60" w:after="60"/>
              <w:jc w:val="right"/>
            </w:pPr>
            <w:r>
              <w:rPr>
                <w:rFonts w:ascii="Calibri" w:hAnsi="Calibri"/>
                <w:color w:val="2B3147"/>
                <w:sz w:val="19"/>
              </w:rPr>
              <w:t xml:space="preserve">Not modeled</w:t>
            </w:r>
          </w:p>
        </w:tc>
        <w:tc>
          <w:tcPr>
            <w:vAlign w:val="center"/>
          </w:tcPr>
          <w:p>
            <w:pPr>
              <w:pStyle w:val="Compact"/>
              <w:spacing w:before="60" w:after="60"/>
              <w:jc w:val="right"/>
            </w:pPr>
            <w:r>
              <w:rPr>
                <w:rFonts w:ascii="Calibri" w:hAnsi="Calibri"/>
                <w:color w:val="2B3147"/>
                <w:sz w:val="19"/>
              </w:rPr>
              <w:t xml:space="preserve">$0</w:t>
            </w:r>
          </w:p>
        </w:tc>
        <w:tc>
          <w:tcPr>
            <w:vAlign w:val="center"/>
          </w:tcPr>
          <w:p>
            <w:pPr>
              <w:pStyle w:val="Compact"/>
              <w:spacing w:before="60" w:after="60"/>
              <w:jc w:val="right"/>
            </w:pPr>
            <w:r>
              <w:rPr>
                <w:rFonts w:ascii="Calibri" w:hAnsi="Calibri"/>
                <w:color w:val="2B3147"/>
                <w:sz w:val="19"/>
              </w:rPr>
              <w:t xml:space="preserve">n/a</w:t>
            </w:r>
          </w:p>
        </w:tc>
      </w:tr>
      <w:tr>
        <w:trPr>
          <w:cantSplit/>
        </w:trPr>
        <w:tc>
          <w:tcPr>
            <w:vAlign w:val="center"/>
            <w:shd w:val="clear" w:fill="F9FAFC"/>
          </w:tcPr>
          <w:p>
            <w:pPr>
              <w:pStyle w:val="Compact"/>
              <w:spacing w:before="60" w:after="60"/>
            </w:pPr>
            <w:r>
              <w:rPr>
                <w:rFonts w:ascii="Calibri" w:hAnsi="Calibri"/>
                <w:color w:val="2B3147"/>
                <w:sz w:val="19"/>
              </w:rPr>
              <w:t xml:space="preserve">Native</w:t>
            </w:r>
          </w:p>
        </w:tc>
        <w:tc>
          <w:tcPr>
            <w:vAlign w:val="center"/>
            <w:shd w:val="clear" w:fill="F9FAFC"/>
          </w:tcPr>
          <w:p>
            <w:pPr>
              <w:pStyle w:val="Compact"/>
              <w:spacing w:before="60" w:after="60"/>
              <w:jc w:val="right"/>
            </w:pPr>
            <w:r>
              <w:rPr>
                <w:rFonts w:ascii="Calibri" w:hAnsi="Calibri"/>
                <w:color w:val="2B3147"/>
                <w:sz w:val="19"/>
              </w:rPr>
              <w:t xml:space="preserve">$0</w:t>
            </w:r>
          </w:p>
        </w:tc>
        <w:tc>
          <w:tcPr>
            <w:vAlign w:val="center"/>
            <w:shd w:val="clear" w:fill="F9FAFC"/>
          </w:tcPr>
          <w:p>
            <w:pPr>
              <w:pStyle w:val="Compact"/>
              <w:spacing w:before="60" w:after="60"/>
              <w:jc w:val="right"/>
            </w:pPr>
            <w:r>
              <w:rPr>
                <w:rFonts w:ascii="Calibri" w:hAnsi="Calibri"/>
                <w:color w:val="2B3147"/>
                <w:sz w:val="19"/>
              </w:rPr>
              <w:t xml:space="preserve">n/a</w:t>
            </w:r>
          </w:p>
        </w:tc>
        <w:tc>
          <w:tcPr>
            <w:vAlign w:val="center"/>
            <w:shd w:val="clear" w:fill="F9FAFC"/>
          </w:tcPr>
          <w:p>
            <w:pPr>
              <w:pStyle w:val="Compact"/>
              <w:spacing w:before="60" w:after="60"/>
              <w:jc w:val="right"/>
            </w:pPr>
            <w:r>
              <w:rPr>
                <w:rFonts w:ascii="Calibri" w:hAnsi="Calibri"/>
                <w:color w:val="2B3147"/>
                <w:sz w:val="19"/>
              </w:rPr>
              <w:t xml:space="preserve">$0</w:t>
            </w:r>
          </w:p>
        </w:tc>
        <w:tc>
          <w:tcPr>
            <w:vAlign w:val="center"/>
            <w:shd w:val="clear" w:fill="F9FAFC"/>
          </w:tcPr>
          <w:p>
            <w:pPr>
              <w:pStyle w:val="Compact"/>
              <w:spacing w:before="60" w:after="60"/>
              <w:jc w:val="right"/>
            </w:pPr>
            <w:r>
              <w:rPr>
                <w:rFonts w:ascii="Calibri" w:hAnsi="Calibri"/>
                <w:color w:val="2B3147"/>
                <w:sz w:val="19"/>
              </w:rPr>
              <w:t xml:space="preserve">n/a</w:t>
            </w:r>
          </w:p>
        </w:tc>
      </w:tr>
    </w:tbl>
    <w:p>
      <w:pPr>
        <w:pStyle w:val="BodyText"/>
        <w:spacing w:after="160" w:line="276" w:lineRule="auto"/>
      </w:pPr>
      <w:r>
        <w:rPr>
          <w:rFonts w:ascii="Calibri" w:hAnsi="Calibri"/>
          <w:b/>
          <w:bCs/>
        </w:rPr>
        <w:t xml:space="preserve">Channel-level modeled applications are shown independently and should not be summed, because attribution methods may overlap.</w:t>
      </w:r>
      <w:r>
        <w:rPr>
          <w:rFonts w:ascii="Calibri" w:hAnsi="Calibri"/>
        </w:rPr>
        <w:t xml:space="preserve"> </w:t>
      </w:r>
      <w:r>
        <w:rPr>
          <w:rFonts w:ascii="Calibri" w:hAnsi="Calibri"/>
        </w:rPr>
        <w:t xml:space="preserve">Bing application counts come from search platform attribution and Azerion's from the vendor's own reporting. A prospect who saw an Azerion display ad and later clicked a Bing search ad may be counted by both, and we have no deduplicated source-level figure that would let us net that out.</w:t>
      </w:r>
    </w:p>
    <w:p>
      <w:pPr>
        <w:pStyle w:val="BodyText"/>
        <w:spacing w:after="160" w:line="276" w:lineRule="auto"/>
      </w:pPr>
      <w:r>
        <w:rPr>
          <w:rFonts w:ascii="Calibri" w:hAnsi="Calibri"/>
        </w:rPr>
        <w:t xml:space="preserve">These are model outputs, not expected results. They hold each channel's current cost per application constant while moving Bing from about $18,500 to $25,000, and Bing's cost per application has already risen from about $237 to $379 as it scaled through August. It may rise again. Azerion at a lower weight may not hold $978 either. Read the figures as sizing.</w:t>
      </w:r>
    </w:p>
    <w:p>
      <w:pPr>
        <w:pStyle w:val="BodyText"/>
        <w:spacing w:after="160" w:line="276" w:lineRule="auto"/>
      </w:pPr>
      <w:r>
        <w:rPr>
          <w:rFonts w:ascii="Calibri" w:hAnsi="Calibri"/>
        </w:rPr>
        <w:t xml:space="preserve">The comparison that matters is between channels rather than in total: at $25,000 each, Bing models to roughly two and a half times the applications Azerion does. That ratio is the case for the weighting proposed here.</w:t>
      </w:r>
    </w:p>
    <w:p>
      <w:pPr>
        <w:spacing w:after="160" w:line="276" w:lineRule="auto"/>
      </w:pPr>
      <w:r>
        <w:rPr>
          <w:rFonts w:ascii="Calibri" w:hAnsi="Calibri"/>
        </w:rPr>
        <w:pict>
          <v:rect style="width:0;height:1.5pt" o:hralign="center" o:hrstd="t" o:hr="t"/>
        </w:pict>
      </w:r>
    </w:p>
    <w:bookmarkEnd w:id="10"/>
    <w:bookmarkStart w:id="12" w:name="X46a077bb87c7fcb21e18353e62d33f103688089"/>
    <w:p>
      <w:pPr>
        <w:pStyle w:val="Heading2"/>
        <w:keepNext/>
        <w:spacing w:before="320" w:after="120"/>
      </w:pPr>
      <w:r>
        <w:rPr>
          <w:rFonts w:ascii="Georgia" w:hAnsi="Georgia"/>
          <w:b/>
          <w:color w:val="1E2761"/>
          <w:sz w:val="26"/>
        </w:rPr>
        <w:t xml:space="preserve">3. The reasoning behind the weights</w:t>
      </w:r>
    </w:p>
    <w:p>
      <w:pPr>
        <w:pStyle w:val="FirstParagraph"/>
        <w:spacing w:after="160" w:line="276" w:lineRule="auto"/>
      </w:pPr>
      <w:r>
        <w:rPr>
          <w:rFonts w:ascii="Calibri" w:hAnsi="Calibri"/>
        </w:rPr>
        <w:t xml:space="preserve">Submitted applications are the most directly attributable acquisition outcome currently available at channel level. Funded accounts remain the ultimate business outcome, and wherever source-level funding data is available it should be used to validate channel quality.</w:t>
      </w:r>
    </w:p>
    <w:tbl>
      <w:tblPr>
        <w:tblStyle w:val="Table"/>
        <w:tblW w:type="auto" w:w="0"/>
        <w:jc w:val="left"/>
        <w:tblLook w:firstRow="1" w:lastRow="0" w:firstColumn="0" w:lastColumn="0" w:noHBand="0" w:noVBand="0" w:val="0020"/>
        <w:tblBorders>
          <w:top w:val="single" w:sz="4" w:color="D0D4DC"/>
          <w:left w:val="single" w:sz="4" w:color="D0D4DC"/>
          <w:bottom w:val="single" w:sz="4" w:color="D0D4DC"/>
          <w:right w:val="single" w:sz="4" w:color="D0D4DC"/>
          <w:insideH w:val="single" w:sz="4" w:color="D0D4DC"/>
          <w:insideV w:val="single" w:sz="4" w:color="D0D4DC"/>
        </w:tblBorders>
      </w:tblPr>
      <w:tblGrid>
        <w:gridCol w:w="2640"/>
        <w:gridCol w:w="2640"/>
        <w:gridCol w:w="2640"/>
      </w:tblGrid>
      <w:tr>
        <w:trPr>
          <w:tblHeader w:val="on"/>
          <w:cantSplit/>
          <w:tblHeader/>
        </w:trPr>
        <w:tc>
          <w:tcPr>
            <w:vAlign w:val="center"/>
            <w:shd w:val="clear" w:fill="1E2761"/>
          </w:tcPr>
          <w:p>
            <w:pPr>
              <w:pStyle w:val="Compact"/>
              <w:spacing w:before="60" w:after="60"/>
            </w:pPr>
            <w:r>
              <w:rPr>
                <w:rFonts w:ascii="Calibri" w:hAnsi="Calibri"/>
                <w:b/>
                <w:color w:val="FFFFFF"/>
                <w:sz w:val="19"/>
              </w:rPr>
              <w:t xml:space="preserve">Line</w:t>
            </w:r>
          </w:p>
        </w:tc>
        <w:tc>
          <w:tcPr>
            <w:vAlign w:val="center"/>
            <w:shd w:val="clear" w:fill="1E2761"/>
          </w:tcPr>
          <w:p>
            <w:pPr>
              <w:pStyle w:val="Compact"/>
              <w:spacing w:before="60" w:after="60"/>
              <w:jc w:val="right"/>
            </w:pPr>
            <w:r>
              <w:rPr>
                <w:rFonts w:ascii="Calibri" w:hAnsi="Calibri"/>
                <w:b/>
                <w:color w:val="FFFFFF"/>
                <w:sz w:val="19"/>
              </w:rPr>
              <w:t xml:space="preserve">August cost per submitted application</w:t>
            </w:r>
          </w:p>
        </w:tc>
        <w:tc>
          <w:tcPr>
            <w:vAlign w:val="center"/>
            <w:shd w:val="clear" w:fill="1E2761"/>
          </w:tcPr>
          <w:p>
            <w:pPr>
              <w:pStyle w:val="Compact"/>
              <w:spacing w:before="60" w:after="60"/>
            </w:pPr>
            <w:r>
              <w:rPr>
                <w:rFonts w:ascii="Calibri" w:hAnsi="Calibri"/>
                <w:b/>
                <w:color w:val="FFFFFF"/>
                <w:sz w:val="19"/>
              </w:rPr>
              <w:t xml:space="preserve">Detail</w:t>
            </w:r>
          </w:p>
        </w:tc>
      </w:tr>
      <w:tr>
        <w:trPr>
          <w:cantSplit/>
        </w:trPr>
        <w:tc>
          <w:tcPr>
            <w:vAlign w:val="center"/>
          </w:tcPr>
          <w:p>
            <w:pPr>
              <w:pStyle w:val="Compact"/>
              <w:spacing w:before="60" w:after="60"/>
            </w:pPr>
            <w:r>
              <w:rPr>
                <w:rFonts w:ascii="Calibri" w:hAnsi="Calibri"/>
                <w:b/>
                <w:bCs/>
                <w:color w:val="2B3147"/>
                <w:sz w:val="19"/>
              </w:rPr>
              <w:t xml:space="preserve">Bing</w:t>
            </w:r>
          </w:p>
        </w:tc>
        <w:tc>
          <w:tcPr>
            <w:vAlign w:val="center"/>
          </w:tcPr>
          <w:p>
            <w:pPr>
              <w:pStyle w:val="Compact"/>
              <w:spacing w:before="60" w:after="60"/>
              <w:jc w:val="right"/>
            </w:pPr>
            <w:r>
              <w:rPr>
                <w:rFonts w:ascii="Calibri" w:hAnsi="Calibri"/>
                <w:b/>
                <w:bCs/>
                <w:color w:val="2B3147"/>
                <w:sz w:val="19"/>
              </w:rPr>
              <w:t xml:space="preserve">$379</w:t>
            </w:r>
          </w:p>
        </w:tc>
        <w:tc>
          <w:tcPr>
            <w:vAlign w:val="center"/>
          </w:tcPr>
          <w:p>
            <w:pPr>
              <w:pStyle w:val="Compact"/>
              <w:spacing w:before="60" w:after="60"/>
            </w:pPr>
            <w:r>
              <w:rPr>
                <w:rFonts w:ascii="Calibri" w:hAnsi="Calibri"/>
                <w:color w:val="2B3147"/>
                <w:sz w:val="19"/>
              </w:rPr>
              <w:t xml:space="preserve">41 applications on $15,543 through August 26</w:t>
            </w:r>
          </w:p>
        </w:tc>
      </w:tr>
      <w:tr>
        <w:trPr>
          <w:cantSplit/>
        </w:trPr>
        <w:tc>
          <w:tcPr>
            <w:vAlign w:val="center"/>
            <w:shd w:val="clear" w:fill="F9FAFC"/>
          </w:tcPr>
          <w:p>
            <w:pPr>
              <w:pStyle w:val="Compact"/>
              <w:spacing w:before="60" w:after="60"/>
            </w:pPr>
            <w:r>
              <w:rPr>
                <w:rFonts w:ascii="Calibri" w:hAnsi="Calibri"/>
                <w:b/>
                <w:bCs/>
                <w:color w:val="2B3147"/>
                <w:sz w:val="19"/>
              </w:rPr>
              <w:t xml:space="preserve">Azerion</w:t>
            </w:r>
          </w:p>
        </w:tc>
        <w:tc>
          <w:tcPr>
            <w:vAlign w:val="center"/>
            <w:shd w:val="clear" w:fill="F9FAFC"/>
          </w:tcPr>
          <w:p>
            <w:pPr>
              <w:pStyle w:val="Compact"/>
              <w:spacing w:before="60" w:after="60"/>
              <w:jc w:val="right"/>
            </w:pPr>
            <w:r>
              <w:rPr>
                <w:rFonts w:ascii="Calibri" w:hAnsi="Calibri"/>
                <w:b/>
                <w:bCs/>
                <w:color w:val="2B3147"/>
                <w:sz w:val="19"/>
              </w:rPr>
              <w:t xml:space="preserve">$978</w:t>
            </w:r>
          </w:p>
        </w:tc>
        <w:tc>
          <w:tcPr>
            <w:vAlign w:val="center"/>
            <w:shd w:val="clear" w:fill="F9FAFC"/>
          </w:tcPr>
          <w:p>
            <w:pPr>
              <w:pStyle w:val="Compact"/>
              <w:spacing w:before="60" w:after="60"/>
            </w:pPr>
            <w:r>
              <w:rPr>
                <w:rFonts w:ascii="Calibri" w:hAnsi="Calibri"/>
                <w:color w:val="2B3147"/>
                <w:sz w:val="19"/>
              </w:rPr>
              <w:t xml:space="preserve">25 applications through August 17; about 44 projected for the month</w:t>
            </w:r>
          </w:p>
        </w:tc>
      </w:tr>
      <w:tr>
        <w:trPr>
          <w:cantSplit/>
        </w:trPr>
        <w:tc>
          <w:tcPr>
            <w:vAlign w:val="center"/>
          </w:tcPr>
          <w:p>
            <w:pPr>
              <w:pStyle w:val="Compact"/>
              <w:spacing w:before="60" w:after="60"/>
            </w:pPr>
            <w:r>
              <w:rPr>
                <w:rFonts w:ascii="Calibri" w:hAnsi="Calibri"/>
                <w:color w:val="2B3147"/>
                <w:sz w:val="19"/>
              </w:rPr>
              <w:t xml:space="preserve">Quantcast</w:t>
            </w:r>
          </w:p>
        </w:tc>
        <w:tc>
          <w:tcPr>
            <w:vAlign w:val="center"/>
          </w:tcPr>
          <w:p>
            <w:pPr>
              <w:pStyle w:val="Compact"/>
              <w:spacing w:before="60" w:after="60"/>
              <w:jc w:val="right"/>
            </w:pPr>
            <w:r>
              <w:rPr>
                <w:rFonts w:ascii="Calibri" w:hAnsi="Calibri"/>
                <w:color w:val="2B3147"/>
                <w:sz w:val="19"/>
              </w:rPr>
              <w:t xml:space="preserve">Not reported</w:t>
            </w:r>
          </w:p>
        </w:tc>
        <w:tc>
          <w:tcPr>
            <w:vAlign w:val="center"/>
          </w:tcPr>
          <w:p>
            <w:pPr>
              <w:pStyle w:val="Compact"/>
              <w:spacing w:before="60" w:after="60"/>
            </w:pPr>
            <w:r>
              <w:rPr>
                <w:rFonts w:ascii="Calibri" w:hAnsi="Calibri"/>
                <w:color w:val="2B3147"/>
                <w:sz w:val="19"/>
              </w:rPr>
              <w:t xml:space="preserve">Reports results, not submitted applications</w:t>
            </w:r>
          </w:p>
        </w:tc>
      </w:tr>
      <w:tr>
        <w:trPr>
          <w:cantSplit/>
        </w:trPr>
        <w:tc>
          <w:tcPr>
            <w:vAlign w:val="center"/>
            <w:shd w:val="clear" w:fill="F9FAFC"/>
          </w:tcPr>
          <w:p>
            <w:pPr>
              <w:pStyle w:val="Compact"/>
              <w:spacing w:before="60" w:after="60"/>
            </w:pPr>
            <w:r>
              <w:rPr>
                <w:rFonts w:ascii="Calibri" w:hAnsi="Calibri"/>
                <w:color w:val="2B3147"/>
                <w:sz w:val="19"/>
              </w:rPr>
              <w:t xml:space="preserve">Native</w:t>
            </w:r>
          </w:p>
        </w:tc>
        <w:tc>
          <w:tcPr>
            <w:vAlign w:val="center"/>
            <w:shd w:val="clear" w:fill="F9FAFC"/>
          </w:tcPr>
          <w:p>
            <w:pPr>
              <w:pStyle w:val="Compact"/>
              <w:spacing w:before="60" w:after="60"/>
              <w:jc w:val="right"/>
            </w:pPr>
            <w:r>
              <w:rPr>
                <w:rFonts w:ascii="Calibri" w:hAnsi="Calibri"/>
                <w:color w:val="2B3147"/>
                <w:sz w:val="19"/>
              </w:rPr>
              <w:t xml:space="preserve">None we can trace to it</w:t>
            </w:r>
          </w:p>
        </w:tc>
        <w:tc>
          <w:tcPr>
            <w:vAlign w:val="center"/>
            <w:shd w:val="clear" w:fill="F9FAFC"/>
          </w:tcPr>
          <w:p>
            <w:pPr>
              <w:pStyle w:val="Compact"/>
              <w:spacing w:before="60" w:after="60"/>
            </w:pPr>
            <w:r>
              <w:rPr>
                <w:rFonts w:ascii="Calibri" w:hAnsi="Calibri"/>
                <w:color w:val="2B3147"/>
                <w:sz w:val="19"/>
              </w:rPr>
              <w:t xml:space="preserve">Delivers site visits only</w:t>
            </w:r>
          </w:p>
        </w:tc>
      </w:tr>
    </w:tbl>
    <w:p>
      <w:pPr>
        <w:pStyle w:val="BodyText"/>
        <w:spacing w:after="160" w:line="276" w:lineRule="auto"/>
      </w:pPr>
      <w:r>
        <w:rPr>
          <w:rFonts w:ascii="Calibri" w:hAnsi="Calibri"/>
        </w:rPr>
        <w:t xml:space="preserve">We read each channel on the signal its own platform reports. The two application costs are not combined, and no cross-channel acquisition cost is shown, because the methods are not directly comparable.</w:t>
      </w:r>
    </w:p>
    <w:bookmarkStart w:id="11" w:name="X075b62901591dbf137e0533ffba58d81cd45ece"/>
    <w:p>
      <w:pPr>
        <w:pStyle w:val="Heading3"/>
        <w:keepNext/>
        <w:spacing w:before="240" w:after="120"/>
      </w:pPr>
      <w:r>
        <w:rPr>
          <w:rFonts w:ascii="Georgia" w:hAnsi="Georgia"/>
          <w:b/>
          <w:color w:val="1E2761"/>
          <w:sz w:val="23"/>
        </w:rPr>
        <w:t xml:space="preserve">Azerion efficiency has declined as spend scaled</w:t>
      </w:r>
    </w:p>
    <w:tbl>
      <w:tblPr>
        <w:tblStyle w:val="Table"/>
        <w:tblW w:type="auto" w:w="0"/>
        <w:jc w:val="left"/>
        <w:tblLook w:firstRow="1" w:lastRow="0" w:firstColumn="0" w:lastColumn="0" w:noHBand="0" w:noVBand="0" w:val="0020"/>
        <w:tblBorders>
          <w:top w:val="single" w:sz="4" w:color="D0D4DC"/>
          <w:left w:val="single" w:sz="4" w:color="D0D4DC"/>
          <w:bottom w:val="single" w:sz="4" w:color="D0D4DC"/>
          <w:right w:val="single" w:sz="4" w:color="D0D4DC"/>
          <w:insideH w:val="single" w:sz="4" w:color="D0D4DC"/>
          <w:insideV w:val="single" w:sz="4" w:color="D0D4DC"/>
        </w:tblBorders>
      </w:tblPr>
      <w:tblGrid>
        <w:gridCol w:w="1980"/>
        <w:gridCol w:w="1980"/>
        <w:gridCol w:w="1980"/>
        <w:gridCol w:w="1980"/>
      </w:tblGrid>
      <w:tr>
        <w:trPr>
          <w:tblHeader w:val="on"/>
          <w:cantSplit/>
          <w:tblHeader/>
        </w:trPr>
        <w:tc>
          <w:tcPr>
            <w:vAlign w:val="center"/>
            <w:shd w:val="clear" w:fill="1E2761"/>
          </w:tcPr>
          <w:p>
            <w:pPr>
              <w:pStyle w:val="Compact"/>
              <w:spacing w:before="60" w:after="60"/>
            </w:pPr>
            <w:r>
              <w:rPr>
                <w:rFonts w:ascii="Calibri" w:hAnsi="Calibri"/>
                <w:b/>
                <w:color w:val="FFFFFF"/>
                <w:sz w:val="19"/>
              </w:rPr>
              <w:t xml:space="preserve">Month</w:t>
            </w:r>
          </w:p>
        </w:tc>
        <w:tc>
          <w:tcPr>
            <w:vAlign w:val="center"/>
            <w:shd w:val="clear" w:fill="1E2761"/>
          </w:tcPr>
          <w:p>
            <w:pPr>
              <w:pStyle w:val="Compact"/>
              <w:spacing w:before="60" w:after="60"/>
              <w:jc w:val="right"/>
            </w:pPr>
            <w:r>
              <w:rPr>
                <w:rFonts w:ascii="Calibri" w:hAnsi="Calibri"/>
                <w:b/>
                <w:color w:val="FFFFFF"/>
                <w:sz w:val="19"/>
              </w:rPr>
              <w:t xml:space="preserve">Spend</w:t>
            </w:r>
          </w:p>
        </w:tc>
        <w:tc>
          <w:tcPr>
            <w:vAlign w:val="center"/>
            <w:shd w:val="clear" w:fill="1E2761"/>
          </w:tcPr>
          <w:p>
            <w:pPr>
              <w:pStyle w:val="Compact"/>
              <w:spacing w:before="60" w:after="60"/>
              <w:jc w:val="right"/>
            </w:pPr>
            <w:r>
              <w:rPr>
                <w:rFonts w:ascii="Calibri" w:hAnsi="Calibri"/>
                <w:b/>
                <w:color w:val="FFFFFF"/>
                <w:sz w:val="19"/>
              </w:rPr>
              <w:t xml:space="preserve">Applications</w:t>
            </w:r>
          </w:p>
        </w:tc>
        <w:tc>
          <w:tcPr>
            <w:vAlign w:val="center"/>
            <w:shd w:val="clear" w:fill="1E2761"/>
          </w:tcPr>
          <w:p>
            <w:pPr>
              <w:pStyle w:val="Compact"/>
              <w:spacing w:before="60" w:after="60"/>
              <w:jc w:val="right"/>
            </w:pPr>
            <w:r>
              <w:rPr>
                <w:rFonts w:ascii="Calibri" w:hAnsi="Calibri"/>
                <w:b/>
                <w:color w:val="FFFFFF"/>
                <w:sz w:val="19"/>
              </w:rPr>
              <w:t xml:space="preserve">Cost per application</w:t>
            </w:r>
          </w:p>
        </w:tc>
      </w:tr>
      <w:tr>
        <w:trPr>
          <w:cantSplit/>
        </w:trPr>
        <w:tc>
          <w:tcPr>
            <w:vAlign w:val="center"/>
          </w:tcPr>
          <w:p>
            <w:pPr>
              <w:pStyle w:val="Compact"/>
              <w:spacing w:before="60" w:after="60"/>
            </w:pPr>
            <w:r>
              <w:rPr>
                <w:rFonts w:ascii="Calibri" w:hAnsi="Calibri"/>
                <w:color w:val="2B3147"/>
                <w:sz w:val="19"/>
              </w:rPr>
              <w:t xml:space="preserve">April</w:t>
            </w:r>
          </w:p>
        </w:tc>
        <w:tc>
          <w:tcPr>
            <w:vAlign w:val="center"/>
          </w:tcPr>
          <w:p>
            <w:pPr>
              <w:pStyle w:val="Compact"/>
              <w:spacing w:before="60" w:after="60"/>
              <w:jc w:val="right"/>
            </w:pPr>
            <w:r>
              <w:rPr>
                <w:rFonts w:ascii="Calibri" w:hAnsi="Calibri"/>
                <w:color w:val="2B3147"/>
                <w:sz w:val="19"/>
              </w:rPr>
              <w:t xml:space="preserve">$11,236</w:t>
            </w:r>
          </w:p>
        </w:tc>
        <w:tc>
          <w:tcPr>
            <w:vAlign w:val="center"/>
          </w:tcPr>
          <w:p>
            <w:pPr>
              <w:pStyle w:val="Compact"/>
              <w:spacing w:before="60" w:after="60"/>
              <w:jc w:val="right"/>
            </w:pPr>
            <w:r>
              <w:rPr>
                <w:rFonts w:ascii="Calibri" w:hAnsi="Calibri"/>
                <w:color w:val="2B3147"/>
                <w:sz w:val="19"/>
              </w:rPr>
              <w:t xml:space="preserve">19</w:t>
            </w:r>
          </w:p>
        </w:tc>
        <w:tc>
          <w:tcPr>
            <w:vAlign w:val="center"/>
          </w:tcPr>
          <w:p>
            <w:pPr>
              <w:pStyle w:val="Compact"/>
              <w:spacing w:before="60" w:after="60"/>
              <w:jc w:val="right"/>
            </w:pPr>
            <w:r>
              <w:rPr>
                <w:rFonts w:ascii="Calibri" w:hAnsi="Calibri"/>
                <w:color w:val="2B3147"/>
                <w:sz w:val="19"/>
              </w:rPr>
              <w:t xml:space="preserve">$591</w:t>
            </w:r>
          </w:p>
        </w:tc>
      </w:tr>
      <w:tr>
        <w:trPr>
          <w:cantSplit/>
        </w:trPr>
        <w:tc>
          <w:tcPr>
            <w:vAlign w:val="center"/>
            <w:shd w:val="clear" w:fill="F9FAFC"/>
          </w:tcPr>
          <w:p>
            <w:pPr>
              <w:pStyle w:val="Compact"/>
              <w:spacing w:before="60" w:after="60"/>
            </w:pPr>
            <w:r>
              <w:rPr>
                <w:rFonts w:ascii="Calibri" w:hAnsi="Calibri"/>
                <w:color w:val="2B3147"/>
                <w:sz w:val="19"/>
              </w:rPr>
              <w:t xml:space="preserve">May</w:t>
            </w:r>
          </w:p>
        </w:tc>
        <w:tc>
          <w:tcPr>
            <w:vAlign w:val="center"/>
            <w:shd w:val="clear" w:fill="F9FAFC"/>
          </w:tcPr>
          <w:p>
            <w:pPr>
              <w:pStyle w:val="Compact"/>
              <w:spacing w:before="60" w:after="60"/>
              <w:jc w:val="right"/>
            </w:pPr>
            <w:r>
              <w:rPr>
                <w:rFonts w:ascii="Calibri" w:hAnsi="Calibri"/>
                <w:color w:val="2B3147"/>
                <w:sz w:val="19"/>
              </w:rPr>
              <w:t xml:space="preserve">$22,158</w:t>
            </w:r>
          </w:p>
        </w:tc>
        <w:tc>
          <w:tcPr>
            <w:vAlign w:val="center"/>
            <w:shd w:val="clear" w:fill="F9FAFC"/>
          </w:tcPr>
          <w:p>
            <w:pPr>
              <w:pStyle w:val="Compact"/>
              <w:spacing w:before="60" w:after="60"/>
              <w:jc w:val="right"/>
            </w:pPr>
            <w:r>
              <w:rPr>
                <w:rFonts w:ascii="Calibri" w:hAnsi="Calibri"/>
                <w:color w:val="2B3147"/>
                <w:sz w:val="19"/>
              </w:rPr>
              <w:t xml:space="preserve">31</w:t>
            </w:r>
          </w:p>
        </w:tc>
        <w:tc>
          <w:tcPr>
            <w:vAlign w:val="center"/>
            <w:shd w:val="clear" w:fill="F9FAFC"/>
          </w:tcPr>
          <w:p>
            <w:pPr>
              <w:pStyle w:val="Compact"/>
              <w:spacing w:before="60" w:after="60"/>
              <w:jc w:val="right"/>
            </w:pPr>
            <w:r>
              <w:rPr>
                <w:rFonts w:ascii="Calibri" w:hAnsi="Calibri"/>
                <w:color w:val="2B3147"/>
                <w:sz w:val="19"/>
              </w:rPr>
              <w:t xml:space="preserve">$715</w:t>
            </w:r>
          </w:p>
        </w:tc>
      </w:tr>
      <w:tr>
        <w:trPr>
          <w:cantSplit/>
        </w:trPr>
        <w:tc>
          <w:tcPr>
            <w:vAlign w:val="center"/>
          </w:tcPr>
          <w:p>
            <w:pPr>
              <w:pStyle w:val="Compact"/>
              <w:spacing w:before="60" w:after="60"/>
            </w:pPr>
            <w:r>
              <w:rPr>
                <w:rFonts w:ascii="Calibri" w:hAnsi="Calibri"/>
                <w:color w:val="2B3147"/>
                <w:sz w:val="19"/>
              </w:rPr>
              <w:t xml:space="preserve">June</w:t>
            </w:r>
          </w:p>
        </w:tc>
        <w:tc>
          <w:tcPr>
            <w:vAlign w:val="center"/>
          </w:tcPr>
          <w:p>
            <w:pPr>
              <w:pStyle w:val="Compact"/>
              <w:spacing w:before="60" w:after="60"/>
              <w:jc w:val="right"/>
            </w:pPr>
            <w:r>
              <w:rPr>
                <w:rFonts w:ascii="Calibri" w:hAnsi="Calibri"/>
                <w:color w:val="2B3147"/>
                <w:sz w:val="19"/>
              </w:rPr>
              <w:t xml:space="preserve">$28,002</w:t>
            </w:r>
          </w:p>
        </w:tc>
        <w:tc>
          <w:tcPr>
            <w:vAlign w:val="center"/>
          </w:tcPr>
          <w:p>
            <w:pPr>
              <w:pStyle w:val="Compact"/>
              <w:spacing w:before="60" w:after="60"/>
              <w:jc w:val="right"/>
            </w:pPr>
            <w:r>
              <w:rPr>
                <w:rFonts w:ascii="Calibri" w:hAnsi="Calibri"/>
                <w:color w:val="2B3147"/>
                <w:sz w:val="19"/>
              </w:rPr>
              <w:t xml:space="preserve">32</w:t>
            </w:r>
          </w:p>
        </w:tc>
        <w:tc>
          <w:tcPr>
            <w:vAlign w:val="center"/>
          </w:tcPr>
          <w:p>
            <w:pPr>
              <w:pStyle w:val="Compact"/>
              <w:spacing w:before="60" w:after="60"/>
              <w:jc w:val="right"/>
            </w:pPr>
            <w:r>
              <w:rPr>
                <w:rFonts w:ascii="Calibri" w:hAnsi="Calibri"/>
                <w:color w:val="2B3147"/>
                <w:sz w:val="19"/>
              </w:rPr>
              <w:t xml:space="preserve">$875</w:t>
            </w:r>
          </w:p>
        </w:tc>
      </w:tr>
      <w:tr>
        <w:trPr>
          <w:cantSplit/>
        </w:trPr>
        <w:tc>
          <w:tcPr>
            <w:vAlign w:val="center"/>
            <w:shd w:val="clear" w:fill="F9FAFC"/>
          </w:tcPr>
          <w:p>
            <w:pPr>
              <w:pStyle w:val="Compact"/>
              <w:spacing w:before="60" w:after="60"/>
            </w:pPr>
            <w:r>
              <w:rPr>
                <w:rFonts w:ascii="Calibri" w:hAnsi="Calibri"/>
                <w:color w:val="2B3147"/>
                <w:sz w:val="19"/>
              </w:rPr>
              <w:t xml:space="preserve">July</w:t>
            </w:r>
          </w:p>
        </w:tc>
        <w:tc>
          <w:tcPr>
            <w:vAlign w:val="center"/>
            <w:shd w:val="clear" w:fill="F9FAFC"/>
          </w:tcPr>
          <w:p>
            <w:pPr>
              <w:pStyle w:val="Compact"/>
              <w:spacing w:before="60" w:after="60"/>
              <w:jc w:val="right"/>
            </w:pPr>
            <w:r>
              <w:rPr>
                <w:rFonts w:ascii="Calibri" w:hAnsi="Calibri"/>
                <w:color w:val="2B3147"/>
                <w:sz w:val="19"/>
              </w:rPr>
              <w:t xml:space="preserve">$37,509</w:t>
            </w:r>
          </w:p>
        </w:tc>
        <w:tc>
          <w:tcPr>
            <w:vAlign w:val="center"/>
            <w:shd w:val="clear" w:fill="F9FAFC"/>
          </w:tcPr>
          <w:p>
            <w:pPr>
              <w:pStyle w:val="Compact"/>
              <w:spacing w:before="60" w:after="60"/>
              <w:jc w:val="right"/>
            </w:pPr>
            <w:r>
              <w:rPr>
                <w:rFonts w:ascii="Calibri" w:hAnsi="Calibri"/>
                <w:color w:val="2B3147"/>
                <w:sz w:val="19"/>
              </w:rPr>
              <w:t xml:space="preserve">41</w:t>
            </w:r>
          </w:p>
        </w:tc>
        <w:tc>
          <w:tcPr>
            <w:vAlign w:val="center"/>
            <w:shd w:val="clear" w:fill="F9FAFC"/>
          </w:tcPr>
          <w:p>
            <w:pPr>
              <w:pStyle w:val="Compact"/>
              <w:spacing w:before="60" w:after="60"/>
              <w:jc w:val="right"/>
            </w:pPr>
            <w:r>
              <w:rPr>
                <w:rFonts w:ascii="Calibri" w:hAnsi="Calibri"/>
                <w:color w:val="2B3147"/>
                <w:sz w:val="19"/>
              </w:rPr>
              <w:t xml:space="preserve">$915</w:t>
            </w:r>
          </w:p>
        </w:tc>
      </w:tr>
      <w:tr>
        <w:trPr>
          <w:cantSplit/>
        </w:trPr>
        <w:tc>
          <w:tcPr>
            <w:vAlign w:val="center"/>
          </w:tcPr>
          <w:p>
            <w:pPr>
              <w:pStyle w:val="Compact"/>
              <w:spacing w:before="60" w:after="60"/>
            </w:pPr>
            <w:r>
              <w:rPr>
                <w:rFonts w:ascii="Calibri" w:hAnsi="Calibri"/>
                <w:color w:val="2B3147"/>
                <w:sz w:val="19"/>
              </w:rPr>
              <w:t xml:space="preserve">August</w:t>
            </w:r>
          </w:p>
        </w:tc>
        <w:tc>
          <w:tcPr>
            <w:vAlign w:val="center"/>
          </w:tcPr>
          <w:p>
            <w:pPr>
              <w:pStyle w:val="Compact"/>
              <w:spacing w:before="60" w:after="60"/>
              <w:jc w:val="right"/>
            </w:pPr>
            <w:r>
              <w:rPr>
                <w:rFonts w:ascii="Calibri" w:hAnsi="Calibri"/>
                <w:color w:val="2B3147"/>
                <w:sz w:val="19"/>
              </w:rPr>
              <w:t xml:space="preserve">$42,956</w:t>
            </w:r>
          </w:p>
        </w:tc>
        <w:tc>
          <w:tcPr>
            <w:vAlign w:val="center"/>
          </w:tcPr>
          <w:p>
            <w:pPr>
              <w:pStyle w:val="Compact"/>
              <w:spacing w:before="60" w:after="60"/>
              <w:jc w:val="right"/>
            </w:pPr>
            <w:r>
              <w:rPr>
                <w:rFonts w:ascii="Calibri" w:hAnsi="Calibri"/>
                <w:color w:val="2B3147"/>
                <w:sz w:val="19"/>
              </w:rPr>
              <w:t xml:space="preserve">~44</w:t>
            </w:r>
          </w:p>
        </w:tc>
        <w:tc>
          <w:tcPr>
            <w:vAlign w:val="center"/>
          </w:tcPr>
          <w:p>
            <w:pPr>
              <w:pStyle w:val="Compact"/>
              <w:spacing w:before="60" w:after="60"/>
              <w:jc w:val="right"/>
            </w:pPr>
            <w:r>
              <w:rPr>
                <w:rFonts w:ascii="Calibri" w:hAnsi="Calibri"/>
                <w:b/>
                <w:bCs/>
                <w:color w:val="2B3147"/>
                <w:sz w:val="19"/>
              </w:rPr>
              <w:t xml:space="preserve">$978</w:t>
            </w:r>
          </w:p>
        </w:tc>
      </w:tr>
    </w:tbl>
    <w:p>
      <w:pPr>
        <w:pStyle w:val="BodyText"/>
        <w:spacing w:after="160" w:line="276" w:lineRule="auto"/>
      </w:pPr>
      <w:r>
        <w:rPr>
          <w:rFonts w:ascii="Calibri" w:hAnsi="Calibri"/>
        </w:rPr>
        <w:t xml:space="preserve">Spend nearly quadrupled and the cost of each application rose at every step. The pattern is consistent with diminishing marginal efficiency as spend scales: additional budget continues to produce applications, but at progressively higher acquisition costs. August is a month-end projection with its application count derived from the $978 recorded across August 1 to 17.</w:t>
      </w:r>
    </w:p>
    <w:p>
      <w:pPr>
        <w:pStyle w:val="BodyText"/>
        <w:spacing w:after="160" w:line="276" w:lineRule="auto"/>
      </w:pPr>
      <w:r>
        <w:rPr>
          <w:rFonts w:ascii="Calibri" w:hAnsi="Calibri"/>
        </w:rPr>
        <w:t xml:space="preserve">Bing remains materially more efficient. Its cost per application increased from approximately $237 during the first ten days after the July 22 relaunch to $379 as volume scaled through August, but it remains less than half Azerion's current cost per application.</w:t>
      </w:r>
    </w:p>
    <w:p>
      <w:pPr>
        <w:pStyle w:val="BodyText"/>
        <w:spacing w:after="160" w:line="276" w:lineRule="auto"/>
      </w:pPr>
      <w:r>
        <w:rPr>
          <w:rFonts w:ascii="Calibri" w:hAnsi="Calibri"/>
        </w:rPr>
        <w:t xml:space="preserve">The proposed Native, Azerion and Quantcast changes can be executed with 24 hours' notice, with no obligation to make up cancelled delivery.</w:t>
      </w:r>
    </w:p>
    <w:p>
      <w:pPr>
        <w:spacing w:after="160" w:line="276" w:lineRule="auto"/>
      </w:pPr>
      <w:r>
        <w:rPr>
          <w:rFonts w:ascii="Calibri" w:hAnsi="Calibri"/>
        </w:rPr>
        <w:pict>
          <v:rect style="width:0;height:1.5pt" o:hralign="center" o:hrstd="t" o:hr="t"/>
        </w:pict>
      </w:r>
    </w:p>
    <w:bookmarkEnd w:id="11"/>
    <w:bookmarkEnd w:id="12"/>
    <w:bookmarkStart w:id="14" w:name="Xa2891c38b181db2b597fdd2a9dc778ac6a55c4b"/>
    <w:p>
      <w:pPr>
        <w:pStyle w:val="Heading2"/>
        <w:keepNext/>
        <w:spacing w:before="320" w:after="120"/>
      </w:pPr>
      <w:r>
        <w:rPr>
          <w:rFonts w:ascii="Georgia" w:hAnsi="Georgia"/>
          <w:b/>
          <w:color w:val="1E2761"/>
          <w:sz w:val="26"/>
        </w:rPr>
        <w:t xml:space="preserve">4. Controlled Pullback, $61,000</w:t>
      </w:r>
    </w:p>
    <w:p>
      <w:pPr>
        <w:pStyle w:val="FirstParagraph"/>
        <w:spacing w:after="160" w:line="276" w:lineRule="auto"/>
      </w:pPr>
      <w:r>
        <w:rPr>
          <w:rFonts w:ascii="Calibri" w:hAnsi="Calibri"/>
        </w:rPr>
        <w:t xml:space="preserve">Sets Bing at $25,000, below its approved $30,000 and above the $18,500 it is currently running, so the channel with the strongest application economics takes a larger relative share.</w:t>
      </w:r>
    </w:p>
    <w:p>
      <w:pPr>
        <w:pStyle w:val="BodyText"/>
        <w:spacing w:after="160" w:line="276" w:lineRule="auto"/>
      </w:pPr>
      <w:r>
        <w:rPr>
          <w:rFonts w:ascii="Calibri" w:hAnsi="Calibri"/>
        </w:rPr>
        <w:t xml:space="preserve">Cuts Azerion from about $43,000 to $25,000, a 42% reduction, while keeping the line running, because it does produce applications at a cost we can measure.</w:t>
      </w:r>
    </w:p>
    <w:p>
      <w:pPr>
        <w:pStyle w:val="BodyText"/>
        <w:spacing w:after="160" w:line="276" w:lineRule="auto"/>
      </w:pPr>
      <w:r>
        <w:rPr>
          <w:rFonts w:ascii="Calibri" w:hAnsi="Calibri"/>
        </w:rPr>
        <w:t xml:space="preserve">Retains $11,000 in Quantcast as a limited test allocation. Whether it continues beyond the October review should depend on whether it can show measurable contribution beyond view-through reporting. It also shuts off an out-of-date Quantcast campaign that is spending about $9,451 a month and produced nothing in August.</w:t>
      </w:r>
    </w:p>
    <w:p>
      <w:pPr>
        <w:pStyle w:val="BodyText"/>
        <w:spacing w:after="160" w:line="276" w:lineRule="auto"/>
      </w:pPr>
      <w:r>
        <w:rPr>
          <w:rFonts w:ascii="Calibri" w:hAnsi="Calibri"/>
        </w:rPr>
        <w:t xml:space="preserve">Removes Native, which produces no applications we can trace back to it.</w:t>
      </w:r>
    </w:p>
    <w:p>
      <w:pPr>
        <w:pStyle w:val="BodyText"/>
        <w:spacing w:after="160" w:line="276" w:lineRule="auto"/>
      </w:pPr>
      <w:r>
        <w:rPr>
          <w:rFonts w:ascii="Calibri" w:hAnsi="Calibri"/>
        </w:rPr>
        <w:t xml:space="preserve">Defers the Meta, TikTok and Strategic Partnerships launches rather than cancelling them, so those channels can be reconsidered as part of the October review if the evidence supports activation.</w:t>
      </w:r>
    </w:p>
    <w:bookmarkStart w:id="13" w:name="why-this-is-the-recommendation"/>
    <w:p>
      <w:pPr>
        <w:pStyle w:val="Heading3"/>
        <w:keepNext/>
        <w:spacing w:before="240" w:after="120"/>
      </w:pPr>
      <w:r>
        <w:rPr>
          <w:rFonts w:ascii="Georgia" w:hAnsi="Georgia"/>
          <w:b/>
          <w:color w:val="1E2761"/>
          <w:sz w:val="23"/>
        </w:rPr>
        <w:t xml:space="preserve">Why this is the recommendation</w:t>
      </w:r>
    </w:p>
    <w:p>
      <w:pPr>
        <w:pStyle w:val="Compact"/>
        <w:numPr>
          <w:ilvl w:val="0"/>
          <w:numId w:val="1001"/>
        </w:numPr>
        <w:spacing w:after="160" w:line="276" w:lineRule="auto"/>
      </w:pPr>
      <w:r>
        <w:rPr>
          <w:rFonts w:ascii="Calibri" w:hAnsi="Calibri"/>
        </w:rPr>
        <w:t xml:space="preserve">Azerion shows declining efficiency as spend scales.</w:t>
      </w:r>
    </w:p>
    <w:p>
      <w:pPr>
        <w:pStyle w:val="Compact"/>
        <w:numPr>
          <w:ilvl w:val="0"/>
          <w:numId w:val="1001"/>
        </w:numPr>
        <w:spacing w:after="160" w:line="276" w:lineRule="auto"/>
      </w:pPr>
      <w:r>
        <w:rPr>
          <w:rFonts w:ascii="Calibri" w:hAnsi="Calibri"/>
        </w:rPr>
        <w:t xml:space="preserve">Bing currently has substantially better application economics and deserves greater relative allocation.</w:t>
      </w:r>
    </w:p>
    <w:p>
      <w:pPr>
        <w:pStyle w:val="Compact"/>
        <w:numPr>
          <w:ilvl w:val="0"/>
          <w:numId w:val="1001"/>
        </w:numPr>
        <w:spacing w:after="160" w:line="276" w:lineRule="auto"/>
      </w:pPr>
      <w:r>
        <w:rPr>
          <w:rFonts w:ascii="Calibri" w:hAnsi="Calibri"/>
        </w:rPr>
        <w:t xml:space="preserve">Native shows no attributable application outcome that would justify continued spend during a pullback.</w:t>
      </w:r>
    </w:p>
    <w:p>
      <w:pPr>
        <w:pStyle w:val="Compact"/>
        <w:numPr>
          <w:ilvl w:val="0"/>
          <w:numId w:val="1001"/>
        </w:numPr>
        <w:spacing w:after="160" w:line="276" w:lineRule="auto"/>
      </w:pPr>
      <w:r>
        <w:rPr>
          <w:rFonts w:ascii="Calibri" w:hAnsi="Calibri"/>
        </w:rPr>
        <w:t xml:space="preserve">$11,000 keeps Quantcast as a measured test rather than a major budget line.</w:t>
      </w:r>
    </w:p>
    <w:p>
      <w:pPr>
        <w:pStyle w:val="Compact"/>
        <w:numPr>
          <w:ilvl w:val="0"/>
          <w:numId w:val="1001"/>
        </w:numPr>
        <w:spacing w:after="160" w:line="276" w:lineRule="auto"/>
      </w:pPr>
      <w:r>
        <w:rPr>
          <w:rFonts w:ascii="Calibri" w:hAnsi="Calibri"/>
        </w:rPr>
        <w:t xml:space="preserve">The Native, Azerion and Quantcast changes can be executed with 24 hours' notice.</w:t>
      </w:r>
    </w:p>
    <w:p>
      <w:pPr>
        <w:pStyle w:val="Compact"/>
        <w:numPr>
          <w:ilvl w:val="0"/>
          <w:numId w:val="1001"/>
        </w:numPr>
        <w:spacing w:after="160" w:line="276" w:lineRule="auto"/>
      </w:pPr>
      <w:r>
        <w:rPr>
          <w:rFonts w:ascii="Calibri" w:hAnsi="Calibri"/>
        </w:rPr>
        <w:t xml:space="preserve">September provides another month of actual market and conversion evidence before a Q4 decision.</w:t>
      </w:r>
    </w:p>
    <w:p>
      <w:pPr>
        <w:pStyle w:val="Compact"/>
        <w:numPr>
          <w:ilvl w:val="0"/>
          <w:numId w:val="1001"/>
        </w:numPr>
        <w:spacing w:after="160" w:line="276" w:lineRule="auto"/>
      </w:pPr>
      <w:r>
        <w:rPr>
          <w:rFonts w:ascii="Calibri" w:hAnsi="Calibri"/>
        </w:rPr>
        <w:t xml:space="preserve">The stablecoin launch remains an input, not the justification for the entire media strategy.</w:t>
      </w:r>
    </w:p>
    <w:p>
      <w:pPr>
        <w:spacing w:after="160" w:line="276" w:lineRule="auto"/>
      </w:pPr>
      <w:r>
        <w:rPr>
          <w:rFonts w:ascii="Calibri" w:hAnsi="Calibri"/>
        </w:rPr>
        <w:pict>
          <v:rect style="width:0;height:1.5pt" o:hralign="center" o:hrstd="t" o:hr="t"/>
        </w:pict>
      </w:r>
    </w:p>
    <w:bookmarkEnd w:id="13"/>
    <w:bookmarkEnd w:id="14"/>
    <w:bookmarkStart w:id="15" w:name="X0cf22ea3e0dd644c1d06373804c8d7b849137f0"/>
    <w:p>
      <w:pPr>
        <w:pStyle w:val="Heading2"/>
        <w:keepNext/>
        <w:spacing w:before="320" w:after="120"/>
      </w:pPr>
      <w:r>
        <w:rPr>
          <w:rFonts w:ascii="Georgia" w:hAnsi="Georgia"/>
          <w:b/>
          <w:color w:val="1E2761"/>
          <w:sz w:val="26"/>
        </w:rPr>
        <w:t xml:space="preserve">5. Deep Pullback, $33,500</w:t>
      </w:r>
    </w:p>
    <w:p>
      <w:pPr>
        <w:pStyle w:val="FirstParagraph"/>
        <w:spacing w:after="160" w:line="276" w:lineRule="auto"/>
      </w:pPr>
      <w:r>
        <w:rPr>
          <w:rFonts w:ascii="Calibri" w:hAnsi="Calibri"/>
        </w:rPr>
        <w:t xml:space="preserve">Holds Bing at its current pace, cuts Azerion to $15,000, and removes Quantcast and Native entirely. Only the two channels that produce submitted applications continue.</w:t>
      </w:r>
    </w:p>
    <w:p>
      <w:pPr>
        <w:pStyle w:val="BodyText"/>
        <w:spacing w:after="160" w:line="276" w:lineRule="auto"/>
      </w:pPr>
      <w:r>
        <w:rPr>
          <w:rFonts w:ascii="Calibri" w:hAnsi="Calibri"/>
        </w:rPr>
        <w:t xml:space="preserve">It preserves the most cash and increases no channel. The cost is volume. Bing models to roughly 49 applications against 66 under the Controlled Pullback, and Azerion to roughly 15 against 26. It also leaves no display activity running, so restoring display later carries a larger operational and optimization ramp.</w:t>
      </w:r>
    </w:p>
    <w:p>
      <w:pPr>
        <w:pStyle w:val="BodyText"/>
        <w:spacing w:after="160" w:line="276" w:lineRule="auto"/>
      </w:pPr>
      <w:r>
        <w:rPr>
          <w:rFonts w:ascii="Calibri" w:hAnsi="Calibri"/>
          <w:b/>
          <w:bCs/>
        </w:rPr>
        <w:t xml:space="preserve">Where the two differ.</w:t>
      </w:r>
      <w:r>
        <w:rPr>
          <w:rFonts w:ascii="Calibri" w:hAnsi="Calibri"/>
        </w:rPr>
        <w:t xml:space="preserve"> </w:t>
      </w:r>
      <w:r>
        <w:rPr>
          <w:rFonts w:ascii="Calibri" w:hAnsi="Calibri"/>
        </w:rPr>
        <w:t xml:space="preserve">Both keep the channels that produce applications and remove the one that does not. They differ on weight, and on whether $11,000 of measured Quantcast activity is worth retaining. Quantcast is the weakest line on the measure available to us: it reports results rather than submitted applications, and most of those results are credited to people who saw an ad rather than clicked one. Maintaining limited activity reduces the operational and optimization ramp required if display investment is restored.</w:t>
      </w:r>
    </w:p>
    <w:p>
      <w:pPr>
        <w:spacing w:after="160" w:line="276" w:lineRule="auto"/>
      </w:pPr>
      <w:r>
        <w:rPr>
          <w:rFonts w:ascii="Calibri" w:hAnsi="Calibri"/>
        </w:rPr>
        <w:pict>
          <v:rect style="width:0;height:1.5pt" o:hralign="center" o:hrstd="t" o:hr="t"/>
        </w:pict>
      </w:r>
    </w:p>
    <w:bookmarkEnd w:id="15"/>
    <w:bookmarkStart w:id="17" w:name="X998963b76697379c17b227ff30aa4cfb8d2d7be"/>
    <w:p>
      <w:pPr>
        <w:pStyle w:val="Heading2"/>
        <w:keepNext/>
        <w:spacing w:before="320" w:after="120"/>
      </w:pPr>
      <w:r>
        <w:rPr>
          <w:rFonts w:ascii="Georgia" w:hAnsi="Georgia"/>
          <w:b/>
          <w:color w:val="1E2761"/>
          <w:sz w:val="26"/>
        </w:rPr>
        <w:t xml:space="preserve">6. Timing and the October review</w:t>
      </w:r>
    </w:p>
    <w:p>
      <w:pPr>
        <w:pStyle w:val="FirstParagraph"/>
        <w:spacing w:after="160" w:line="276" w:lineRule="auto"/>
      </w:pPr>
      <w:r>
        <w:rPr>
          <w:rFonts w:ascii="Calibri" w:hAnsi="Calibri"/>
        </w:rPr>
        <w:t xml:space="preserve">Run the reduced plan through September. Review performance and market conditions in the first half of October. If the evidence supports a ramp, begin rebuilding display in mid-October and increase search closer to the late-October and November demand window.</w:t>
      </w:r>
    </w:p>
    <w:p>
      <w:pPr>
        <w:pStyle w:val="BodyText"/>
        <w:spacing w:after="160" w:line="276" w:lineRule="auto"/>
      </w:pPr>
      <w:r>
        <w:rPr>
          <w:rFonts w:ascii="Calibri" w:hAnsi="Calibri"/>
        </w:rPr>
        <w:t xml:space="preserve">We are not proposing that October stays suppressed. September is there to produce information.</w:t>
      </w:r>
    </w:p>
    <w:p>
      <w:pPr>
        <w:pStyle w:val="BodyText"/>
        <w:spacing w:after="160" w:line="276" w:lineRule="auto"/>
      </w:pPr>
      <w:r>
        <w:rPr>
          <w:rFonts w:ascii="Calibri" w:hAnsi="Calibri"/>
        </w:rPr>
        <w:t xml:space="preserve">The reason the review sits in early October rather than later is operational. Search can be increased close to an event, because someone typing a search is already looking. Display cannot: it carries booking, creative and optimization lead time before it delivers efficiently. A decision taken in November arrives too late to act on November.</w:t>
      </w:r>
    </w:p>
    <w:bookmarkStart w:id="16" w:name="the-calendar-behind-the-timing"/>
    <w:p>
      <w:pPr>
        <w:pStyle w:val="Heading3"/>
        <w:keepNext/>
        <w:spacing w:before="240" w:after="120"/>
      </w:pPr>
      <w:r>
        <w:rPr>
          <w:rFonts w:ascii="Georgia" w:hAnsi="Georgia"/>
          <w:b/>
          <w:color w:val="1E2761"/>
          <w:sz w:val="23"/>
        </w:rPr>
        <w:t xml:space="preserve">The calendar behind the timing</w:t>
      </w:r>
    </w:p>
    <w:tbl>
      <w:tblPr>
        <w:tblStyle w:val="Table"/>
        <w:tblW w:type="auto" w:w="0"/>
        <w:jc w:val="left"/>
        <w:tblLook w:firstRow="1" w:lastRow="0" w:firstColumn="0" w:lastColumn="0" w:noHBand="0" w:noVBand="0" w:val="0020"/>
        <w:tblBorders>
          <w:top w:val="single" w:sz="4" w:color="D0D4DC"/>
          <w:left w:val="single" w:sz="4" w:color="D0D4DC"/>
          <w:bottom w:val="single" w:sz="4" w:color="D0D4DC"/>
          <w:right w:val="single" w:sz="4" w:color="D0D4DC"/>
          <w:insideH w:val="single" w:sz="4" w:color="D0D4DC"/>
          <w:insideV w:val="single" w:sz="4" w:color="D0D4DC"/>
        </w:tblBorders>
      </w:tblPr>
      <w:tblGrid>
        <w:gridCol w:w="3960"/>
        <w:gridCol w:w="3960"/>
      </w:tblGrid>
      <w:tr>
        <w:trPr>
          <w:tblHeader w:val="on"/>
          <w:cantSplit/>
          <w:tblHeader/>
        </w:trPr>
        <w:tc>
          <w:tcPr>
            <w:vAlign w:val="center"/>
            <w:shd w:val="clear" w:fill="1E2761"/>
          </w:tcPr>
          <w:p>
            <w:pPr>
              <w:pStyle w:val="Compact"/>
              <w:spacing w:before="60" w:after="60"/>
            </w:pPr>
            <w:r>
              <w:rPr>
                <w:rFonts w:ascii="Calibri" w:hAnsi="Calibri"/>
                <w:b/>
                <w:color w:val="FFFFFF"/>
                <w:sz w:val="19"/>
              </w:rPr>
              <w:t xml:space="preserve">Date</w:t>
            </w:r>
          </w:p>
        </w:tc>
        <w:tc>
          <w:tcPr>
            <w:vAlign w:val="center"/>
            <w:shd w:val="clear" w:fill="1E2761"/>
          </w:tcPr>
          <w:p>
            <w:pPr>
              <w:pStyle w:val="Compact"/>
              <w:spacing w:before="60" w:after="60"/>
            </w:pPr>
            <w:r>
              <w:rPr>
                <w:rFonts w:ascii="Calibri" w:hAnsi="Calibri"/>
                <w:b/>
                <w:color w:val="FFFFFF"/>
                <w:sz w:val="19"/>
              </w:rPr>
              <w:t xml:space="preserve">Event</w:t>
            </w:r>
          </w:p>
        </w:tc>
      </w:tr>
      <w:tr>
        <w:trPr>
          <w:cantSplit/>
        </w:trPr>
        <w:tc>
          <w:tcPr>
            <w:vAlign w:val="center"/>
          </w:tcPr>
          <w:p>
            <w:pPr>
              <w:pStyle w:val="Compact"/>
              <w:spacing w:before="60" w:after="60"/>
            </w:pPr>
            <w:r>
              <w:rPr>
                <w:rFonts w:ascii="Calibri" w:hAnsi="Calibri"/>
                <w:color w:val="2B3147"/>
                <w:sz w:val="19"/>
              </w:rPr>
              <w:t xml:space="preserve">September 15 to 16</w:t>
            </w:r>
          </w:p>
        </w:tc>
        <w:tc>
          <w:tcPr>
            <w:vAlign w:val="center"/>
          </w:tcPr>
          <w:p>
            <w:pPr>
              <w:pStyle w:val="Compact"/>
              <w:spacing w:before="60" w:after="60"/>
            </w:pPr>
            <w:r>
              <w:rPr>
                <w:rFonts w:ascii="Calibri" w:hAnsi="Calibri"/>
                <w:color w:val="2B3147"/>
                <w:sz w:val="19"/>
              </w:rPr>
              <w:t xml:space="preserve">US Federal Reserve (FOMC), with updated economic projections</w:t>
            </w:r>
          </w:p>
        </w:tc>
      </w:tr>
      <w:tr>
        <w:trPr>
          <w:cantSplit/>
        </w:trPr>
        <w:tc>
          <w:tcPr>
            <w:vAlign w:val="center"/>
            <w:shd w:val="clear" w:fill="F9FAFC"/>
          </w:tcPr>
          <w:p>
            <w:pPr>
              <w:pStyle w:val="Compact"/>
              <w:spacing w:before="60" w:after="60"/>
            </w:pPr>
            <w:r>
              <w:rPr>
                <w:rFonts w:ascii="Calibri" w:hAnsi="Calibri"/>
                <w:color w:val="2B3147"/>
                <w:sz w:val="19"/>
              </w:rPr>
              <w:t xml:space="preserve">September 24</w:t>
            </w:r>
          </w:p>
        </w:tc>
        <w:tc>
          <w:tcPr>
            <w:vAlign w:val="center"/>
            <w:shd w:val="clear" w:fill="F9FAFC"/>
          </w:tcPr>
          <w:p>
            <w:pPr>
              <w:pStyle w:val="Compact"/>
              <w:spacing w:before="60" w:after="60"/>
            </w:pPr>
            <w:r>
              <w:rPr>
                <w:rFonts w:ascii="Calibri" w:hAnsi="Calibri"/>
                <w:color w:val="2B3147"/>
                <w:sz w:val="19"/>
              </w:rPr>
              <w:t xml:space="preserve">Banco de Mexico rate decision</w:t>
            </w:r>
          </w:p>
        </w:tc>
      </w:tr>
      <w:tr>
        <w:trPr>
          <w:cantSplit/>
        </w:trPr>
        <w:tc>
          <w:tcPr>
            <w:vAlign w:val="center"/>
          </w:tcPr>
          <w:p>
            <w:pPr>
              <w:pStyle w:val="Compact"/>
              <w:spacing w:before="60" w:after="60"/>
            </w:pPr>
            <w:r>
              <w:rPr>
                <w:rFonts w:ascii="Calibri" w:hAnsi="Calibri"/>
                <w:color w:val="2B3147"/>
                <w:sz w:val="19"/>
              </w:rPr>
              <w:t xml:space="preserve">October 27 to 28</w:t>
            </w:r>
          </w:p>
        </w:tc>
        <w:tc>
          <w:tcPr>
            <w:vAlign w:val="center"/>
          </w:tcPr>
          <w:p>
            <w:pPr>
              <w:pStyle w:val="Compact"/>
              <w:spacing w:before="60" w:after="60"/>
            </w:pPr>
            <w:r>
              <w:rPr>
                <w:rFonts w:ascii="Calibri" w:hAnsi="Calibri"/>
                <w:color w:val="2B3147"/>
                <w:sz w:val="19"/>
              </w:rPr>
              <w:t xml:space="preserve">US Federal Reserve (FOMC)</w:t>
            </w:r>
          </w:p>
        </w:tc>
      </w:tr>
      <w:tr>
        <w:trPr>
          <w:cantSplit/>
        </w:trPr>
        <w:tc>
          <w:tcPr>
            <w:vAlign w:val="center"/>
            <w:shd w:val="clear" w:fill="CADCFC"/>
          </w:tcPr>
          <w:p>
            <w:pPr>
              <w:pStyle w:val="Compact"/>
              <w:spacing w:before="60" w:after="60"/>
            </w:pPr>
            <w:r>
              <w:rPr>
                <w:rFonts w:ascii="Calibri" w:hAnsi="Calibri"/>
                <w:b/>
                <w:bCs/>
                <w:color w:val="2B3147"/>
                <w:sz w:val="19"/>
              </w:rPr>
              <w:t xml:space="preserve">November 3</w:t>
            </w:r>
          </w:p>
        </w:tc>
        <w:tc>
          <w:tcPr>
            <w:vAlign w:val="center"/>
            <w:shd w:val="clear" w:fill="CADCFC"/>
          </w:tcPr>
          <w:p>
            <w:pPr>
              <w:pStyle w:val="Compact"/>
              <w:spacing w:before="60" w:after="60"/>
            </w:pPr>
            <w:r>
              <w:rPr>
                <w:rFonts w:ascii="Calibri" w:hAnsi="Calibri"/>
                <w:b/>
                <w:bCs/>
                <w:color w:val="2B3147"/>
                <w:sz w:val="19"/>
              </w:rPr>
              <w:t xml:space="preserve">US midterm elections</w:t>
            </w:r>
          </w:p>
        </w:tc>
      </w:tr>
      <w:tr>
        <w:trPr>
          <w:cantSplit/>
        </w:trPr>
        <w:tc>
          <w:tcPr>
            <w:vAlign w:val="center"/>
            <w:shd w:val="clear" w:fill="CADCFC"/>
          </w:tcPr>
          <w:p>
            <w:pPr>
              <w:pStyle w:val="Compact"/>
              <w:spacing w:before="60" w:after="60"/>
            </w:pPr>
            <w:r>
              <w:rPr>
                <w:rFonts w:ascii="Calibri" w:hAnsi="Calibri"/>
                <w:b/>
                <w:bCs/>
                <w:color w:val="2B3147"/>
                <w:sz w:val="19"/>
              </w:rPr>
              <w:t xml:space="preserve">November 5</w:t>
            </w:r>
          </w:p>
        </w:tc>
        <w:tc>
          <w:tcPr>
            <w:vAlign w:val="center"/>
            <w:shd w:val="clear" w:fill="CADCFC"/>
          </w:tcPr>
          <w:p>
            <w:pPr>
              <w:pStyle w:val="Compact"/>
              <w:spacing w:before="60" w:after="60"/>
            </w:pPr>
            <w:r>
              <w:rPr>
                <w:rFonts w:ascii="Calibri" w:hAnsi="Calibri"/>
                <w:b/>
                <w:bCs/>
                <w:color w:val="2B3147"/>
                <w:sz w:val="19"/>
              </w:rPr>
              <w:t xml:space="preserve">Banco de Mexico rate decision</w:t>
            </w:r>
          </w:p>
        </w:tc>
      </w:tr>
      <w:tr>
        <w:trPr>
          <w:cantSplit/>
        </w:trPr>
        <w:tc>
          <w:tcPr>
            <w:vAlign w:val="center"/>
            <w:shd w:val="clear" w:fill="F9FAFC"/>
          </w:tcPr>
          <w:p>
            <w:pPr>
              <w:pStyle w:val="Compact"/>
              <w:spacing w:before="60" w:after="60"/>
            </w:pPr>
            <w:r>
              <w:rPr>
                <w:rFonts w:ascii="Calibri" w:hAnsi="Calibri"/>
                <w:color w:val="2B3147"/>
                <w:sz w:val="19"/>
              </w:rPr>
              <w:t xml:space="preserve">December 8 to 9</w:t>
            </w:r>
          </w:p>
        </w:tc>
        <w:tc>
          <w:tcPr>
            <w:vAlign w:val="center"/>
            <w:shd w:val="clear" w:fill="F9FAFC"/>
          </w:tcPr>
          <w:p>
            <w:pPr>
              <w:pStyle w:val="Compact"/>
              <w:spacing w:before="60" w:after="60"/>
            </w:pPr>
            <w:r>
              <w:rPr>
                <w:rFonts w:ascii="Calibri" w:hAnsi="Calibri"/>
                <w:color w:val="2B3147"/>
                <w:sz w:val="19"/>
              </w:rPr>
              <w:t xml:space="preserve">US Federal Reserve (FOMC), with updated economic projections</w:t>
            </w:r>
          </w:p>
        </w:tc>
      </w:tr>
    </w:tbl>
    <w:p>
      <w:pPr>
        <w:pStyle w:val="BodyText"/>
        <w:spacing w:after="160" w:line="276" w:lineRule="auto"/>
      </w:pPr>
      <w:r>
        <w:rPr>
          <w:rFonts w:ascii="Calibri" w:hAnsi="Calibri"/>
        </w:rPr>
        <w:t xml:space="preserve">There is no Federal Reserve meeting in November. The midterms are one of the major scheduled market catalysts during the period, and their effect is not confined to Mexico: a result reprices expectations for US policy, trade and rates, which moves the currencies, metals and indices these campaigns advertise. Banco de Mexico meets two days later.</w:t>
      </w:r>
    </w:p>
    <w:p>
      <w:pPr>
        <w:pStyle w:val="BodyText"/>
        <w:spacing w:after="160" w:line="276" w:lineRule="auto"/>
      </w:pPr>
      <w:r>
        <w:rPr>
          <w:rFonts w:ascii="Calibri" w:hAnsi="Calibri"/>
        </w:rPr>
        <w:t xml:space="preserve">VIX futures settled on August 26 with the curve rising through the end of the year.</w:t>
      </w:r>
    </w:p>
    <w:tbl>
      <w:tblPr>
        <w:tblStyle w:val="Table"/>
        <w:tblW w:type="auto" w:w="0"/>
        <w:jc w:val="left"/>
        <w:tblLook w:firstRow="1" w:lastRow="0" w:firstColumn="0" w:lastColumn="0" w:noHBand="0" w:noVBand="0" w:val="0020"/>
        <w:tblBorders>
          <w:top w:val="single" w:sz="4" w:color="D0D4DC"/>
          <w:left w:val="single" w:sz="4" w:color="D0D4DC"/>
          <w:bottom w:val="single" w:sz="4" w:color="D0D4DC"/>
          <w:right w:val="single" w:sz="4" w:color="D0D4DC"/>
          <w:insideH w:val="single" w:sz="4" w:color="D0D4DC"/>
          <w:insideV w:val="single" w:sz="4" w:color="D0D4DC"/>
        </w:tblBorders>
      </w:tblPr>
      <w:tblGrid>
        <w:gridCol w:w="3960"/>
        <w:gridCol w:w="3960"/>
      </w:tblGrid>
      <w:tr>
        <w:trPr>
          <w:tblHeader w:val="on"/>
          <w:cantSplit/>
          <w:tblHeader/>
        </w:trPr>
        <w:tc>
          <w:tcPr>
            <w:vAlign w:val="center"/>
            <w:shd w:val="clear" w:fill="1E2761"/>
          </w:tcPr>
          <w:p>
            <w:pPr>
              <w:pStyle w:val="Compact"/>
              <w:spacing w:before="60" w:after="60"/>
            </w:pPr>
            <w:r>
              <w:rPr>
                <w:rFonts w:ascii="Calibri" w:hAnsi="Calibri"/>
                <w:b/>
                <w:color w:val="FFFFFF"/>
                <w:sz w:val="19"/>
              </w:rPr>
              <w:t xml:space="preserve">Contract</w:t>
            </w:r>
          </w:p>
        </w:tc>
        <w:tc>
          <w:tcPr>
            <w:vAlign w:val="center"/>
            <w:shd w:val="clear" w:fill="1E2761"/>
          </w:tcPr>
          <w:p>
            <w:pPr>
              <w:pStyle w:val="Compact"/>
              <w:spacing w:before="60" w:after="60"/>
              <w:jc w:val="right"/>
            </w:pPr>
            <w:r>
              <w:rPr>
                <w:rFonts w:ascii="Calibri" w:hAnsi="Calibri"/>
                <w:b/>
                <w:color w:val="FFFFFF"/>
                <w:sz w:val="19"/>
              </w:rPr>
              <w:t xml:space="preserve">Settlement, August 26, 2026</w:t>
            </w:r>
          </w:p>
        </w:tc>
      </w:tr>
      <w:tr>
        <w:trPr>
          <w:cantSplit/>
        </w:trPr>
        <w:tc>
          <w:tcPr>
            <w:vAlign w:val="center"/>
          </w:tcPr>
          <w:p>
            <w:pPr>
              <w:pStyle w:val="Compact"/>
              <w:spacing w:before="60" w:after="60"/>
            </w:pPr>
            <w:r>
              <w:rPr>
                <w:rFonts w:ascii="Calibri" w:hAnsi="Calibri"/>
                <w:color w:val="2B3147"/>
                <w:sz w:val="19"/>
              </w:rPr>
              <w:t xml:space="preserve">August, expiring</w:t>
            </w:r>
          </w:p>
        </w:tc>
        <w:tc>
          <w:tcPr>
            <w:vAlign w:val="center"/>
          </w:tcPr>
          <w:p>
            <w:pPr>
              <w:pStyle w:val="Compact"/>
              <w:spacing w:before="60" w:after="60"/>
              <w:jc w:val="right"/>
            </w:pPr>
            <w:r>
              <w:rPr>
                <w:rFonts w:ascii="Calibri" w:hAnsi="Calibri"/>
                <w:color w:val="2B3147"/>
                <w:sz w:val="19"/>
              </w:rPr>
              <w:t xml:space="preserve">15.61</w:t>
            </w:r>
          </w:p>
        </w:tc>
      </w:tr>
      <w:tr>
        <w:trPr>
          <w:cantSplit/>
        </w:trPr>
        <w:tc>
          <w:tcPr>
            <w:vAlign w:val="center"/>
            <w:shd w:val="clear" w:fill="F9FAFC"/>
          </w:tcPr>
          <w:p>
            <w:pPr>
              <w:pStyle w:val="Compact"/>
              <w:spacing w:before="60" w:after="60"/>
            </w:pPr>
            <w:r>
              <w:rPr>
                <w:rFonts w:ascii="Calibri" w:hAnsi="Calibri"/>
                <w:color w:val="2B3147"/>
                <w:sz w:val="19"/>
              </w:rPr>
              <w:t xml:space="preserve">September</w:t>
            </w:r>
          </w:p>
        </w:tc>
        <w:tc>
          <w:tcPr>
            <w:vAlign w:val="center"/>
            <w:shd w:val="clear" w:fill="F9FAFC"/>
          </w:tcPr>
          <w:p>
            <w:pPr>
              <w:pStyle w:val="Compact"/>
              <w:spacing w:before="60" w:after="60"/>
              <w:jc w:val="right"/>
            </w:pPr>
            <w:r>
              <w:rPr>
                <w:rFonts w:ascii="Calibri" w:hAnsi="Calibri"/>
                <w:color w:val="2B3147"/>
                <w:sz w:val="19"/>
              </w:rPr>
              <w:t xml:space="preserve">17.15</w:t>
            </w:r>
          </w:p>
        </w:tc>
      </w:tr>
      <w:tr>
        <w:trPr>
          <w:cantSplit/>
        </w:trPr>
        <w:tc>
          <w:tcPr>
            <w:vAlign w:val="center"/>
          </w:tcPr>
          <w:p>
            <w:pPr>
              <w:pStyle w:val="Compact"/>
              <w:spacing w:before="60" w:after="60"/>
            </w:pPr>
            <w:r>
              <w:rPr>
                <w:rFonts w:ascii="Calibri" w:hAnsi="Calibri"/>
                <w:color w:val="2B3147"/>
                <w:sz w:val="19"/>
              </w:rPr>
              <w:t xml:space="preserve">October</w:t>
            </w:r>
          </w:p>
        </w:tc>
        <w:tc>
          <w:tcPr>
            <w:vAlign w:val="center"/>
          </w:tcPr>
          <w:p>
            <w:pPr>
              <w:pStyle w:val="Compact"/>
              <w:spacing w:before="60" w:after="60"/>
              <w:jc w:val="right"/>
            </w:pPr>
            <w:r>
              <w:rPr>
                <w:rFonts w:ascii="Calibri" w:hAnsi="Calibri"/>
                <w:color w:val="2B3147"/>
                <w:sz w:val="19"/>
              </w:rPr>
              <w:t xml:space="preserve">18.85</w:t>
            </w:r>
          </w:p>
        </w:tc>
      </w:tr>
      <w:tr>
        <w:trPr>
          <w:cantSplit/>
        </w:trPr>
        <w:tc>
          <w:tcPr>
            <w:vAlign w:val="center"/>
            <w:shd w:val="clear" w:fill="F9FAFC"/>
          </w:tcPr>
          <w:p>
            <w:pPr>
              <w:pStyle w:val="Compact"/>
              <w:spacing w:before="60" w:after="60"/>
            </w:pPr>
            <w:r>
              <w:rPr>
                <w:rFonts w:ascii="Calibri" w:hAnsi="Calibri"/>
                <w:color w:val="2B3147"/>
                <w:sz w:val="19"/>
              </w:rPr>
              <w:t xml:space="preserve">November</w:t>
            </w:r>
          </w:p>
        </w:tc>
        <w:tc>
          <w:tcPr>
            <w:vAlign w:val="center"/>
            <w:shd w:val="clear" w:fill="F9FAFC"/>
          </w:tcPr>
          <w:p>
            <w:pPr>
              <w:pStyle w:val="Compact"/>
              <w:spacing w:before="60" w:after="60"/>
              <w:jc w:val="right"/>
            </w:pPr>
            <w:r>
              <w:rPr>
                <w:rFonts w:ascii="Calibri" w:hAnsi="Calibri"/>
                <w:color w:val="2B3147"/>
                <w:sz w:val="19"/>
              </w:rPr>
              <w:t xml:space="preserve">19.60</w:t>
            </w:r>
          </w:p>
        </w:tc>
      </w:tr>
      <w:tr>
        <w:trPr>
          <w:cantSplit/>
        </w:trPr>
        <w:tc>
          <w:tcPr>
            <w:vAlign w:val="center"/>
          </w:tcPr>
          <w:p>
            <w:pPr>
              <w:pStyle w:val="Compact"/>
              <w:spacing w:before="60" w:after="60"/>
            </w:pPr>
            <w:r>
              <w:rPr>
                <w:rFonts w:ascii="Calibri" w:hAnsi="Calibri"/>
                <w:color w:val="2B3147"/>
                <w:sz w:val="19"/>
              </w:rPr>
              <w:t xml:space="preserve">December</w:t>
            </w:r>
          </w:p>
        </w:tc>
        <w:tc>
          <w:tcPr>
            <w:vAlign w:val="center"/>
          </w:tcPr>
          <w:p>
            <w:pPr>
              <w:pStyle w:val="Compact"/>
              <w:spacing w:before="60" w:after="60"/>
              <w:jc w:val="right"/>
            </w:pPr>
            <w:r>
              <w:rPr>
                <w:rFonts w:ascii="Calibri" w:hAnsi="Calibri"/>
                <w:color w:val="2B3147"/>
                <w:sz w:val="19"/>
              </w:rPr>
              <w:t xml:space="preserve">19.75</w:t>
            </w:r>
          </w:p>
        </w:tc>
      </w:tr>
    </w:tbl>
    <w:p>
      <w:pPr>
        <w:pStyle w:val="BodyText"/>
        <w:spacing w:after="160" w:line="276" w:lineRule="auto"/>
      </w:pPr>
      <w:r>
        <w:rPr>
          <w:rFonts w:ascii="Calibri" w:hAnsi="Calibri"/>
        </w:rPr>
        <w:t xml:space="preserve">The forward volatility curve is materially above late-August conditions, and several major scheduled catalysts fall between mid-September and early November. That supports reassessing the reduction rather than assuming August conditions persist through Q4. These are prices rather than forecasts and they move daily.</w:t>
      </w:r>
    </w:p>
    <w:p>
      <w:pPr>
        <w:spacing w:after="160" w:line="276" w:lineRule="auto"/>
      </w:pPr>
      <w:r>
        <w:rPr>
          <w:rFonts w:ascii="Calibri" w:hAnsi="Calibri"/>
        </w:rPr>
        <w:pict>
          <v:rect style="width:0;height:1.5pt" o:hralign="center" o:hrstd="t" o:hr="t"/>
        </w:pict>
      </w:r>
    </w:p>
    <w:bookmarkEnd w:id="16"/>
    <w:bookmarkEnd w:id="17"/>
    <w:bookmarkStart w:id="18" w:name="X76a949efeb740fbf2182cbb47c44d4d1ef69ec9"/>
    <w:p>
      <w:pPr>
        <w:pStyle w:val="Heading2"/>
        <w:keepNext/>
        <w:spacing w:before="320" w:after="120"/>
      </w:pPr>
      <w:r>
        <w:rPr>
          <w:rFonts w:ascii="Georgia" w:hAnsi="Georgia"/>
          <w:b/>
          <w:color w:val="1E2761"/>
          <w:sz w:val="26"/>
        </w:rPr>
        <w:t xml:space="preserve">7. Considerations</w:t>
      </w:r>
    </w:p>
    <w:p>
      <w:pPr>
        <w:pStyle w:val="FirstParagraph"/>
        <w:spacing w:after="160" w:line="276" w:lineRule="auto"/>
      </w:pPr>
      <w:r>
        <w:rPr>
          <w:rFonts w:ascii="Calibri" w:hAnsi="Calibri"/>
          <w:b/>
          <w:bCs/>
        </w:rPr>
        <w:t xml:space="preserve">What this proposal does not yet establish.</w:t>
      </w:r>
      <w:r>
        <w:rPr>
          <w:rFonts w:ascii="Calibri" w:hAnsi="Calibri"/>
        </w:rPr>
        <w:t xml:space="preserve"> </w:t>
      </w:r>
      <w:r>
        <w:rPr>
          <w:rFonts w:ascii="Calibri" w:hAnsi="Calibri"/>
        </w:rPr>
        <w:t xml:space="preserve">We know Bing applications cost less than Azerion applications. We have not established that Bing applications fund at a better rate. Cost per application is the best channel-level signal available today; funded-account quality by source is the check that would confirm or overturn the weighting proposed here, and we recommend prioritising that data.</w:t>
      </w:r>
    </w:p>
    <w:p>
      <w:pPr>
        <w:pStyle w:val="BodyText"/>
        <w:spacing w:after="160" w:line="276" w:lineRule="auto"/>
      </w:pPr>
      <w:r>
        <w:rPr>
          <w:rFonts w:ascii="Calibri" w:hAnsi="Calibri"/>
          <w:b/>
          <w:bCs/>
        </w:rPr>
        <w:t xml:space="preserve">Weak funding does not by itself identify media as the problem.</w:t>
      </w:r>
      <w:r>
        <w:rPr>
          <w:rFonts w:ascii="Calibri" w:hAnsi="Calibri"/>
        </w:rPr>
        <w:t xml:space="preserve"> </w:t>
      </w:r>
      <w:r>
        <w:rPr>
          <w:rFonts w:ascii="Calibri" w:hAnsi="Calibri"/>
        </w:rPr>
        <w:t xml:space="preserve">The channels are producing applications. If those applications are not funding, the cause may sit after the advertising rather than in it: a quiet market, less appetite to trade, difficulty completing sign-up, delays between approval and funding, the deposit methods on offer, the minimum required to fund, or how the product compares with competitors. This proposal is sized on what each channel costs to produce an application, not on a conclusion about which stage of the journey is failing.</w:t>
      </w:r>
    </w:p>
    <w:p>
      <w:pPr>
        <w:pStyle w:val="BodyText"/>
        <w:spacing w:after="160" w:line="276" w:lineRule="auto"/>
      </w:pPr>
      <w:r>
        <w:rPr>
          <w:rFonts w:ascii="Calibri" w:hAnsi="Calibri"/>
          <w:b/>
          <w:bCs/>
        </w:rPr>
        <w:t xml:space="preserve">On the stablecoin launch.</w:t>
      </w:r>
      <w:r>
        <w:rPr>
          <w:rFonts w:ascii="Calibri" w:hAnsi="Calibri"/>
        </w:rPr>
        <w:t xml:space="preserve"> </w:t>
      </w:r>
      <w:r>
        <w:rPr>
          <w:rFonts w:ascii="Calibri" w:hAnsi="Calibri"/>
        </w:rPr>
        <w:t xml:space="preserve">The stablecoin launch may improve accessibility and broaden acquisition opportunities, but we do not yet have evidence that it will materially change funded-account conversion. We therefore recommend treating it as one potential catalyst rather than the sole condition for restoring media investment.</w:t>
      </w:r>
    </w:p>
    <w:p>
      <w:pPr>
        <w:pStyle w:val="BodyText"/>
        <w:spacing w:after="160" w:line="276" w:lineRule="auto"/>
      </w:pPr>
      <w:r>
        <w:rPr>
          <w:rFonts w:ascii="Calibri" w:hAnsi="Calibri"/>
          <w:b/>
          <w:bCs/>
        </w:rPr>
        <w:t xml:space="preserve">Market indicators are context, not triggers.</w:t>
      </w:r>
      <w:r>
        <w:rPr>
          <w:rFonts w:ascii="Calibri" w:hAnsi="Calibri"/>
        </w:rPr>
        <w:t xml:space="preserve"> </w:t>
      </w:r>
      <w:r>
        <w:rPr>
          <w:rFonts w:ascii="Calibri" w:hAnsi="Calibri"/>
        </w:rPr>
        <w:t xml:space="preserve">The VIX measures expected US equity volatility rather than currency volatility, so it is only a proxy for the broad risk environment. For GGMI, CME's currency volatility indices are the better measure, and the Mexican peso index is more relevant than any stock-market one. None of the dates above is an automatic budget trigger.</w:t>
      </w:r>
    </w:p>
    <w:p>
      <w:pPr>
        <w:pStyle w:val="BodyText"/>
        <w:spacing w:after="160" w:line="276" w:lineRule="auto"/>
      </w:pPr>
      <w:r>
        <w:rPr>
          <w:rFonts w:ascii="Calibri" w:hAnsi="Calibri"/>
          <w:b/>
          <w:bCs/>
        </w:rPr>
        <w:t xml:space="preserve">What we will report against</w:t>
      </w:r>
      <w:r>
        <w:rPr>
          <w:rFonts w:ascii="Calibri" w:hAnsi="Calibri"/>
        </w:rPr>
        <w:t xml:space="preserve">, in priority order: FOREX.com applications, approvals and funded accounts; cost per funded account where available, read with care where the denominators are small; Bing cost per submitted application at its new weight; Azerion cost per submitted application at its reduced weight; whether the Quantcast test can demonstrate contribution beyond view-through reporting; then market context.</w:t>
      </w:r>
    </w:p>
    <w:p>
      <w:pPr>
        <w:spacing w:after="160" w:line="276" w:lineRule="auto"/>
      </w:pPr>
      <w:r>
        <w:rPr>
          <w:rFonts w:ascii="Calibri" w:hAnsi="Calibri"/>
        </w:rPr>
        <w:pict>
          <v:rect style="width:0;height:1.5pt" o:hralign="center" o:hrstd="t" o:hr="t"/>
        </w:pict>
      </w:r>
    </w:p>
    <w:p>
      <w:pPr>
        <w:pStyle w:val="FirstParagraph"/>
        <w:spacing w:after="160" w:line="276" w:lineRule="auto"/>
      </w:pPr>
      <w:r>
        <w:rPr>
          <w:rFonts w:ascii="Calibri" w:hAnsi="Calibri"/>
          <w:i/>
          <w:iCs/>
        </w:rPr>
        <w:t xml:space="preserve">GGMI, Mexico (forex.com/es). Draft prepared by brlvnt for FOREX.com review. Approved budget figures are from the FOREX.com tracker, last updated 08/06/2026. Current run-rate figures are projected month-end: Bing and Quantcast from live platform reporting through August 26, Azerion from the vendor pacing file and mid-month report covering August 1 to 17, which is also the source for Azerion application counts and costs. GGMI figures cover LATAM lines only. Channel results reflect each platform or partner's reporting method and are read independently; cross-channel totals and combined acquisition costs are not used because the methods are not directly comparable. Modeled application counts hold each channel's current cost per application constant and are a sizing estimate, not a forecast. They are shown per channel and are not summed, because Bing counts come from search platform attribution and Azerion counts from the vendor's own reporting, and the two may overlap. Federal Reserve dates are from its published 2026 calendar, Banco de Mexico dates from its published 2026 calendar of monetary policy announcements, and the US election date from published election calendars. VIX futures figures are Cboe settlement prices for the August 26, 2026 report date. brlvnt has no independent visibility into any StoneX regulatory, licensing or product timeline; references to the stablecoin launch are used only to size and time these options.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color w:val="2B3147"/>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2026-08-27T20:35:56Z</dcterms:created>
  <dcterms:modified xsi:type="dcterms:W3CDTF">2026-08-27T20:35:56Z</dcterms:modified>
</cp:coreProperties>
</file>

<file path=docProps/custom.xml><?xml version="1.0" encoding="utf-8"?>
<Properties xmlns="http://schemas.openxmlformats.org/officeDocument/2006/custom-properties" xmlns:vt="http://schemas.openxmlformats.org/officeDocument/2006/docPropsVTypes"/>
</file>