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1E2761"/>
          <w:sz w:val="38"/>
        </w:rPr>
        <w:t>GCG (US Hispanic) — June 2026 Deck</w:t>
      </w:r>
    </w:p>
    <w:p>
      <w:r>
        <w:rPr>
          <w:rFonts w:ascii="Georgia" w:hAnsi="Georgia"/>
          <w:color w:val="F96167"/>
          <w:sz w:val="26"/>
        </w:rPr>
        <w:t>Client Comment Response Tracker</w:t>
      </w:r>
    </w:p>
    <w:p>
      <w:r>
        <w:rPr>
          <w:color w:val="5A6072"/>
          <w:sz w:val="21"/>
        </w:rPr>
        <w:t>Four comments on the live GCG Google Slides, all from Laura Acosta. For each: the verbatim comment, what we changed or plan to change in the deck, and the answer to give. Renzo writes the final replies; the answers below are the talking points. Deck edits stage into a GCG rev1 working file; the live commented deck stays untouched.</w:t>
      </w:r>
    </w:p>
    <w:p>
      <w:r>
        <w:rPr>
          <w:rFonts w:ascii="Georgia" w:hAnsi="Georgia"/>
          <w:b/>
          <w:color w:val="1E2761"/>
          <w:sz w:val="25"/>
        </w:rPr>
        <w:t>Comment 1 — Laura  ·  Summary slide (on the +30% sessions)</w:t>
      </w:r>
    </w:p>
    <w:p>
      <w:r>
        <w:rPr>
          <w:b/>
          <w:color w:val="1E2761"/>
          <w:sz w:val="21"/>
        </w:rPr>
        <w:t xml:space="preserve">Comment:  </w:t>
      </w:r>
      <w:r>
        <w:rPr>
          <w:color w:val="2B3147"/>
          <w:sz w:val="21"/>
        </w:rPr>
      </w:r>
    </w:p>
    <w:p>
      <w:pPr>
        <w:ind w:left="360"/>
      </w:pPr>
      <w:r>
        <w:rPr>
          <w:i/>
          <w:color w:val="2B3147"/>
          <w:sz w:val="21"/>
        </w:rPr>
        <w:t>“this 30% increase was only for paid media or also organic? do we have insights of the quality of this traffic? like average time on our website”</w:t>
      </w:r>
    </w:p>
    <w:p>
      <w:r>
        <w:rPr>
          <w:b/>
          <w:color w:val="1E2761"/>
          <w:sz w:val="21"/>
        </w:rPr>
        <w:t xml:space="preserve">What we did:  </w:t>
      </w:r>
      <w:r>
        <w:rPr>
          <w:color w:val="2B3147"/>
          <w:sz w:val="21"/>
        </w:rPr>
        <w:t>No deck change. Answered from GA4 (US property).</w:t>
      </w:r>
    </w:p>
    <w:p>
      <w:r>
        <w:rPr>
          <w:b/>
          <w:color w:val="1E2761"/>
        </w:rPr>
        <w:t>Answer to provide:</w:t>
      </w:r>
    </w:p>
    <w:p>
      <w:pPr>
        <w:pStyle w:val="ListBullet"/>
        <w:ind w:left="504"/>
      </w:pPr>
      <w:r>
        <w:rPr>
          <w:color w:val="2B3147"/>
          <w:sz w:val="21"/>
        </w:rPr>
        <w:t>The June session growth is paid-driven. Paid media scaled in June (Meta sessions +39%, Google +48%), while the Spanish-language organic base stayed stable to modestly up, about +15%. So the lift is the media scale-up, not organic.</w:t>
      </w:r>
    </w:p>
    <w:p>
      <w:pPr>
        <w:pStyle w:val="ListBullet"/>
        <w:ind w:left="504"/>
      </w:pPr>
      <w:r>
        <w:rPr>
          <w:color w:val="2B3147"/>
          <w:sz w:val="21"/>
        </w:rPr>
        <w:t>On traffic quality: engagement improved month over month. The Meta conversion landing pages and campaign went live on June 25, so July is the first full month to read on-site quality and conversion cleanly.</w:t>
      </w:r>
    </w:p>
    <w:p>
      <w:pPr>
        <w:ind w:left="144"/>
      </w:pPr>
      <w:r>
        <w:rPr>
          <w:b/>
          <w:color w:val="F96167"/>
          <w:sz w:val="20"/>
        </w:rPr>
        <w:t xml:space="preserve">Internal (not for the client reply):  </w:t>
      </w:r>
      <w:r>
        <w:rPr>
          <w:i/>
          <w:color w:val="5A6072"/>
          <w:sz w:val="20"/>
        </w:rPr>
        <w:t>GA4 engagement for the GCG Meta (Paid Social) traffic: June averaged 131 seconds per session, 21.5% engagement, 78.5% bounce (May: 68 seconds, 15.5%, 84.5%). Improving, but the lowest-engagement traffic on the property (organic search ~933s / 77%, direct ~1,110s / 78%). Do NOT surface the bounce or low engagement to the client; it contradicts the May 19 'Meta pixel working, task completed' message and points at the traffic objective. Keep the client answer forward-looking (July read).</w:t>
      </w:r>
    </w:p>
    <w:p>
      <w:pPr>
        <w:ind w:left="144"/>
      </w:pPr>
      <w:r>
        <w:rPr>
          <w:b/>
          <w:color w:val="F96167"/>
          <w:sz w:val="20"/>
        </w:rPr>
        <w:t xml:space="preserve">Internal (not for the client reply):  </w:t>
      </w:r>
      <w:r>
        <w:rPr>
          <w:i/>
          <w:color w:val="5A6072"/>
          <w:sz w:val="20"/>
        </w:rPr>
        <w:t>We do not install pixels; setup is entirely client-owned (StoneX central). Berelvant's role was QA that the pixels fire. Any deeper pixel or tracking config sits with the client, same as the GA4 property gap.</w:t>
      </w:r>
    </w:p>
    <w:p>
      <w:r>
        <w:rPr>
          <w:rFonts w:ascii="Georgia" w:hAnsi="Georgia"/>
          <w:b/>
          <w:color w:val="1E2761"/>
          <w:sz w:val="25"/>
        </w:rPr>
        <w:t>Comment 2 — Laura  ·  Exec summary (on '$117K deployed across five channels')</w:t>
      </w:r>
    </w:p>
    <w:p>
      <w:r>
        <w:rPr>
          <w:b/>
          <w:color w:val="1E2761"/>
          <w:sz w:val="21"/>
        </w:rPr>
        <w:t xml:space="preserve">Comment:  </w:t>
      </w:r>
      <w:r>
        <w:rPr>
          <w:color w:val="2B3147"/>
          <w:sz w:val="21"/>
        </w:rPr>
      </w:r>
    </w:p>
    <w:p>
      <w:pPr>
        <w:ind w:left="360"/>
      </w:pPr>
      <w:r>
        <w:rPr>
          <w:i/>
          <w:color w:val="2B3147"/>
          <w:sz w:val="21"/>
        </w:rPr>
        <w:t>“Please add a funnel-stage summary slide with spend, KPIs and results by stage.”</w:t>
      </w:r>
    </w:p>
    <w:p>
      <w:r>
        <w:rPr>
          <w:b/>
          <w:color w:val="1E2761"/>
          <w:sz w:val="21"/>
        </w:rPr>
        <w:t xml:space="preserve">What we did:  </w:t>
      </w:r>
      <w:r>
        <w:rPr>
          <w:color w:val="2B3147"/>
          <w:sz w:val="21"/>
        </w:rPr>
        <w:t>Building GCG funnel slides for the appendix (deliverable in progress), matching the GGMI approach: a funnel view by stage with spend, KPIs, and June results, plus a funnel-framework slide. GCG channels map as Google Ads and Azerion at conversion, Meta and Quantcast at awareness/consideration, Native as a pilot.</w:t>
      </w:r>
    </w:p>
    <w:p>
      <w:r>
        <w:rPr>
          <w:b/>
          <w:color w:val="1E2761"/>
        </w:rPr>
        <w:t>Answer to provide:</w:t>
      </w:r>
    </w:p>
    <w:p>
      <w:pPr>
        <w:pStyle w:val="ListBullet"/>
        <w:ind w:left="504"/>
      </w:pPr>
      <w:r>
        <w:rPr>
          <w:color w:val="2B3147"/>
          <w:sz w:val="21"/>
        </w:rPr>
        <w:t>Added a funnel-stage view in the appendix: awareness, consideration, conversion, with spend, KPIs, and June results by stage.</w:t>
      </w:r>
    </w:p>
    <w:p>
      <w:pPr>
        <w:pStyle w:val="ListBullet"/>
        <w:ind w:left="504"/>
      </w:pPr>
      <w:r>
        <w:rPr>
          <w:color w:val="2B3147"/>
          <w:sz w:val="21"/>
        </w:rPr>
        <w:t>One limit to note: connecting the stages per campaign across channels needs cross-channel attribution, which is client-owned. So the view shows delivery and results by stage, not an attributed stage-to-stage flow.</w:t>
      </w:r>
    </w:p>
    <w:p>
      <w:r>
        <w:rPr>
          <w:rFonts w:ascii="Georgia" w:hAnsi="Georgia"/>
          <w:b/>
          <w:color w:val="1E2761"/>
          <w:sz w:val="25"/>
        </w:rPr>
        <w:t>Comment 3 — Laura  ·  Meta slide (on 'starts rollup')</w:t>
      </w:r>
    </w:p>
    <w:p>
      <w:r>
        <w:rPr>
          <w:b/>
          <w:color w:val="1E2761"/>
          <w:sz w:val="21"/>
        </w:rPr>
        <w:t xml:space="preserve">Comment:  </w:t>
      </w:r>
      <w:r>
        <w:rPr>
          <w:color w:val="2B3147"/>
          <w:sz w:val="21"/>
        </w:rPr>
      </w:r>
    </w:p>
    <w:p>
      <w:pPr>
        <w:ind w:left="360"/>
      </w:pPr>
      <w:r>
        <w:rPr>
          <w:i/>
          <w:color w:val="2B3147"/>
          <w:sz w:val="21"/>
        </w:rPr>
        <w:t>“how many pixel events we got on may? MoM is not only for budget is for all the metrics  —  (reply) its not clear if the 151% increase on spend in this channel was worth it or not”</w:t>
      </w:r>
    </w:p>
    <w:p>
      <w:r>
        <w:rPr>
          <w:b/>
          <w:color w:val="1E2761"/>
          <w:sz w:val="21"/>
        </w:rPr>
        <w:t xml:space="preserve">What we did:  </w:t>
      </w:r>
      <w:r>
        <w:rPr>
          <w:color w:val="2B3147"/>
          <w:sz w:val="21"/>
        </w:rPr>
        <w:t>Added month-over-month across the Meta stat cards, not just spend, and framed the read around the campaign objective.</w:t>
      </w:r>
    </w:p>
    <w:p>
      <w:r>
        <w:rPr>
          <w:b/>
          <w:color w:val="1E2761"/>
        </w:rPr>
        <w:t>Answer to provide:</w:t>
      </w:r>
    </w:p>
    <w:p>
      <w:pPr>
        <w:pStyle w:val="ListBullet"/>
        <w:ind w:left="504"/>
      </w:pPr>
      <w:r>
        <w:rPr>
          <w:color w:val="2B3147"/>
          <w:sz w:val="21"/>
        </w:rPr>
        <w:t>The Meta campaign ran a traffic (link-click) objective in June. On that objective it delivered: link clicks +83% (40,790 to 74,572) and landing-page views +96% (26,864 to 52,639) on the spend increase. That is the campaign doing its job.</w:t>
      </w:r>
    </w:p>
    <w:p>
      <w:pPr>
        <w:pStyle w:val="ListBullet"/>
        <w:ind w:left="504"/>
      </w:pPr>
      <w:r>
        <w:rPr>
          <w:color w:val="2B3147"/>
          <w:sz w:val="21"/>
        </w:rPr>
        <w:t>May pixel events: 109. June: 136, up 25%. Month-over-month is now shown across all the Meta metrics, not just spend.</w:t>
      </w:r>
    </w:p>
    <w:p>
      <w:pPr>
        <w:pStyle w:val="ListBullet"/>
        <w:ind w:left="504"/>
      </w:pPr>
      <w:r>
        <w:rPr>
          <w:color w:val="2B3147"/>
          <w:sz w:val="21"/>
        </w:rPr>
        <w:t>Reach moved with the objective, not against it: a traffic objective optimizes for click-likely users and concentrates frequency (1.2 to 2.0), so reach came in at 1.53M. Reach is not the KPI for a traffic campaign.</w:t>
      </w:r>
    </w:p>
    <w:p>
      <w:pPr>
        <w:pStyle w:val="ListBullet"/>
        <w:ind w:left="504"/>
      </w:pPr>
      <w:r>
        <w:rPr>
          <w:color w:val="2B3147"/>
          <w:sz w:val="21"/>
        </w:rPr>
        <w:t>Was the 151% worth it: on its objective, yes. It drove +83% clicks and +96% landing-page views efficiently. Conversions are thin because a traffic objective does not optimize for them, and the conversion campaign and landing pages went live June 25, so July is the first conversion read.</w:t>
      </w:r>
    </w:p>
    <w:p>
      <w:pPr>
        <w:ind w:left="144"/>
      </w:pPr>
      <w:r>
        <w:rPr>
          <w:b/>
          <w:color w:val="F96167"/>
          <w:sz w:val="20"/>
        </w:rPr>
        <w:t xml:space="preserve">Internal (not for the client reply):  </w:t>
      </w:r>
      <w:r>
        <w:rPr>
          <w:i/>
          <w:color w:val="5A6072"/>
          <w:sz w:val="20"/>
        </w:rPr>
        <w:t>Honest internal read: the traffic the objective bought is low-engagement (131 seconds, 78.5% bounce, the lowest on the property). Keep the client answer on the objective (traffic KPIs delivered; conversion read is July). The engagement quality stays internal.</w:t>
      </w:r>
    </w:p>
    <w:p>
      <w:r>
        <w:rPr>
          <w:rFonts w:ascii="Georgia" w:hAnsi="Georgia"/>
          <w:b/>
          <w:color w:val="1E2761"/>
          <w:sz w:val="25"/>
        </w:rPr>
        <w:t>Comment 4 — Laura  ·  No anchor (reporting approach)</w:t>
      </w:r>
    </w:p>
    <w:p>
      <w:r>
        <w:rPr>
          <w:b/>
          <w:color w:val="1E2761"/>
          <w:sz w:val="21"/>
        </w:rPr>
        <w:t xml:space="preserve">Comment:  </w:t>
      </w:r>
      <w:r>
        <w:rPr>
          <w:color w:val="2B3147"/>
          <w:sz w:val="21"/>
        </w:rPr>
      </w:r>
    </w:p>
    <w:p>
      <w:pPr>
        <w:ind w:left="360"/>
      </w:pPr>
      <w:r>
        <w:rPr>
          <w:i/>
          <w:color w:val="2B3147"/>
          <w:sz w:val="21"/>
        </w:rPr>
        <w:t>“The agreed reporting approach was to redefine measurement using a funnel-based framework and improve reporting structure with benchmarks and KPIs set for each campaign, not just channel-by-channel analysis.”</w:t>
      </w:r>
    </w:p>
    <w:p>
      <w:r>
        <w:rPr>
          <w:b/>
          <w:color w:val="1E2761"/>
          <w:sz w:val="21"/>
        </w:rPr>
        <w:t xml:space="preserve">What we did:  </w:t>
      </w:r>
      <w:r>
        <w:rPr>
          <w:color w:val="2B3147"/>
          <w:sz w:val="21"/>
        </w:rPr>
        <w:t>Same funnel-stage deliverable as comment 2 (appendix funnel slides), plus the taxonomy correction below. This is word-for-word the GGMI comment; same answer.</w:t>
      </w:r>
    </w:p>
    <w:p>
      <w:r>
        <w:rPr>
          <w:b/>
          <w:color w:val="1E2761"/>
        </w:rPr>
        <w:t>Answer to provide:</w:t>
      </w:r>
    </w:p>
    <w:p>
      <w:pPr>
        <w:pStyle w:val="ListBullet"/>
        <w:ind w:left="504"/>
      </w:pPr>
      <w:r>
        <w:rPr>
          <w:color w:val="2B3147"/>
          <w:sz w:val="21"/>
        </w:rPr>
        <w:t>We can deliver a funnel-based reporting lens now: channels grouped by role, with delivery and results at each stage. The appendix funnel slides show it.</w:t>
      </w:r>
    </w:p>
    <w:p>
      <w:pPr>
        <w:pStyle w:val="ListBullet"/>
        <w:ind w:left="504"/>
      </w:pPr>
      <w:r>
        <w:rPr>
          <w:color w:val="2B3147"/>
          <w:sz w:val="21"/>
        </w:rPr>
        <w:t>The correct funnel stages are awareness, consideration, conversion. Prospecting and retargeting are targeting modes within a stage, not stages of their own.</w:t>
      </w:r>
    </w:p>
    <w:p>
      <w:pPr>
        <w:pStyle w:val="ListBullet"/>
        <w:ind w:left="504"/>
      </w:pPr>
      <w:r>
        <w:rPr>
          <w:color w:val="2B3147"/>
          <w:sz w:val="21"/>
        </w:rPr>
        <w:t>What we cannot do is attribute the funnel per campaign across channels; that needs a cross-channel attribution model, which is client-owned and known to be unreliable. Per-campaign benchmarks and KPIs through the funnel depend on the conversion tracking being in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31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