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color w:val="1E2761"/>
          <w:sz w:val="38"/>
        </w:rPr>
        <w:t>GGMI (LATAM) — June 2026 Deck</w:t>
      </w:r>
    </w:p>
    <w:p>
      <w:r>
        <w:rPr>
          <w:rFonts w:ascii="Georgia" w:hAnsi="Georgia"/>
          <w:color w:val="F96167"/>
          <w:sz w:val="26"/>
        </w:rPr>
        <w:t>Client Comment Response Tracker</w:t>
      </w:r>
    </w:p>
    <w:p>
      <w:r>
        <w:rPr>
          <w:color w:val="5A6072"/>
          <w:sz w:val="21"/>
        </w:rPr>
        <w:t>Ten comments on the live GGMI Google Slides: Laura Acosta (nine), Mateus Rocha (one). For each: the verbatim comment, what we changed in the deck, and the answer to give. Deck edits are staged in 06. GGMI_LATAM_June_2026_Performance_Review-rev1.pptx (22 slides). Renzo writes the final replies; the answers below are the talking points.</w:t>
      </w:r>
    </w:p>
    <w:p>
      <w:r>
        <w:rPr>
          <w:rFonts w:ascii="Georgia" w:hAnsi="Georgia"/>
          <w:b/>
          <w:color w:val="1E2761"/>
          <w:sz w:val="25"/>
        </w:rPr>
        <w:t>Comment 1 — Laura  ·  Meta slide, on the IMPRESSIONS stat</w:t>
      </w:r>
    </w:p>
    <w:p>
      <w:r>
        <w:rPr>
          <w:b/>
          <w:color w:val="1E2761"/>
          <w:sz w:val="21"/>
        </w:rPr>
        <w:t xml:space="preserve">Comment:  </w:t>
      </w:r>
      <w:r>
        <w:rPr>
          <w:color w:val="2B3147"/>
          <w:sz w:val="21"/>
        </w:rPr>
      </w:r>
    </w:p>
    <w:p>
      <w:pPr>
        <w:ind w:left="360"/>
      </w:pPr>
      <w:r>
        <w:rPr>
          <w:i/>
          <w:color w:val="2B3147"/>
          <w:sz w:val="21"/>
        </w:rPr>
        <w:t>“can we include reach? please standardize the KPIs we are measuring, reach is on GCG for meta but for GGMI”</w:t>
      </w:r>
    </w:p>
    <w:p>
      <w:r>
        <w:rPr>
          <w:b/>
          <w:color w:val="1E2761"/>
          <w:sz w:val="21"/>
        </w:rPr>
        <w:t xml:space="preserve">What we did:  </w:t>
      </w:r>
      <w:r>
        <w:rPr>
          <w:color w:val="2B3147"/>
          <w:sz w:val="21"/>
        </w:rPr>
        <w:t>Added a REACH 6.3M / freq 3.0 card to the GGMI Meta slide, matching the GCG Meta layout, and moved CPM to the Impressions sub-label. The Meta KPI set is now the same on both entities.</w:t>
      </w:r>
    </w:p>
    <w:p>
      <w:r>
        <w:rPr>
          <w:b/>
          <w:color w:val="1E2761"/>
          <w:sz w:val="21"/>
        </w:rPr>
        <w:t>Answer to provide:</w:t>
      </w:r>
    </w:p>
    <w:p>
      <w:pPr>
        <w:pStyle w:val="ListBullet"/>
        <w:ind w:left="504"/>
      </w:pPr>
      <w:r>
        <w:rPr>
          <w:color w:val="2B3147"/>
          <w:sz w:val="21"/>
        </w:rPr>
        <w:t>Reach and frequency are now on the GGMI Meta slide, matching GCG.</w:t>
      </w:r>
    </w:p>
    <w:p>
      <w:pPr>
        <w:pStyle w:val="ListBullet"/>
        <w:ind w:left="504"/>
      </w:pPr>
      <w:r>
        <w:rPr>
          <w:color w:val="2B3147"/>
          <w:sz w:val="21"/>
        </w:rPr>
        <w:t>June Meta reached about 6.3M unique people at roughly 3.0 frequency.</w:t>
      </w:r>
    </w:p>
    <w:p>
      <w:pPr>
        <w:pStyle w:val="ListBullet"/>
        <w:ind w:left="504"/>
      </w:pPr>
      <w:r>
        <w:rPr>
          <w:color w:val="2B3147"/>
          <w:sz w:val="21"/>
        </w:rPr>
        <w:t>Note the reach is a campaign-level figure: it is not deduplicated across GGMI's three campaigns, and the Meta ad account is shared with GCG.</w:t>
      </w:r>
    </w:p>
    <w:p>
      <w:r>
        <w:rPr>
          <w:rFonts w:ascii="Georgia" w:hAnsi="Georgia"/>
          <w:b/>
          <w:color w:val="1E2761"/>
          <w:sz w:val="25"/>
        </w:rPr>
        <w:t>Comment 2 — Laura  ·  No anchor (reporting approach)</w:t>
      </w:r>
    </w:p>
    <w:p>
      <w:r>
        <w:rPr>
          <w:b/>
          <w:color w:val="1E2761"/>
          <w:sz w:val="21"/>
        </w:rPr>
        <w:t xml:space="preserve">Comment:  </w:t>
      </w:r>
      <w:r>
        <w:rPr>
          <w:color w:val="2B3147"/>
          <w:sz w:val="21"/>
        </w:rPr>
      </w:r>
    </w:p>
    <w:p>
      <w:pPr>
        <w:ind w:left="360"/>
      </w:pPr>
      <w:r>
        <w:rPr>
          <w:i/>
          <w:color w:val="2B3147"/>
          <w:sz w:val="21"/>
        </w:rPr>
        <w:t>“The agreed reporting approach was to redefine measurement using a funnel-based framework and improve reporting structure with benchmarks and KPIs set for each campaign, not just channel-by-channel analysis.”</w:t>
      </w:r>
    </w:p>
    <w:p>
      <w:r>
        <w:rPr>
          <w:b/>
          <w:color w:val="1E2761"/>
          <w:sz w:val="21"/>
        </w:rPr>
        <w:t xml:space="preserve">What we did:  </w:t>
      </w:r>
      <w:r>
        <w:rPr>
          <w:color w:val="2B3147"/>
          <w:sz w:val="21"/>
        </w:rPr>
        <w:t>Added two appendix slides: a funnel data lens (June metrics by stage, with the attribution break to the client funnel) and a funnel framework (awareness, consideration, conversion, with June metrics, goals, and the channel map). Both sit in the appendix for the client to choose.</w:t>
      </w:r>
    </w:p>
    <w:p>
      <w:r>
        <w:rPr>
          <w:b/>
          <w:color w:val="1E2761"/>
          <w:sz w:val="21"/>
        </w:rPr>
        <w:t>Answer to provide:</w:t>
      </w:r>
    </w:p>
    <w:p>
      <w:pPr>
        <w:pStyle w:val="ListBullet"/>
        <w:ind w:left="504"/>
      </w:pPr>
      <w:r>
        <w:rPr>
          <w:color w:val="2B3147"/>
          <w:sz w:val="21"/>
        </w:rPr>
        <w:t>We can deliver a funnel-based reporting lens now: channels grouped by role, with delivery and metrics at each stage. The two appendix slides show it.</w:t>
      </w:r>
    </w:p>
    <w:p>
      <w:pPr>
        <w:pStyle w:val="ListBullet"/>
        <w:ind w:left="504"/>
      </w:pPr>
      <w:r>
        <w:rPr>
          <w:color w:val="2B3147"/>
          <w:sz w:val="21"/>
        </w:rPr>
        <w:t>The correct funnel stages are awareness, consideration, conversion. Prospecting and retargeting are targeting modes that run inside a stage, not stages of their own.</w:t>
      </w:r>
    </w:p>
    <w:p>
      <w:pPr>
        <w:pStyle w:val="ListBullet"/>
        <w:ind w:left="504"/>
      </w:pPr>
      <w:r>
        <w:rPr>
          <w:color w:val="2B3147"/>
          <w:sz w:val="21"/>
        </w:rPr>
        <w:t>What we cannot do is attribute the funnel per campaign across channels. That needs a cross-channel attribution model; the one in place is client-owned and known to be unreliable.</w:t>
      </w:r>
    </w:p>
    <w:p>
      <w:pPr>
        <w:pStyle w:val="ListBullet"/>
        <w:ind w:left="504"/>
      </w:pPr>
      <w:r>
        <w:rPr>
          <w:color w:val="2B3147"/>
          <w:sz w:val="21"/>
        </w:rPr>
        <w:t>Per-campaign benchmarks and KPIs through the funnel depend on the conversion tracking being fixed.</w:t>
      </w:r>
    </w:p>
    <w:p>
      <w:r>
        <w:rPr>
          <w:rFonts w:ascii="Georgia" w:hAnsi="Georgia"/>
          <w:b/>
          <w:color w:val="1E2761"/>
          <w:sz w:val="25"/>
        </w:rPr>
        <w:t>Comment 3 — Laura  ·  On the SEO recommendation</w:t>
      </w:r>
    </w:p>
    <w:p>
      <w:r>
        <w:rPr>
          <w:b/>
          <w:color w:val="1E2761"/>
          <w:sz w:val="21"/>
        </w:rPr>
        <w:t xml:space="preserve">Comment:  </w:t>
      </w:r>
      <w:r>
        <w:rPr>
          <w:color w:val="2B3147"/>
          <w:sz w:val="21"/>
        </w:rPr>
      </w:r>
    </w:p>
    <w:p>
      <w:pPr>
        <w:ind w:left="360"/>
      </w:pPr>
      <w:r>
        <w:rPr>
          <w:i/>
          <w:color w:val="2B3147"/>
          <w:sz w:val="21"/>
        </w:rPr>
        <w:t>“Didn't we agree on put SEO updates on hold until nextgen?”</w:t>
      </w:r>
    </w:p>
    <w:p>
      <w:r>
        <w:rPr>
          <w:b/>
          <w:color w:val="1E2761"/>
          <w:sz w:val="21"/>
        </w:rPr>
        <w:t xml:space="preserve">What we did:  </w:t>
      </w:r>
      <w:r>
        <w:rPr>
          <w:color w:val="2B3147"/>
          <w:sz w:val="21"/>
        </w:rPr>
        <w:t>No deck change. The SEO workstream recommendation stays in all three places. Organic search fell 75% (confirmed in Search Console) and the finding stays on the record.</w:t>
      </w:r>
    </w:p>
    <w:p>
      <w:r>
        <w:rPr>
          <w:b/>
          <w:color w:val="1E2761"/>
          <w:sz w:val="21"/>
        </w:rPr>
        <w:t xml:space="preserve">Answer to provide:  </w:t>
      </w:r>
      <w:r>
        <w:rPr>
          <w:color w:val="2B3147"/>
          <w:sz w:val="21"/>
        </w:rPr>
        <w:t>Renzo to address directly.</w:t>
      </w:r>
    </w:p>
    <w:p>
      <w:r>
        <w:rPr>
          <w:b/>
          <w:color w:val="F96167"/>
          <w:sz w:val="20"/>
        </w:rPr>
        <w:t xml:space="preserve">Internal (not for the client reply):  </w:t>
      </w:r>
      <w:r>
        <w:rPr>
          <w:i/>
          <w:color w:val="5A6072"/>
          <w:sz w:val="20"/>
        </w:rPr>
        <w:t>Renzo addresses this one directly. The recommendation stays; keep the organic-decline finding.</w:t>
      </w:r>
    </w:p>
    <w:p>
      <w:r>
        <w:rPr>
          <w:rFonts w:ascii="Georgia" w:hAnsi="Georgia"/>
          <w:b/>
          <w:color w:val="1E2761"/>
          <w:sz w:val="25"/>
        </w:rPr>
        <w:t>Comment 4 — Laura  ·  Quantcast slide</w:t>
      </w:r>
    </w:p>
    <w:p>
      <w:r>
        <w:rPr>
          <w:b/>
          <w:color w:val="1E2761"/>
          <w:sz w:val="21"/>
        </w:rPr>
        <w:t xml:space="preserve">Comment:  </w:t>
      </w:r>
      <w:r>
        <w:rPr>
          <w:color w:val="2B3147"/>
          <w:sz w:val="21"/>
        </w:rPr>
      </w:r>
    </w:p>
    <w:p>
      <w:pPr>
        <w:ind w:left="360"/>
      </w:pPr>
      <w:r>
        <w:rPr>
          <w:i/>
          <w:color w:val="2B3147"/>
          <w:sz w:val="21"/>
        </w:rPr>
        <w:t>“What was the average frequency in June? what audience are we targeting? Is it worth it to decrease CPM if this target is not converting? This 33k spend was fully for awareness? CPM and views? are we expecting in Quantcast for retargeting and conversion? if yes what's the split per funnel stage”</w:t>
      </w:r>
    </w:p>
    <w:p>
      <w:r>
        <w:rPr>
          <w:b/>
          <w:color w:val="1E2761"/>
          <w:sz w:val="21"/>
        </w:rPr>
        <w:t xml:space="preserve">What we did:  </w:t>
      </w:r>
      <w:r>
        <w:rPr>
          <w:color w:val="2B3147"/>
          <w:sz w:val="21"/>
        </w:rPr>
        <w:t>Added a REACH 18.2M / freq 2.3 card to the Quantcast slide, replacing AVG CPC.</w:t>
      </w:r>
    </w:p>
    <w:p>
      <w:r>
        <w:rPr>
          <w:b/>
          <w:color w:val="1E2761"/>
          <w:sz w:val="21"/>
        </w:rPr>
        <w:t>Answer to provide:</w:t>
      </w:r>
    </w:p>
    <w:p>
      <w:pPr>
        <w:pStyle w:val="ListBullet"/>
        <w:ind w:left="504"/>
      </w:pPr>
      <w:r>
        <w:rPr>
          <w:color w:val="2B3147"/>
          <w:sz w:val="21"/>
        </w:rPr>
        <w:t>Frequency: 2.3 (42.0M impressions over 18.2M device reach).</w:t>
      </w:r>
    </w:p>
    <w:p>
      <w:pPr>
        <w:pStyle w:val="ListBullet"/>
        <w:ind w:left="504"/>
      </w:pPr>
      <w:r>
        <w:rPr>
          <w:color w:val="2B3147"/>
          <w:sz w:val="21"/>
        </w:rPr>
        <w:t>Audience: one line delivered, targeting a Quantcast-modeled Spanish-Mexico audience on display.</w:t>
      </w:r>
    </w:p>
    <w:p>
      <w:pPr>
        <w:pStyle w:val="ListBullet"/>
        <w:ind w:left="504"/>
      </w:pPr>
      <w:r>
        <w:rPr>
          <w:color w:val="2B3147"/>
          <w:sz w:val="21"/>
        </w:rPr>
        <w:t>Decreasing CPM: no. CPM is already low at $0.81, down 47% month over month, and that is what pulled viewability down to 51%. The lever is a viewability floor, not a lower CPM.</w:t>
      </w:r>
    </w:p>
    <w:p>
      <w:pPr>
        <w:pStyle w:val="ListBullet"/>
        <w:ind w:left="504"/>
      </w:pPr>
      <w:r>
        <w:rPr>
          <w:color w:val="2B3147"/>
          <w:sz w:val="21"/>
        </w:rPr>
        <w:t>Was the $33K all awareness: in effect yes. The line is delivering as reach right now: impressions and view-through results, no click conversions. We are treating and reporting Quantcast as upper-funnel while the setup is dialed in.</w:t>
      </w:r>
    </w:p>
    <w:p>
      <w:pPr>
        <w:pStyle w:val="ListBullet"/>
        <w:ind w:left="504"/>
      </w:pPr>
      <w:r>
        <w:rPr>
          <w:color w:val="2B3147"/>
          <w:sz w:val="21"/>
        </w:rPr>
        <w:t>Retargeting and conversion: Quantcast has the capability, but the line is not performing as a converter at this stage, so we are running and reporting it as awareness/reach. We are optimizing the setup and will expand its role once it proves out; we are not counting on it as a conversion channel yet.</w:t>
      </w:r>
    </w:p>
    <w:p>
      <w:r>
        <w:rPr>
          <w:b/>
          <w:color w:val="F96167"/>
          <w:sz w:val="20"/>
        </w:rPr>
        <w:t xml:space="preserve">Internal (not for the client reply):  </w:t>
      </w:r>
      <w:r>
        <w:rPr>
          <w:i/>
          <w:color w:val="5A6072"/>
          <w:sz w:val="20"/>
        </w:rPr>
        <w:t>Q+ is a new Quantcast campaign type and is not performing yet (June delivered reach and view-through, not conversions). Renzo is raising this with Quantcast to find out why. Client-facing: keep Quantcast framed as awareness/reach — do NOT present Q+ as a conversion channel or create a conversion expectation. Fixing it is a long-term goal, handled with Quantcast directly.</w:t>
      </w:r>
    </w:p>
    <w:p>
      <w:r>
        <w:rPr>
          <w:rFonts w:ascii="Georgia" w:hAnsi="Georgia"/>
          <w:b/>
          <w:color w:val="1E2761"/>
          <w:sz w:val="25"/>
        </w:rPr>
        <w:t>Comment 5 — Laura  ·  Azerion slide, on the 42 applications</w:t>
      </w:r>
    </w:p>
    <w:p>
      <w:r>
        <w:rPr>
          <w:b/>
          <w:color w:val="1E2761"/>
          <w:sz w:val="21"/>
        </w:rPr>
        <w:t xml:space="preserve">Comment:  </w:t>
      </w:r>
      <w:r>
        <w:rPr>
          <w:color w:val="2B3147"/>
          <w:sz w:val="21"/>
        </w:rPr>
      </w:r>
    </w:p>
    <w:p>
      <w:pPr>
        <w:ind w:left="360"/>
      </w:pPr>
      <w:r>
        <w:rPr>
          <w:i/>
          <w:color w:val="2B3147"/>
          <w:sz w:val="21"/>
        </w:rPr>
        <w:t>“If Azerion is functioning as a performance channel, what makes its audience and inventory higher quality than Quantcast's?”</w:t>
      </w:r>
    </w:p>
    <w:p>
      <w:r>
        <w:rPr>
          <w:b/>
          <w:color w:val="1E2761"/>
          <w:sz w:val="21"/>
        </w:rPr>
        <w:t xml:space="preserve">What we did:  </w:t>
      </w:r>
      <w:r>
        <w:rPr>
          <w:color w:val="2B3147"/>
          <w:sz w:val="21"/>
        </w:rPr>
        <w:t>No deck change; the supporting numbers are already on both channel slides.</w:t>
      </w:r>
    </w:p>
    <w:p>
      <w:r>
        <w:rPr>
          <w:b/>
          <w:color w:val="1E2761"/>
          <w:sz w:val="21"/>
        </w:rPr>
        <w:t>Answer to provide:</w:t>
      </w:r>
    </w:p>
    <w:p>
      <w:pPr>
        <w:pStyle w:val="ListBullet"/>
        <w:ind w:left="504"/>
      </w:pPr>
      <w:r>
        <w:rPr>
          <w:color w:val="2B3147"/>
          <w:sz w:val="21"/>
        </w:rPr>
        <w:t>The optimization setup is the same on both. Both have pixels, both fire App Start and Submitted App, and both optimize the same way. That is not the difference.</w:t>
      </w:r>
    </w:p>
    <w:p>
      <w:pPr>
        <w:pStyle w:val="ListBullet"/>
        <w:ind w:left="504"/>
      </w:pPr>
      <w:r>
        <w:rPr>
          <w:color w:val="2B3147"/>
          <w:sz w:val="21"/>
        </w:rPr>
        <w:t>The differences are: the data each platform shares with us (Azerion gives the app-start to submitted-app funnel; Quantcast reports view-through), Azerion's more curated and more viewable inventory (68.5% vs 51.3%; Quantcast trades that for reach, which is why it is cheaper), and the pricing model (Quantcast is dynamic CPA, Azerion is a fixed CPA on submitted apps).</w:t>
      </w:r>
    </w:p>
    <w:p>
      <w:pPr>
        <w:pStyle w:val="ListBullet"/>
        <w:ind w:left="504"/>
      </w:pPr>
      <w:r>
        <w:rPr>
          <w:color w:val="2B3147"/>
          <w:sz w:val="21"/>
        </w:rPr>
        <w:t>Caveat to hold: Azerion's application count is vendor-reported and not yet independently validated, because of the same tracking gap.</w:t>
      </w:r>
    </w:p>
    <w:p>
      <w:r>
        <w:rPr>
          <w:rFonts w:ascii="Georgia" w:hAnsi="Georgia"/>
          <w:b/>
          <w:color w:val="1E2761"/>
          <w:sz w:val="25"/>
        </w:rPr>
        <w:t>Comment 6 — Mateus  ·  Summary slide, on the blended-metrics footnote</w:t>
      </w:r>
    </w:p>
    <w:p>
      <w:r>
        <w:rPr>
          <w:b/>
          <w:color w:val="1E2761"/>
          <w:sz w:val="21"/>
        </w:rPr>
        <w:t xml:space="preserve">Comment:  </w:t>
      </w:r>
      <w:r>
        <w:rPr>
          <w:color w:val="2B3147"/>
          <w:sz w:val="21"/>
        </w:rPr>
      </w:r>
    </w:p>
    <w:p>
      <w:pPr>
        <w:ind w:left="360"/>
      </w:pPr>
      <w:r>
        <w:rPr>
          <w:i/>
          <w:color w:val="2B3147"/>
          <w:sz w:val="21"/>
        </w:rPr>
        <w:t>“since these are blended, it would be great to have the following breakdown: 1. MEXICO (blended) then a) paid b) unpaid; 2. REST OF LATAM. This will help us identify the lift of unpaid acquisition from paid activity even when tracking is challenging.”</w:t>
      </w:r>
    </w:p>
    <w:p>
      <w:r>
        <w:rPr>
          <w:b/>
          <w:color w:val="1E2761"/>
          <w:sz w:val="21"/>
        </w:rPr>
        <w:t xml:space="preserve">What we did:  </w:t>
      </w:r>
      <w:r>
        <w:rPr>
          <w:color w:val="2B3147"/>
          <w:sz w:val="21"/>
        </w:rPr>
        <w:t>Added an appendix session table: Mexico paid vs unpaid, rest of LATAM, with Venezuela quarantined as an anomaly, and the caveats stamped on the slide.</w:t>
      </w:r>
    </w:p>
    <w:p>
      <w:r>
        <w:rPr>
          <w:b/>
          <w:color w:val="1E2761"/>
          <w:sz w:val="21"/>
        </w:rPr>
        <w:t>Answer to provide:</w:t>
      </w:r>
    </w:p>
    <w:p>
      <w:pPr>
        <w:pStyle w:val="ListBullet"/>
        <w:ind w:left="504"/>
      </w:pPr>
      <w:r>
        <w:rPr>
          <w:color w:val="2B3147"/>
          <w:sz w:val="21"/>
        </w:rPr>
        <w:t>At the traffic (session) level for June: Mexico ran about 9,236 sessions, roughly 51% paid and 49% unpaid. Rest of LATAM ran about 13,800 sessions, over 85% organic, which makes it a near-clean control for the organic base.</w:t>
      </w:r>
    </w:p>
    <w:p>
      <w:pPr>
        <w:pStyle w:val="ListBullet"/>
        <w:ind w:left="504"/>
      </w:pPr>
      <w:r>
        <w:rPr>
          <w:color w:val="2B3147"/>
          <w:sz w:val="21"/>
        </w:rPr>
        <w:t>Venezuela (14,552 sessions, 13,571 unassigned) is quarantined as an anomaly under investigation.</w:t>
      </w:r>
    </w:p>
    <w:p>
      <w:pPr>
        <w:pStyle w:val="ListBullet"/>
        <w:ind w:left="504"/>
      </w:pPr>
      <w:r>
        <w:rPr>
          <w:color w:val="2B3147"/>
          <w:sz w:val="21"/>
        </w:rPr>
        <w:t>This is the traffic layer, which works. The application-level split by geography is not available from GA4 and needs the client funnel dashboard segmented by geo.</w:t>
      </w:r>
    </w:p>
    <w:p>
      <w:pPr>
        <w:pStyle w:val="ListBullet"/>
        <w:ind w:left="504"/>
      </w:pPr>
      <w:r>
        <w:rPr>
          <w:color w:val="2B3147"/>
          <w:sz w:val="21"/>
        </w:rPr>
        <w:t>Bing paid sits in an Unassigned bucket until SA360 is linked to GA4, so the paid figure is directional, not exact.</w:t>
      </w:r>
    </w:p>
    <w:p>
      <w:r>
        <w:rPr>
          <w:rFonts w:ascii="Georgia" w:hAnsi="Georgia"/>
          <w:b/>
          <w:color w:val="1E2761"/>
          <w:sz w:val="25"/>
        </w:rPr>
        <w:t>Comment 7 — Laura  ·  Meta recommendations</w:t>
      </w:r>
    </w:p>
    <w:p>
      <w:r>
        <w:rPr>
          <w:b/>
          <w:color w:val="1E2761"/>
          <w:sz w:val="21"/>
        </w:rPr>
        <w:t xml:space="preserve">Comment:  </w:t>
      </w:r>
      <w:r>
        <w:rPr>
          <w:color w:val="2B3147"/>
          <w:sz w:val="21"/>
        </w:rPr>
      </w:r>
    </w:p>
    <w:p>
      <w:pPr>
        <w:ind w:left="360"/>
      </w:pPr>
      <w:r>
        <w:rPr>
          <w:i/>
          <w:color w:val="2B3147"/>
          <w:sz w:val="21"/>
        </w:rPr>
        <w:t>“JP and vane please update this with our last meeting agreements, for July we are modifying audience from 25+”</w:t>
      </w:r>
    </w:p>
    <w:p>
      <w:r>
        <w:rPr>
          <w:b/>
          <w:color w:val="1E2761"/>
          <w:sz w:val="21"/>
        </w:rPr>
        <w:t xml:space="preserve">What we did:  </w:t>
      </w:r>
      <w:r>
        <w:rPr>
          <w:color w:val="2B3147"/>
          <w:sz w:val="21"/>
        </w:rPr>
        <w:t>The deck already reflects the 25+ audience change; the Meta read-and-recommendations slide recommends refining the audience to 25+. This is Laura's internal note to her team, not a question to us.</w:t>
      </w:r>
    </w:p>
    <w:p>
      <w:r>
        <w:rPr>
          <w:b/>
          <w:color w:val="1E2761"/>
          <w:sz w:val="21"/>
        </w:rPr>
        <w:t>Answer to provide:</w:t>
      </w:r>
    </w:p>
    <w:p>
      <w:pPr>
        <w:pStyle w:val="ListBullet"/>
        <w:ind w:left="504"/>
      </w:pPr>
      <w:r>
        <w:rPr>
          <w:color w:val="2B3147"/>
          <w:sz w:val="21"/>
        </w:rPr>
        <w:t>Informational: the July recommendation on the deck already reflects the move to a 25+ audience, so we are aligned. No change needed.</w:t>
      </w:r>
    </w:p>
    <w:p>
      <w:r>
        <w:rPr>
          <w:rFonts w:ascii="Georgia" w:hAnsi="Georgia"/>
          <w:b/>
          <w:color w:val="1E2761"/>
          <w:sz w:val="25"/>
        </w:rPr>
        <w:t>Comment 8 — Laura  ·  Meta section</w:t>
      </w:r>
    </w:p>
    <w:p>
      <w:r>
        <w:rPr>
          <w:b/>
          <w:color w:val="1E2761"/>
          <w:sz w:val="21"/>
        </w:rPr>
        <w:t xml:space="preserve">Comment:  </w:t>
      </w:r>
      <w:r>
        <w:rPr>
          <w:color w:val="2B3147"/>
          <w:sz w:val="21"/>
        </w:rPr>
      </w:r>
    </w:p>
    <w:p>
      <w:pPr>
        <w:ind w:left="360"/>
      </w:pPr>
      <w:r>
        <w:rPr>
          <w:i/>
          <w:color w:val="2B3147"/>
          <w:sz w:val="21"/>
        </w:rPr>
        <w:t>“I asked for a separate view of the different campaigns that we have live, we cant mix a followers campaign with a conversion one”</w:t>
      </w:r>
    </w:p>
    <w:p>
      <w:r>
        <w:rPr>
          <w:b/>
          <w:color w:val="1E2761"/>
          <w:sz w:val="21"/>
        </w:rPr>
        <w:t xml:space="preserve">What we did:  </w:t>
      </w:r>
      <w:r>
        <w:rPr>
          <w:color w:val="2B3147"/>
          <w:sz w:val="21"/>
        </w:rPr>
        <w:t>Added a two-row Meta programs table to the Meta slide: Prospecting/traffic ($25,345) and Engagement/Followers ($579). Grouped, no campaign names, no objective column, so the Followers campaign is no longer mixed with the rest.</w:t>
      </w:r>
    </w:p>
    <w:p>
      <w:r>
        <w:rPr>
          <w:b/>
          <w:color w:val="1E2761"/>
          <w:sz w:val="21"/>
        </w:rPr>
        <w:t>Answer to provide:</w:t>
      </w:r>
    </w:p>
    <w:p>
      <w:pPr>
        <w:pStyle w:val="ListBullet"/>
        <w:ind w:left="504"/>
      </w:pPr>
      <w:r>
        <w:rPr>
          <w:color w:val="2B3147"/>
          <w:sz w:val="21"/>
        </w:rPr>
        <w:t>The Meta slide now separates the programs: Prospecting/traffic and Engagement (Followers). The Followers campaign is no longer combined with the prospecting spend.</w:t>
      </w:r>
    </w:p>
    <w:p>
      <w:r>
        <w:rPr>
          <w:b/>
          <w:color w:val="F96167"/>
          <w:sz w:val="20"/>
        </w:rPr>
        <w:t xml:space="preserve">Internal (not for the client reply):  </w:t>
      </w:r>
      <w:r>
        <w:rPr>
          <w:i/>
          <w:color w:val="5A6072"/>
          <w:sz w:val="20"/>
        </w:rPr>
        <w:t>The grouping deliberately folds the small conversion line into prospecting so the June objective is not itemized. Do not break this into separate objective lines in the reply.</w:t>
      </w:r>
    </w:p>
    <w:p>
      <w:r>
        <w:rPr>
          <w:rFonts w:ascii="Georgia" w:hAnsi="Georgia"/>
          <w:b/>
          <w:color w:val="1E2761"/>
          <w:sz w:val="25"/>
        </w:rPr>
        <w:t>Comment 9 — Laura  ·  Summary slide, on the +53% spend</w:t>
      </w:r>
    </w:p>
    <w:p>
      <w:r>
        <w:rPr>
          <w:b/>
          <w:color w:val="1E2761"/>
          <w:sz w:val="21"/>
        </w:rPr>
        <w:t xml:space="preserve">Comment:  </w:t>
      </w:r>
      <w:r>
        <w:rPr>
          <w:color w:val="2B3147"/>
          <w:sz w:val="21"/>
        </w:rPr>
      </w:r>
    </w:p>
    <w:p>
      <w:pPr>
        <w:ind w:left="360"/>
      </w:pPr>
      <w:r>
        <w:rPr>
          <w:i/>
          <w:color w:val="2B3147"/>
          <w:sz w:val="21"/>
        </w:rPr>
        <w:t>“we increase 53% the spend but applications are going down, where's the gap?”</w:t>
      </w:r>
    </w:p>
    <w:p>
      <w:r>
        <w:rPr>
          <w:b/>
          <w:color w:val="1E2761"/>
          <w:sz w:val="21"/>
        </w:rPr>
        <w:t xml:space="preserve">What we did:  </w:t>
      </w:r>
      <w:r>
        <w:rPr>
          <w:color w:val="2B3147"/>
          <w:sz w:val="21"/>
        </w:rPr>
        <w:t>Open: Renzo's decision on whether to add a one-line bridge to the summary slide or answer in the reply. The bridge is not yet in rev1.</w:t>
      </w:r>
    </w:p>
    <w:p>
      <w:r>
        <w:rPr>
          <w:b/>
          <w:color w:val="1E2761"/>
          <w:sz w:val="21"/>
        </w:rPr>
        <w:t>Answer to provide:</w:t>
      </w:r>
    </w:p>
    <w:p>
      <w:pPr>
        <w:pStyle w:val="ListBullet"/>
        <w:ind w:left="504"/>
      </w:pPr>
      <w:r>
        <w:rPr>
          <w:color w:val="2B3147"/>
          <w:sz w:val="21"/>
        </w:rPr>
        <w:t>The +53% is paid spend, and paid-driven applications grew every month of Q3.</w:t>
      </w:r>
    </w:p>
    <w:p>
      <w:pPr>
        <w:pStyle w:val="ListBullet"/>
        <w:ind w:left="504"/>
      </w:pPr>
      <w:r>
        <w:rPr>
          <w:color w:val="2B3147"/>
          <w:sz w:val="21"/>
        </w:rPr>
        <w:t>The blended application count dips because it is led by the non-paid, organic base, which fell for two reasons: the market-volatility tailwind reversed (applications track gold, slides 4-5) and organic search declined 75% (slide 9).</w:t>
      </w:r>
    </w:p>
    <w:p>
      <w:pPr>
        <w:pStyle w:val="ListBullet"/>
        <w:ind w:left="504"/>
      </w:pPr>
      <w:r>
        <w:rPr>
          <w:color w:val="2B3147"/>
          <w:sz w:val="21"/>
        </w:rPr>
        <w:t>The gap sits in the non-paid base, not in paid delivery. Slides 4, 5, 7, and 9 carry the evidence.</w:t>
      </w:r>
    </w:p>
    <w:p>
      <w:r>
        <w:rPr>
          <w:rFonts w:ascii="Georgia" w:hAnsi="Georgia"/>
          <w:b/>
          <w:color w:val="1E2761"/>
          <w:sz w:val="25"/>
        </w:rPr>
        <w:t>Comment 10 — Laura  ·  Meta, on the held conversions</w:t>
      </w:r>
    </w:p>
    <w:p>
      <w:r>
        <w:rPr>
          <w:b/>
          <w:color w:val="1E2761"/>
          <w:sz w:val="21"/>
        </w:rPr>
        <w:t xml:space="preserve">Comment:  </w:t>
      </w:r>
      <w:r>
        <w:rPr>
          <w:color w:val="2B3147"/>
          <w:sz w:val="21"/>
        </w:rPr>
      </w:r>
    </w:p>
    <w:p>
      <w:pPr>
        <w:ind w:left="360"/>
      </w:pPr>
      <w:r>
        <w:rPr>
          <w:i/>
          <w:color w:val="2B3147"/>
          <w:sz w:val="21"/>
        </w:rPr>
        <w:t>“why do we increase 20k investment in meta if we don't see any conversion here?”</w:t>
      </w:r>
    </w:p>
    <w:p>
      <w:r>
        <w:rPr>
          <w:b/>
          <w:color w:val="1E2761"/>
          <w:sz w:val="21"/>
        </w:rPr>
        <w:t xml:space="preserve">What we did:  </w:t>
      </w:r>
      <w:r>
        <w:rPr>
          <w:color w:val="2B3147"/>
          <w:sz w:val="21"/>
        </w:rPr>
        <w:t>The Meta campaign split (comment 8) makes the answer visible: the bulk of the spend was the Prospecting/traffic program, not a conversion campaign.</w:t>
      </w:r>
    </w:p>
    <w:p>
      <w:r>
        <w:rPr>
          <w:b/>
          <w:color w:val="1E2761"/>
          <w:sz w:val="21"/>
        </w:rPr>
        <w:t>Answer to provide:</w:t>
      </w:r>
    </w:p>
    <w:p>
      <w:pPr>
        <w:pStyle w:val="ListBullet"/>
        <w:ind w:left="504"/>
      </w:pPr>
      <w:r>
        <w:rPr>
          <w:color w:val="2B3147"/>
          <w:sz w:val="21"/>
        </w:rPr>
        <w:t>Meta's June role was upper-funnel: reach and site traffic (6.3M reach, about 1,745 measured sessions).</w:t>
      </w:r>
    </w:p>
    <w:p>
      <w:pPr>
        <w:pStyle w:val="ListBullet"/>
        <w:ind w:left="504"/>
      </w:pPr>
      <w:r>
        <w:rPr>
          <w:color w:val="2B3147"/>
          <w:sz w:val="21"/>
        </w:rPr>
        <w:t>The bulk of the spend was the traffic and prospecting program, not a conversion campaign.</w:t>
      </w:r>
    </w:p>
    <w:p>
      <w:pPr>
        <w:pStyle w:val="ListBullet"/>
        <w:ind w:left="504"/>
      </w:pPr>
      <w:r>
        <w:rPr>
          <w:color w:val="2B3147"/>
          <w:sz w:val="21"/>
        </w:rPr>
        <w:t>Conversion measurement and reporting complete in July, and Meta will be judged on submitted applications from then.</w:t>
      </w:r>
    </w:p>
    <w:p>
      <w:r>
        <w:rPr>
          <w:b/>
          <w:color w:val="F96167"/>
          <w:sz w:val="20"/>
        </w:rPr>
        <w:t xml:space="preserve">Internal (not for the client reply):  </w:t>
      </w:r>
      <w:r>
        <w:rPr>
          <w:i/>
          <w:color w:val="5A6072"/>
          <w:sz w:val="20"/>
        </w:rPr>
        <w:t>Keep the reply forward-looking. Do not surface that the June campaign was not switched to a conversion objective; that is an internal matter.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31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