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F957E6" w14:textId="77777777" w:rsidR="00113126" w:rsidRDefault="00000000">
      <w:pPr>
        <w:spacing w:after="80"/>
      </w:pPr>
      <w:r>
        <w:rPr>
          <w:b/>
          <w:color w:val="1F3864"/>
          <w:sz w:val="38"/>
        </w:rPr>
        <w:t>GA4 Conversion Tracking: Forex LAT (GGMI) Property Gap</w:t>
      </w:r>
    </w:p>
    <w:p w14:paraId="3BADDDDC" w14:textId="77777777" w:rsidR="00113126" w:rsidRDefault="00000000">
      <w:pPr>
        <w:spacing w:after="40"/>
      </w:pPr>
      <w:r>
        <w:rPr>
          <w:color w:val="595959"/>
          <w:sz w:val="19"/>
        </w:rPr>
        <w:t>Prepared by Berelvant for StoneX / FOREX.com</w:t>
      </w:r>
    </w:p>
    <w:p w14:paraId="18250975" w14:textId="50408FBB" w:rsidR="00113126" w:rsidRDefault="00000000">
      <w:pPr>
        <w:spacing w:after="40"/>
      </w:pPr>
      <w:r>
        <w:rPr>
          <w:color w:val="595959"/>
          <w:sz w:val="19"/>
        </w:rPr>
        <w:t>Data period: Ju</w:t>
      </w:r>
      <w:r w:rsidR="00DA6FA5">
        <w:rPr>
          <w:color w:val="595959"/>
          <w:sz w:val="19"/>
        </w:rPr>
        <w:t>ne</w:t>
      </w:r>
      <w:r>
        <w:rPr>
          <w:color w:val="595959"/>
          <w:sz w:val="19"/>
        </w:rPr>
        <w:t xml:space="preserve"> </w:t>
      </w:r>
      <w:proofErr w:type="gramStart"/>
      <w:r>
        <w:rPr>
          <w:color w:val="595959"/>
          <w:sz w:val="19"/>
        </w:rPr>
        <w:t>2026  |</w:t>
      </w:r>
      <w:proofErr w:type="gramEnd"/>
      <w:r>
        <w:rPr>
          <w:color w:val="595959"/>
          <w:sz w:val="19"/>
        </w:rPr>
        <w:t xml:space="preserve">  Source: GA</w:t>
      </w:r>
    </w:p>
    <w:p w14:paraId="5FE87A62" w14:textId="77777777" w:rsidR="00113126" w:rsidRDefault="00000000">
      <w:pPr>
        <w:pBdr>
          <w:bottom w:val="single" w:sz="6" w:space="2" w:color="BFCADE"/>
        </w:pBdr>
        <w:spacing w:before="280" w:after="100"/>
      </w:pPr>
      <w:r>
        <w:rPr>
          <w:b/>
          <w:color w:val="1F3864"/>
          <w:sz w:val="26"/>
        </w:rPr>
        <w:t>Summary</w:t>
      </w:r>
    </w:p>
    <w:p w14:paraId="74ABFA3C" w14:textId="77777777" w:rsidR="00113126" w:rsidRDefault="00000000">
      <w:r>
        <w:t>GA4 records key events for every paid channel on the Forex US property. On the Forex LAT property it records none. The application events themselves are firing on the LAT property; none of them are marked as key events, so the conversion layer reports zero. The fix is a configuration change in GA4 Admin, not a tagging project.</w:t>
      </w:r>
    </w:p>
    <w:p w14:paraId="04ABBA93" w14:textId="6A044935" w:rsidR="00113126" w:rsidRDefault="00000000">
      <w:r>
        <w:t>Both properties are subproperties of the same Forex Brand property, run by the same team, on the same channels. The US property captures conversions across the board while the LAT property captures a total of roughly 14 key events for the entire month. That pattern points to the LAT property configuration</w:t>
      </w:r>
      <w:r w:rsidR="00DA6FA5">
        <w:t>.</w:t>
      </w:r>
    </w:p>
    <w:p w14:paraId="4B2146BC" w14:textId="77777777" w:rsidR="00113126" w:rsidRDefault="00000000">
      <w:pPr>
        <w:pBdr>
          <w:bottom w:val="single" w:sz="6" w:space="2" w:color="BFCADE"/>
        </w:pBdr>
        <w:spacing w:before="280" w:after="100"/>
      </w:pPr>
      <w:r>
        <w:rPr>
          <w:b/>
          <w:color w:val="1F3864"/>
          <w:sz w:val="26"/>
        </w:rPr>
        <w:t>Evidence: GA4 key events by paid source, June 2026</w:t>
      </w:r>
    </w:p>
    <w:tbl>
      <w:tblPr>
        <w:tblStyle w:val="TableGrid"/>
        <w:tblW w:w="0" w:type="auto"/>
        <w:jc w:val="center"/>
        <w:tblLook w:val="04A0" w:firstRow="1" w:lastRow="0" w:firstColumn="1" w:lastColumn="0" w:noHBand="0" w:noVBand="1"/>
      </w:tblPr>
      <w:tblGrid>
        <w:gridCol w:w="2734"/>
        <w:gridCol w:w="3452"/>
        <w:gridCol w:w="3452"/>
      </w:tblGrid>
      <w:tr w:rsidR="00113126" w14:paraId="618D9D21" w14:textId="77777777">
        <w:trPr>
          <w:jc w:val="center"/>
        </w:trPr>
        <w:tc>
          <w:tcPr>
            <w:tcW w:w="2736" w:type="dxa"/>
            <w:shd w:val="clear" w:color="auto" w:fill="1F3864"/>
          </w:tcPr>
          <w:p w14:paraId="56A37004" w14:textId="77777777" w:rsidR="00113126" w:rsidRDefault="00000000">
            <w:pPr>
              <w:spacing w:before="60" w:after="60"/>
            </w:pPr>
            <w:r>
              <w:rPr>
                <w:b/>
                <w:color w:val="FFFFFF"/>
                <w:sz w:val="20"/>
              </w:rPr>
              <w:t>Paid channel</w:t>
            </w:r>
          </w:p>
        </w:tc>
        <w:tc>
          <w:tcPr>
            <w:tcW w:w="3456" w:type="dxa"/>
            <w:shd w:val="clear" w:color="auto" w:fill="1F3864"/>
          </w:tcPr>
          <w:p w14:paraId="570D1B80" w14:textId="77777777" w:rsidR="00113126" w:rsidRDefault="00000000">
            <w:pPr>
              <w:spacing w:before="60" w:after="60"/>
            </w:pPr>
            <w:r>
              <w:rPr>
                <w:b/>
                <w:color w:val="FFFFFF"/>
                <w:sz w:val="20"/>
              </w:rPr>
              <w:t>Forex US (325353267)</w:t>
            </w:r>
          </w:p>
        </w:tc>
        <w:tc>
          <w:tcPr>
            <w:tcW w:w="3456" w:type="dxa"/>
            <w:shd w:val="clear" w:color="auto" w:fill="1F3864"/>
          </w:tcPr>
          <w:p w14:paraId="2CE4D35F" w14:textId="77777777" w:rsidR="00113126" w:rsidRDefault="00000000">
            <w:pPr>
              <w:spacing w:before="60" w:after="60"/>
            </w:pPr>
            <w:r>
              <w:rPr>
                <w:b/>
                <w:color w:val="FFFFFF"/>
                <w:sz w:val="20"/>
              </w:rPr>
              <w:t>Forex LAT (508849216)</w:t>
            </w:r>
          </w:p>
        </w:tc>
      </w:tr>
      <w:tr w:rsidR="00113126" w14:paraId="72515A81" w14:textId="77777777">
        <w:trPr>
          <w:jc w:val="center"/>
        </w:trPr>
        <w:tc>
          <w:tcPr>
            <w:tcW w:w="2736" w:type="dxa"/>
          </w:tcPr>
          <w:p w14:paraId="10D1EEFB" w14:textId="77777777" w:rsidR="00113126" w:rsidRDefault="00000000">
            <w:pPr>
              <w:spacing w:before="60" w:after="60"/>
            </w:pPr>
            <w:r>
              <w:rPr>
                <w:sz w:val="20"/>
              </w:rPr>
              <w:t>meta / paid-social</w:t>
            </w:r>
          </w:p>
        </w:tc>
        <w:tc>
          <w:tcPr>
            <w:tcW w:w="3456" w:type="dxa"/>
          </w:tcPr>
          <w:p w14:paraId="60C9CD8D" w14:textId="77777777" w:rsidR="00113126" w:rsidRDefault="00000000">
            <w:pPr>
              <w:spacing w:before="60" w:after="60"/>
            </w:pPr>
            <w:r>
              <w:rPr>
                <w:sz w:val="20"/>
              </w:rPr>
              <w:t>42,747 sessions  →  43,431 key events</w:t>
            </w:r>
          </w:p>
        </w:tc>
        <w:tc>
          <w:tcPr>
            <w:tcW w:w="3456" w:type="dxa"/>
          </w:tcPr>
          <w:p w14:paraId="38DF872B" w14:textId="77777777" w:rsidR="00113126" w:rsidRDefault="00000000">
            <w:pPr>
              <w:spacing w:before="60" w:after="60"/>
            </w:pPr>
            <w:r>
              <w:rPr>
                <w:sz w:val="20"/>
              </w:rPr>
              <w:t xml:space="preserve">1,745 sessions  →  </w:t>
            </w:r>
            <w:r>
              <w:rPr>
                <w:b/>
                <w:color w:val="C00000"/>
                <w:sz w:val="20"/>
              </w:rPr>
              <w:t>0 key events</w:t>
            </w:r>
          </w:p>
        </w:tc>
      </w:tr>
      <w:tr w:rsidR="00113126" w14:paraId="2E32CCF6" w14:textId="77777777">
        <w:trPr>
          <w:jc w:val="center"/>
        </w:trPr>
        <w:tc>
          <w:tcPr>
            <w:tcW w:w="2736" w:type="dxa"/>
            <w:shd w:val="clear" w:color="auto" w:fill="EDF1F7"/>
          </w:tcPr>
          <w:p w14:paraId="3609F78E" w14:textId="77777777" w:rsidR="00113126" w:rsidRDefault="00000000">
            <w:pPr>
              <w:spacing w:before="60" w:after="60"/>
            </w:pPr>
            <w:r>
              <w:rPr>
                <w:sz w:val="20"/>
              </w:rPr>
              <w:t>bing / cpc</w:t>
            </w:r>
          </w:p>
        </w:tc>
        <w:tc>
          <w:tcPr>
            <w:tcW w:w="3456" w:type="dxa"/>
            <w:shd w:val="clear" w:color="auto" w:fill="EDF1F7"/>
          </w:tcPr>
          <w:p w14:paraId="376AE39E" w14:textId="77777777" w:rsidR="00113126" w:rsidRDefault="00000000">
            <w:pPr>
              <w:spacing w:before="60" w:after="60"/>
            </w:pPr>
            <w:r>
              <w:rPr>
                <w:sz w:val="20"/>
              </w:rPr>
              <w:t>15,774 sessions  →  17,232 key events</w:t>
            </w:r>
          </w:p>
        </w:tc>
        <w:tc>
          <w:tcPr>
            <w:tcW w:w="3456" w:type="dxa"/>
            <w:shd w:val="clear" w:color="auto" w:fill="EDF1F7"/>
          </w:tcPr>
          <w:p w14:paraId="1AAB06DB" w14:textId="77777777" w:rsidR="00113126" w:rsidRDefault="00000000">
            <w:pPr>
              <w:spacing w:before="60" w:after="60"/>
            </w:pPr>
            <w:r>
              <w:rPr>
                <w:sz w:val="20"/>
              </w:rPr>
              <w:t xml:space="preserve">1,895 sessions  →  </w:t>
            </w:r>
            <w:r>
              <w:rPr>
                <w:b/>
                <w:color w:val="C00000"/>
                <w:sz w:val="20"/>
              </w:rPr>
              <w:t>0 key events</w:t>
            </w:r>
          </w:p>
        </w:tc>
      </w:tr>
      <w:tr w:rsidR="00113126" w14:paraId="70C70D96" w14:textId="77777777">
        <w:trPr>
          <w:jc w:val="center"/>
        </w:trPr>
        <w:tc>
          <w:tcPr>
            <w:tcW w:w="2736" w:type="dxa"/>
          </w:tcPr>
          <w:p w14:paraId="6DEDC531" w14:textId="77777777" w:rsidR="00113126" w:rsidRDefault="00000000">
            <w:pPr>
              <w:spacing w:before="60" w:after="60"/>
            </w:pPr>
            <w:r>
              <w:rPr>
                <w:sz w:val="20"/>
              </w:rPr>
              <w:t>azerion / display</w:t>
            </w:r>
          </w:p>
        </w:tc>
        <w:tc>
          <w:tcPr>
            <w:tcW w:w="3456" w:type="dxa"/>
          </w:tcPr>
          <w:p w14:paraId="55B2E21C" w14:textId="77777777" w:rsidR="00113126" w:rsidRDefault="00000000">
            <w:pPr>
              <w:spacing w:before="60" w:after="60"/>
            </w:pPr>
            <w:r>
              <w:rPr>
                <w:sz w:val="20"/>
              </w:rPr>
              <w:t>4,836 sessions  →  4,996 key events</w:t>
            </w:r>
          </w:p>
        </w:tc>
        <w:tc>
          <w:tcPr>
            <w:tcW w:w="3456" w:type="dxa"/>
          </w:tcPr>
          <w:p w14:paraId="4A992902" w14:textId="77777777" w:rsidR="00113126" w:rsidRDefault="00000000">
            <w:pPr>
              <w:spacing w:before="60" w:after="60"/>
            </w:pPr>
            <w:r>
              <w:rPr>
                <w:sz w:val="20"/>
              </w:rPr>
              <w:t xml:space="preserve">1,363 sessions  →  </w:t>
            </w:r>
            <w:r>
              <w:rPr>
                <w:b/>
                <w:color w:val="C00000"/>
                <w:sz w:val="20"/>
              </w:rPr>
              <w:t>0 key events</w:t>
            </w:r>
          </w:p>
        </w:tc>
      </w:tr>
      <w:tr w:rsidR="00113126" w14:paraId="3C5937EE" w14:textId="77777777">
        <w:trPr>
          <w:jc w:val="center"/>
        </w:trPr>
        <w:tc>
          <w:tcPr>
            <w:tcW w:w="2736" w:type="dxa"/>
            <w:shd w:val="clear" w:color="auto" w:fill="EDF1F7"/>
          </w:tcPr>
          <w:p w14:paraId="1F6127DC" w14:textId="77777777" w:rsidR="00113126" w:rsidRDefault="00000000">
            <w:pPr>
              <w:spacing w:before="60" w:after="60"/>
            </w:pPr>
            <w:r>
              <w:rPr>
                <w:sz w:val="20"/>
              </w:rPr>
              <w:t>quantcast / display</w:t>
            </w:r>
          </w:p>
        </w:tc>
        <w:tc>
          <w:tcPr>
            <w:tcW w:w="3456" w:type="dxa"/>
            <w:shd w:val="clear" w:color="auto" w:fill="EDF1F7"/>
          </w:tcPr>
          <w:p w14:paraId="6D42D9D8" w14:textId="77777777" w:rsidR="00113126" w:rsidRDefault="00000000">
            <w:pPr>
              <w:spacing w:before="60" w:after="60"/>
            </w:pPr>
            <w:r>
              <w:rPr>
                <w:sz w:val="20"/>
              </w:rPr>
              <w:t>3,013 sessions  →  3,112 key events</w:t>
            </w:r>
          </w:p>
        </w:tc>
        <w:tc>
          <w:tcPr>
            <w:tcW w:w="3456" w:type="dxa"/>
            <w:shd w:val="clear" w:color="auto" w:fill="EDF1F7"/>
          </w:tcPr>
          <w:p w14:paraId="38AC12C7" w14:textId="77777777" w:rsidR="00113126" w:rsidRDefault="00000000">
            <w:pPr>
              <w:spacing w:before="60" w:after="60"/>
            </w:pPr>
            <w:r>
              <w:rPr>
                <w:sz w:val="20"/>
              </w:rPr>
              <w:t xml:space="preserve">904 sessions  →  </w:t>
            </w:r>
            <w:r>
              <w:rPr>
                <w:b/>
                <w:color w:val="C00000"/>
                <w:sz w:val="20"/>
              </w:rPr>
              <w:t>0 key events</w:t>
            </w:r>
          </w:p>
        </w:tc>
      </w:tr>
      <w:tr w:rsidR="00113126" w14:paraId="6E455F4F" w14:textId="77777777">
        <w:trPr>
          <w:jc w:val="center"/>
        </w:trPr>
        <w:tc>
          <w:tcPr>
            <w:tcW w:w="2736" w:type="dxa"/>
          </w:tcPr>
          <w:p w14:paraId="45C384EB" w14:textId="77777777" w:rsidR="00113126" w:rsidRDefault="00000000">
            <w:pPr>
              <w:spacing w:before="60" w:after="60"/>
            </w:pPr>
            <w:r>
              <w:rPr>
                <w:sz w:val="20"/>
              </w:rPr>
              <w:t>Whole property, all sources</w:t>
            </w:r>
          </w:p>
        </w:tc>
        <w:tc>
          <w:tcPr>
            <w:tcW w:w="3456" w:type="dxa"/>
          </w:tcPr>
          <w:p w14:paraId="78CF14F1" w14:textId="77777777" w:rsidR="00113126" w:rsidRDefault="00000000">
            <w:pPr>
              <w:spacing w:before="60" w:after="60"/>
            </w:pPr>
            <w:r>
              <w:rPr>
                <w:sz w:val="20"/>
              </w:rPr>
              <w:t>key events on nearly every session</w:t>
            </w:r>
          </w:p>
        </w:tc>
        <w:tc>
          <w:tcPr>
            <w:tcW w:w="3456" w:type="dxa"/>
          </w:tcPr>
          <w:p w14:paraId="3B635F22" w14:textId="77777777" w:rsidR="00113126" w:rsidRDefault="00000000">
            <w:pPr>
              <w:spacing w:before="60" w:after="60"/>
            </w:pPr>
            <w:r>
              <w:rPr>
                <w:b/>
                <w:color w:val="C00000"/>
                <w:sz w:val="20"/>
              </w:rPr>
              <w:t>~14 key events, all month</w:t>
            </w:r>
          </w:p>
        </w:tc>
      </w:tr>
    </w:tbl>
    <w:p w14:paraId="7666503C" w14:textId="77777777" w:rsidR="00113126" w:rsidRDefault="00000000">
      <w:pPr>
        <w:spacing w:before="160"/>
      </w:pPr>
      <w:r>
        <w:rPr>
          <w:b/>
          <w:color w:val="595959"/>
          <w:sz w:val="19"/>
        </w:rPr>
        <w:t xml:space="preserve">A note on reading the US column: </w:t>
      </w:r>
      <w:r>
        <w:rPr>
          <w:color w:val="595959"/>
          <w:sz w:val="19"/>
        </w:rPr>
        <w:t>the key event configured there is broad and fires on almost every session, so those figures are not application counts. The comparison to hold is at the property level. Key-event tracking on the US property is configured and firing. On the LAT property it records zero for every paid channel.</w:t>
      </w:r>
    </w:p>
    <w:p w14:paraId="4E20F546" w14:textId="77777777" w:rsidR="00113126" w:rsidRDefault="00000000">
      <w:pPr>
        <w:pBdr>
          <w:bottom w:val="single" w:sz="6" w:space="2" w:color="BFCADE"/>
        </w:pBdr>
        <w:spacing w:before="280" w:after="100"/>
      </w:pPr>
      <w:r>
        <w:rPr>
          <w:b/>
          <w:color w:val="1F3864"/>
          <w:sz w:val="26"/>
        </w:rPr>
        <w:t>What works and what does not on Forex LAT</w:t>
      </w:r>
    </w:p>
    <w:p w14:paraId="616E526C" w14:textId="77777777" w:rsidR="00113126" w:rsidRDefault="00000000">
      <w:pPr>
        <w:pStyle w:val="ListNumber"/>
        <w:spacing w:after="80"/>
      </w:pPr>
      <w:r>
        <w:t xml:space="preserve">GA4 pageview and session tagging: </w:t>
      </w:r>
      <w:r>
        <w:rPr>
          <w:b/>
        </w:rPr>
        <w:t xml:space="preserve">working. </w:t>
      </w:r>
      <w:r>
        <w:t>Meta alone drove 1,745 measured sessions in June.</w:t>
      </w:r>
    </w:p>
    <w:p w14:paraId="605CEAD3" w14:textId="77777777" w:rsidR="00113126" w:rsidRDefault="00000000">
      <w:pPr>
        <w:pStyle w:val="ListNumber"/>
        <w:spacing w:after="80"/>
      </w:pPr>
      <w:r>
        <w:t xml:space="preserve">GA4 key-event / conversion layer: </w:t>
      </w:r>
      <w:r>
        <w:rPr>
          <w:b/>
        </w:rPr>
        <w:t xml:space="preserve">capturing zero paid applications on any channel. </w:t>
      </w:r>
      <w:r>
        <w:t>This is the gap.</w:t>
      </w:r>
    </w:p>
    <w:p w14:paraId="67A98893" w14:textId="77777777" w:rsidR="00113126" w:rsidRDefault="00000000">
      <w:pPr>
        <w:pBdr>
          <w:bottom w:val="single" w:sz="6" w:space="2" w:color="BFCADE"/>
        </w:pBdr>
        <w:spacing w:before="280" w:after="100"/>
      </w:pPr>
      <w:r>
        <w:rPr>
          <w:b/>
          <w:color w:val="1F3864"/>
          <w:sz w:val="26"/>
        </w:rPr>
        <w:t>Impact on reporting</w:t>
      </w:r>
    </w:p>
    <w:p w14:paraId="6DE96D21" w14:textId="77777777" w:rsidR="00113126" w:rsidRDefault="00000000">
      <w:r>
        <w:t>June reporting is unaffected. Conversion figures in the June review come from SA360 offline import and vendor reporting, and GA4 serves only as the traffic and session source, which works on both properties. The gap does cost us GA4-side conversion visibility for LATAM going forward until the property is fixed.</w:t>
      </w:r>
    </w:p>
    <w:p w14:paraId="2F0C8340" w14:textId="77777777" w:rsidR="00113126" w:rsidRDefault="00000000">
      <w:r>
        <w:br w:type="page"/>
      </w:r>
    </w:p>
    <w:p w14:paraId="0E13F642" w14:textId="77777777" w:rsidR="00113126" w:rsidRDefault="00000000">
      <w:pPr>
        <w:pBdr>
          <w:bottom w:val="single" w:sz="6" w:space="2" w:color="BFCADE"/>
        </w:pBdr>
        <w:spacing w:after="100"/>
      </w:pPr>
      <w:r>
        <w:rPr>
          <w:b/>
          <w:color w:val="1F3864"/>
          <w:sz w:val="26"/>
        </w:rPr>
        <w:lastRenderedPageBreak/>
        <w:t>The live application events are already firing on Forex LAT</w:t>
      </w:r>
    </w:p>
    <w:p w14:paraId="2EDB0ACF" w14:textId="77777777" w:rsidR="00113126" w:rsidRDefault="00000000">
      <w:r>
        <w:t>The event layer needs no new tagging. The live application events exist and recorded the following in June 2026 on the LAT property:</w:t>
      </w:r>
    </w:p>
    <w:tbl>
      <w:tblPr>
        <w:tblStyle w:val="TableGrid"/>
        <w:tblW w:w="0" w:type="auto"/>
        <w:jc w:val="center"/>
        <w:tblLook w:val="04A0" w:firstRow="1" w:lastRow="0" w:firstColumn="1" w:lastColumn="0" w:noHBand="0" w:noVBand="1"/>
      </w:tblPr>
      <w:tblGrid>
        <w:gridCol w:w="3167"/>
        <w:gridCol w:w="2301"/>
        <w:gridCol w:w="4170"/>
      </w:tblGrid>
      <w:tr w:rsidR="00113126" w14:paraId="236822A4" w14:textId="77777777">
        <w:trPr>
          <w:jc w:val="center"/>
        </w:trPr>
        <w:tc>
          <w:tcPr>
            <w:tcW w:w="3168" w:type="dxa"/>
            <w:shd w:val="clear" w:color="auto" w:fill="1F3864"/>
          </w:tcPr>
          <w:p w14:paraId="243A6FF5" w14:textId="77777777" w:rsidR="00113126" w:rsidRDefault="00000000">
            <w:pPr>
              <w:spacing w:before="60" w:after="60"/>
            </w:pPr>
            <w:r>
              <w:rPr>
                <w:b/>
                <w:color w:val="FFFFFF"/>
                <w:sz w:val="20"/>
              </w:rPr>
              <w:t>Event</w:t>
            </w:r>
          </w:p>
        </w:tc>
        <w:tc>
          <w:tcPr>
            <w:tcW w:w="2304" w:type="dxa"/>
            <w:shd w:val="clear" w:color="auto" w:fill="1F3864"/>
          </w:tcPr>
          <w:p w14:paraId="70E5CBCA" w14:textId="77777777" w:rsidR="00113126" w:rsidRDefault="00000000">
            <w:pPr>
              <w:spacing w:before="60" w:after="60"/>
            </w:pPr>
            <w:r>
              <w:rPr>
                <w:b/>
                <w:color w:val="FFFFFF"/>
                <w:sz w:val="20"/>
              </w:rPr>
              <w:t>June 2026 count</w:t>
            </w:r>
          </w:p>
        </w:tc>
        <w:tc>
          <w:tcPr>
            <w:tcW w:w="4176" w:type="dxa"/>
            <w:shd w:val="clear" w:color="auto" w:fill="1F3864"/>
          </w:tcPr>
          <w:p w14:paraId="3AC7F0A8" w14:textId="77777777" w:rsidR="00113126" w:rsidRDefault="00000000">
            <w:pPr>
              <w:spacing w:before="60" w:after="60"/>
            </w:pPr>
            <w:r>
              <w:rPr>
                <w:b/>
                <w:color w:val="FFFFFF"/>
                <w:sz w:val="20"/>
              </w:rPr>
              <w:t>Meaning</w:t>
            </w:r>
          </w:p>
        </w:tc>
      </w:tr>
      <w:tr w:rsidR="00113126" w14:paraId="2C3C8E00" w14:textId="77777777">
        <w:trPr>
          <w:jc w:val="center"/>
        </w:trPr>
        <w:tc>
          <w:tcPr>
            <w:tcW w:w="3168" w:type="dxa"/>
          </w:tcPr>
          <w:p w14:paraId="6D05BD99" w14:textId="77777777" w:rsidR="00113126" w:rsidRDefault="00000000">
            <w:pPr>
              <w:spacing w:before="60" w:after="60"/>
            </w:pPr>
            <w:r>
              <w:rPr>
                <w:rFonts w:ascii="Consolas" w:hAnsi="Consolas"/>
                <w:b/>
                <w:sz w:val="19"/>
              </w:rPr>
              <w:t>live_start</w:t>
            </w:r>
          </w:p>
        </w:tc>
        <w:tc>
          <w:tcPr>
            <w:tcW w:w="2304" w:type="dxa"/>
          </w:tcPr>
          <w:p w14:paraId="1047967D" w14:textId="77777777" w:rsidR="00113126" w:rsidRDefault="00000000">
            <w:pPr>
              <w:spacing w:before="60" w:after="60"/>
            </w:pPr>
            <w:r>
              <w:rPr>
                <w:b/>
                <w:sz w:val="20"/>
              </w:rPr>
              <w:t>4,990</w:t>
            </w:r>
          </w:p>
        </w:tc>
        <w:tc>
          <w:tcPr>
            <w:tcW w:w="4176" w:type="dxa"/>
          </w:tcPr>
          <w:p w14:paraId="2564EF49" w14:textId="77777777" w:rsidR="00113126" w:rsidRDefault="00000000">
            <w:pPr>
              <w:spacing w:before="60" w:after="60"/>
            </w:pPr>
            <w:r>
              <w:rPr>
                <w:sz w:val="20"/>
              </w:rPr>
              <w:t>live application started</w:t>
            </w:r>
          </w:p>
        </w:tc>
      </w:tr>
      <w:tr w:rsidR="00113126" w14:paraId="4BD4542A" w14:textId="77777777">
        <w:trPr>
          <w:jc w:val="center"/>
        </w:trPr>
        <w:tc>
          <w:tcPr>
            <w:tcW w:w="3168" w:type="dxa"/>
            <w:shd w:val="clear" w:color="auto" w:fill="EDF1F7"/>
          </w:tcPr>
          <w:p w14:paraId="2A205E9B" w14:textId="77777777" w:rsidR="00113126" w:rsidRDefault="00000000">
            <w:pPr>
              <w:spacing w:before="60" w:after="60"/>
            </w:pPr>
            <w:r>
              <w:rPr>
                <w:rFonts w:ascii="Consolas" w:hAnsi="Consolas"/>
                <w:b/>
                <w:sz w:val="19"/>
              </w:rPr>
              <w:t>live_confirmation</w:t>
            </w:r>
          </w:p>
        </w:tc>
        <w:tc>
          <w:tcPr>
            <w:tcW w:w="2304" w:type="dxa"/>
            <w:shd w:val="clear" w:color="auto" w:fill="EDF1F7"/>
          </w:tcPr>
          <w:p w14:paraId="36DA3A86" w14:textId="77777777" w:rsidR="00113126" w:rsidRDefault="00000000">
            <w:pPr>
              <w:spacing w:before="60" w:after="60"/>
            </w:pPr>
            <w:r>
              <w:rPr>
                <w:b/>
                <w:sz w:val="20"/>
              </w:rPr>
              <w:t>660</w:t>
            </w:r>
          </w:p>
        </w:tc>
        <w:tc>
          <w:tcPr>
            <w:tcW w:w="4176" w:type="dxa"/>
            <w:shd w:val="clear" w:color="auto" w:fill="EDF1F7"/>
          </w:tcPr>
          <w:p w14:paraId="6D03F4D4" w14:textId="77777777" w:rsidR="00113126" w:rsidRDefault="00000000">
            <w:pPr>
              <w:spacing w:before="60" w:after="60"/>
            </w:pPr>
            <w:r>
              <w:rPr>
                <w:sz w:val="20"/>
              </w:rPr>
              <w:t>live application confirmed</w:t>
            </w:r>
          </w:p>
        </w:tc>
      </w:tr>
      <w:tr w:rsidR="00113126" w14:paraId="3B8756BB" w14:textId="77777777">
        <w:trPr>
          <w:jc w:val="center"/>
        </w:trPr>
        <w:tc>
          <w:tcPr>
            <w:tcW w:w="3168" w:type="dxa"/>
          </w:tcPr>
          <w:p w14:paraId="2BAD9F5C" w14:textId="77777777" w:rsidR="00113126" w:rsidRDefault="00000000">
            <w:pPr>
              <w:spacing w:before="60" w:after="60"/>
            </w:pPr>
            <w:r>
              <w:rPr>
                <w:rFonts w:ascii="Consolas" w:hAnsi="Consolas"/>
                <w:sz w:val="19"/>
              </w:rPr>
              <w:t>live_confirmation_g2</w:t>
            </w:r>
          </w:p>
        </w:tc>
        <w:tc>
          <w:tcPr>
            <w:tcW w:w="2304" w:type="dxa"/>
          </w:tcPr>
          <w:p w14:paraId="3EC74691" w14:textId="77777777" w:rsidR="00113126" w:rsidRDefault="00000000">
            <w:pPr>
              <w:spacing w:before="60" w:after="60"/>
            </w:pPr>
            <w:r>
              <w:rPr>
                <w:sz w:val="20"/>
              </w:rPr>
              <w:t>540</w:t>
            </w:r>
          </w:p>
        </w:tc>
        <w:tc>
          <w:tcPr>
            <w:tcW w:w="4176" w:type="dxa"/>
          </w:tcPr>
          <w:p w14:paraId="7DEB00B7" w14:textId="77777777" w:rsidR="00113126" w:rsidRDefault="00000000">
            <w:pPr>
              <w:spacing w:before="60" w:after="60"/>
            </w:pPr>
            <w:r>
              <w:rPr>
                <w:sz w:val="20"/>
              </w:rPr>
              <w:t>confirmed, G2 platform</w:t>
            </w:r>
          </w:p>
        </w:tc>
      </w:tr>
      <w:tr w:rsidR="00113126" w14:paraId="75E7F373" w14:textId="77777777">
        <w:trPr>
          <w:jc w:val="center"/>
        </w:trPr>
        <w:tc>
          <w:tcPr>
            <w:tcW w:w="3168" w:type="dxa"/>
            <w:shd w:val="clear" w:color="auto" w:fill="EDF1F7"/>
          </w:tcPr>
          <w:p w14:paraId="52170D23" w14:textId="77777777" w:rsidR="00113126" w:rsidRDefault="00000000">
            <w:pPr>
              <w:spacing w:before="60" w:after="60"/>
            </w:pPr>
            <w:r>
              <w:rPr>
                <w:rFonts w:ascii="Consolas" w:hAnsi="Consolas"/>
                <w:sz w:val="19"/>
              </w:rPr>
              <w:t>live_confirmation_mt5</w:t>
            </w:r>
          </w:p>
        </w:tc>
        <w:tc>
          <w:tcPr>
            <w:tcW w:w="2304" w:type="dxa"/>
            <w:shd w:val="clear" w:color="auto" w:fill="EDF1F7"/>
          </w:tcPr>
          <w:p w14:paraId="595FE350" w14:textId="77777777" w:rsidR="00113126" w:rsidRDefault="00000000">
            <w:pPr>
              <w:spacing w:before="60" w:after="60"/>
            </w:pPr>
            <w:r>
              <w:rPr>
                <w:sz w:val="20"/>
              </w:rPr>
              <w:t>117</w:t>
            </w:r>
          </w:p>
        </w:tc>
        <w:tc>
          <w:tcPr>
            <w:tcW w:w="4176" w:type="dxa"/>
            <w:shd w:val="clear" w:color="auto" w:fill="EDF1F7"/>
          </w:tcPr>
          <w:p w14:paraId="4EA0479B" w14:textId="77777777" w:rsidR="00113126" w:rsidRDefault="00000000">
            <w:pPr>
              <w:spacing w:before="60" w:after="60"/>
            </w:pPr>
            <w:r>
              <w:rPr>
                <w:sz w:val="20"/>
              </w:rPr>
              <w:t>confirmed, MT5</w:t>
            </w:r>
          </w:p>
        </w:tc>
      </w:tr>
      <w:tr w:rsidR="00113126" w14:paraId="27B42D9D" w14:textId="77777777">
        <w:trPr>
          <w:jc w:val="center"/>
        </w:trPr>
        <w:tc>
          <w:tcPr>
            <w:tcW w:w="3168" w:type="dxa"/>
          </w:tcPr>
          <w:p w14:paraId="5E73836D" w14:textId="77777777" w:rsidR="00113126" w:rsidRDefault="00000000">
            <w:pPr>
              <w:spacing w:before="60" w:after="60"/>
            </w:pPr>
            <w:r>
              <w:rPr>
                <w:rFonts w:ascii="Consolas" w:hAnsi="Consolas"/>
                <w:sz w:val="19"/>
              </w:rPr>
              <w:t>live_confirmation_mt4</w:t>
            </w:r>
          </w:p>
        </w:tc>
        <w:tc>
          <w:tcPr>
            <w:tcW w:w="2304" w:type="dxa"/>
          </w:tcPr>
          <w:p w14:paraId="1085E828" w14:textId="77777777" w:rsidR="00113126" w:rsidRDefault="00000000">
            <w:pPr>
              <w:spacing w:before="60" w:after="60"/>
            </w:pPr>
            <w:r>
              <w:rPr>
                <w:sz w:val="20"/>
              </w:rPr>
              <w:t>4</w:t>
            </w:r>
          </w:p>
        </w:tc>
        <w:tc>
          <w:tcPr>
            <w:tcW w:w="4176" w:type="dxa"/>
          </w:tcPr>
          <w:p w14:paraId="7C280E29" w14:textId="77777777" w:rsidR="00113126" w:rsidRDefault="00000000">
            <w:pPr>
              <w:spacing w:before="60" w:after="60"/>
            </w:pPr>
            <w:r>
              <w:rPr>
                <w:sz w:val="20"/>
              </w:rPr>
              <w:t>confirmed, MT4</w:t>
            </w:r>
          </w:p>
        </w:tc>
      </w:tr>
    </w:tbl>
    <w:p w14:paraId="4646971B" w14:textId="77777777" w:rsidR="00113126" w:rsidRDefault="00000000">
      <w:pPr>
        <w:spacing w:before="160"/>
      </w:pPr>
      <w:r>
        <w:t>The platform events sum to live_confirmation (540 + 117 + 4), so live_confirmation is the parent and the platform events are its breakdown.</w:t>
      </w:r>
    </w:p>
    <w:p w14:paraId="1D1FD40E" w14:textId="77777777" w:rsidR="00113126" w:rsidRDefault="00000000">
      <w:pPr>
        <w:pBdr>
          <w:bottom w:val="single" w:sz="6" w:space="2" w:color="BFCADE"/>
        </w:pBdr>
        <w:spacing w:before="280" w:after="100"/>
      </w:pPr>
      <w:r>
        <w:rPr>
          <w:b/>
          <w:color w:val="1F3864"/>
          <w:sz w:val="26"/>
        </w:rPr>
        <w:t>Requested fix</w:t>
      </w:r>
    </w:p>
    <w:p w14:paraId="6916F07B" w14:textId="59FE4E93" w:rsidR="00113126" w:rsidRDefault="00000000">
      <w:r>
        <w:t>The GA4 property configuration</w:t>
      </w:r>
      <w:r w:rsidR="00DA6FA5">
        <w:t>, t</w:t>
      </w:r>
      <w:r>
        <w:t>wo items, both in GA4 Admin:</w:t>
      </w:r>
    </w:p>
    <w:p w14:paraId="30147EE5" w14:textId="77777777" w:rsidR="00113126" w:rsidRDefault="00000000">
      <w:pPr>
        <w:pStyle w:val="ListNumber2"/>
        <w:spacing w:after="80"/>
      </w:pPr>
      <w:r>
        <w:t>Mark live_confirmation and live_start as key events on the Forex LAT property (508849216). Leave the platform-specific events (g2 / mt5 / mt4) unmarked to avoid double counting; they remain available as the platform breakdown.</w:t>
      </w:r>
    </w:p>
    <w:p w14:paraId="1D54D35C" w14:textId="77777777" w:rsidR="00113126" w:rsidRDefault="00000000">
      <w:pPr>
        <w:pStyle w:val="ListNumber2"/>
        <w:spacing w:after="80"/>
      </w:pPr>
      <w:r>
        <w:t>Link the SA360 account to the Forex LAT property. In June, 2,448 of 4,990 live_start events (about 49%) carried the source "(unlinked SA360 account)", so this link materially improves attribution on the application funnel.</w:t>
      </w:r>
    </w:p>
    <w:p w14:paraId="5A3D44CA" w14:textId="5867D491" w:rsidR="00113126" w:rsidRDefault="00DA6FA5">
      <w:r>
        <w:t xml:space="preserve">We </w:t>
      </w:r>
      <w:r w:rsidR="00000000">
        <w:t>will QA both changes from the reporting side as soon as they land.</w:t>
      </w:r>
    </w:p>
    <w:p w14:paraId="7B84E773" w14:textId="77777777" w:rsidR="00113126" w:rsidRDefault="00000000">
      <w:pPr>
        <w:pBdr>
          <w:bottom w:val="single" w:sz="6" w:space="2" w:color="BFCADE"/>
        </w:pBdr>
        <w:spacing w:before="280" w:after="100"/>
      </w:pPr>
      <w:r>
        <w:rPr>
          <w:b/>
          <w:color w:val="1F3864"/>
          <w:sz w:val="26"/>
        </w:rPr>
        <w:t>How to reproduce</w:t>
      </w:r>
    </w:p>
    <w:p w14:paraId="34B02076" w14:textId="1224AAE6" w:rsidR="00113126" w:rsidRDefault="00DA6FA5">
      <w:r>
        <w:rPr>
          <w:rFonts w:ascii="Consolas" w:hAnsi="Consolas"/>
        </w:rPr>
        <w:t>R</w:t>
      </w:r>
      <w:r w:rsidR="00000000">
        <w:rPr>
          <w:rFonts w:ascii="Consolas" w:hAnsi="Consolas"/>
        </w:rPr>
        <w:t>un</w:t>
      </w:r>
      <w:r>
        <w:rPr>
          <w:rFonts w:ascii="Consolas" w:hAnsi="Consolas"/>
        </w:rPr>
        <w:t xml:space="preserve"> </w:t>
      </w:r>
      <w:r w:rsidR="00000000">
        <w:rPr>
          <w:rFonts w:ascii="Consolas" w:hAnsi="Consolas"/>
        </w:rPr>
        <w:t>Report</w:t>
      </w:r>
      <w:r w:rsidR="00000000">
        <w:t xml:space="preserve"> on properties 508849216 (LAT) and 325353267 (US), date range 2026-06-01 to 2026-06-30, dimension </w:t>
      </w:r>
      <w:r w:rsidR="00000000">
        <w:rPr>
          <w:rFonts w:ascii="Consolas" w:hAnsi="Consolas"/>
        </w:rPr>
        <w:t>sessionSourceMedium</w:t>
      </w:r>
      <w:r w:rsidR="00000000">
        <w:t xml:space="preserve">, metrics </w:t>
      </w:r>
      <w:r w:rsidR="00000000">
        <w:rPr>
          <w:rFonts w:ascii="Consolas" w:hAnsi="Consolas"/>
        </w:rPr>
        <w:t>sessions</w:t>
      </w:r>
      <w:r w:rsidR="00000000">
        <w:t xml:space="preserve"> and </w:t>
      </w:r>
      <w:r w:rsidR="00000000">
        <w:rPr>
          <w:rFonts w:ascii="Consolas" w:hAnsi="Consolas"/>
        </w:rPr>
        <w:t>keyEvents</w:t>
      </w:r>
      <w:r w:rsidR="00000000">
        <w:t xml:space="preserve">. </w:t>
      </w:r>
    </w:p>
    <w:sectPr w:rsidR="00113126"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157379">
    <w:abstractNumId w:val="8"/>
  </w:num>
  <w:num w:numId="2" w16cid:durableId="2004972033">
    <w:abstractNumId w:val="6"/>
  </w:num>
  <w:num w:numId="3" w16cid:durableId="21828679">
    <w:abstractNumId w:val="5"/>
  </w:num>
  <w:num w:numId="4" w16cid:durableId="1288705372">
    <w:abstractNumId w:val="4"/>
  </w:num>
  <w:num w:numId="5" w16cid:durableId="57944271">
    <w:abstractNumId w:val="7"/>
  </w:num>
  <w:num w:numId="6" w16cid:durableId="296491114">
    <w:abstractNumId w:val="3"/>
  </w:num>
  <w:num w:numId="7" w16cid:durableId="2031107348">
    <w:abstractNumId w:val="2"/>
  </w:num>
  <w:num w:numId="8" w16cid:durableId="551311728">
    <w:abstractNumId w:val="1"/>
  </w:num>
  <w:num w:numId="9" w16cid:durableId="130700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05A"/>
    <w:rsid w:val="0006063C"/>
    <w:rsid w:val="00113126"/>
    <w:rsid w:val="0015074B"/>
    <w:rsid w:val="0029639D"/>
    <w:rsid w:val="00326F90"/>
    <w:rsid w:val="00AA1D8D"/>
    <w:rsid w:val="00B47730"/>
    <w:rsid w:val="00CB0664"/>
    <w:rsid w:val="00DA6F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9ED84"/>
  <w14:defaultImageDpi w14:val="300"/>
  <w15:docId w15:val="{FE132D73-75B1-FB4B-A440-ACC4C2ADF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262626"/>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Renzo Proano</cp:lastModifiedBy>
  <cp:revision>2</cp:revision>
  <dcterms:created xsi:type="dcterms:W3CDTF">2026-07-30T15:21:00Z</dcterms:created>
  <dcterms:modified xsi:type="dcterms:W3CDTF">2026-07-30T15:21:00Z</dcterms:modified>
  <cp:category/>
</cp:coreProperties>
</file>