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C5A" w:rsidRDefault="00FE07E5">
      <w:pPr>
        <w:spacing w:after="611"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1371600</wp:posOffset>
                </wp:positionH>
                <wp:positionV relativeFrom="paragraph">
                  <wp:posOffset>1292541</wp:posOffset>
                </wp:positionV>
                <wp:extent cx="4114800" cy="6350"/>
                <wp:effectExtent l="0" t="0" r="0" b="0"/>
                <wp:wrapNone/>
                <wp:docPr id="2040" name="Group 2040"/>
                <wp:cNvGraphicFramePr/>
                <a:graphic xmlns:a="http://schemas.openxmlformats.org/drawingml/2006/main">
                  <a:graphicData uri="http://schemas.microsoft.com/office/word/2010/wordprocessingGroup">
                    <wpg:wgp>
                      <wpg:cNvGrpSpPr/>
                      <wpg:grpSpPr>
                        <a:xfrm>
                          <a:off x="0" y="0"/>
                          <a:ext cx="4114800" cy="6350"/>
                          <a:chOff x="0" y="0"/>
                          <a:chExt cx="4114800" cy="6350"/>
                        </a:xfrm>
                      </wpg:grpSpPr>
                      <wps:wsp>
                        <wps:cNvPr id="7" name="Shape 7"/>
                        <wps:cNvSpPr/>
                        <wps:spPr>
                          <a:xfrm>
                            <a:off x="0" y="0"/>
                            <a:ext cx="4114800" cy="0"/>
                          </a:xfrm>
                          <a:custGeom>
                            <a:avLst/>
                            <a:gdLst/>
                            <a:ahLst/>
                            <a:cxnLst/>
                            <a:rect l="0" t="0" r="0" b="0"/>
                            <a:pathLst>
                              <a:path w="4114800">
                                <a:moveTo>
                                  <a:pt x="0" y="0"/>
                                </a:moveTo>
                                <a:lnTo>
                                  <a:pt x="4114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0" style="width:324pt;height:0.5pt;position:absolute;z-index:2;mso-position-horizontal-relative:text;mso-position-horizontal:absolute;margin-left:108pt;mso-position-vertical-relative:text;margin-top:101.775pt;" coordsize="41148,63">
                <v:shape id="Shape 7" style="position:absolute;width:41148;height:0;left:0;top:0;" coordsize="4114800,0" path="m0,0l4114800,0">
                  <v:stroke weight="0.5pt" endcap="flat" joinstyle="miter" miterlimit="10" on="true" color="#181717"/>
                  <v:fill on="false" color="#000000" opacity="0"/>
                </v:shape>
              </v:group>
            </w:pict>
          </mc:Fallback>
        </mc:AlternateContent>
      </w:r>
      <w:r>
        <w:rPr>
          <w:rFonts w:ascii="Calibri" w:eastAsia="Calibri" w:hAnsi="Calibri" w:cs="Calibri"/>
          <w:sz w:val="46"/>
        </w:rPr>
        <w:t xml:space="preserve"> Appendix </w:t>
      </w:r>
      <w:r>
        <w:rPr>
          <w:rFonts w:ascii="Calibri" w:eastAsia="Calibri" w:hAnsi="Calibri" w:cs="Calibri"/>
          <w:color w:val="E72582"/>
          <w:sz w:val="240"/>
        </w:rPr>
        <w:t xml:space="preserve">A </w:t>
      </w:r>
    </w:p>
    <w:p w:rsidR="00FB5C5A" w:rsidRDefault="00FE07E5">
      <w:pPr>
        <w:spacing w:before="451" w:after="0" w:line="259" w:lineRule="auto"/>
        <w:ind w:left="10" w:right="237"/>
        <w:jc w:val="center"/>
      </w:pPr>
      <w:r>
        <w:rPr>
          <w:rFonts w:ascii="Calibri" w:eastAsia="Calibri" w:hAnsi="Calibri" w:cs="Calibri"/>
          <w:sz w:val="70"/>
        </w:rPr>
        <w:t xml:space="preserve">Term Project: </w:t>
      </w:r>
    </w:p>
    <w:p w:rsidR="00FB5C5A" w:rsidRDefault="00FE07E5">
      <w:pPr>
        <w:pStyle w:val="Heading1"/>
        <w:spacing w:before="0" w:after="39"/>
        <w:ind w:right="543"/>
      </w:pPr>
      <w:r>
        <w:t xml:space="preserve">Chocoholics Anonymous </w:t>
      </w:r>
    </w:p>
    <w:p w:rsidR="00FB5C5A" w:rsidRDefault="00FE07E5">
      <w:pPr>
        <w:spacing w:after="0"/>
        <w:ind w:right="0"/>
      </w:pPr>
      <w:r>
        <w:t xml:space="preserve">Chocoholics Anonymous (ChocAn) is an organization dedicated to helping people addicted to chocolate in all its glorious forms. Members pay a monthly fee to ChocAn. For this </w:t>
      </w:r>
      <w:proofErr w:type="gramStart"/>
      <w:r>
        <w:t>fee</w:t>
      </w:r>
      <w:proofErr w:type="gramEnd"/>
      <w:r>
        <w:t xml:space="preserve"> they are entitled to unlimited consultations and treatments with health care pr</w:t>
      </w:r>
      <w:r>
        <w:t xml:space="preserve">ofessionals, namely, dietitians, internists, and exercise experts. </w:t>
      </w:r>
      <w:r w:rsidRPr="00A10C4B">
        <w:rPr>
          <w:highlight w:val="yellow"/>
        </w:rPr>
        <w:t>Every member is given a plastic card embossed with the member’s name and a nine-digit member number and incorporating a magnetic strip on which that information is encoded</w:t>
      </w:r>
      <w:r>
        <w:t>. Each health care</w:t>
      </w:r>
      <w:r>
        <w:t xml:space="preserve"> professional (</w:t>
      </w:r>
      <w:r w:rsidRPr="00A10C4B">
        <w:rPr>
          <w:i/>
          <w:highlight w:val="red"/>
        </w:rPr>
        <w:t>provider</w:t>
      </w:r>
      <w:r>
        <w:t xml:space="preserve">) who provides services to ChocAn members has a specially designed ChocAn computer terminal, similar to a credit card device in a shop. </w:t>
      </w:r>
      <w:r w:rsidRPr="00A10C4B">
        <w:rPr>
          <w:highlight w:val="yellow"/>
        </w:rPr>
        <w:t xml:space="preserve">When a </w:t>
      </w:r>
      <w:r w:rsidRPr="00406E0C">
        <w:rPr>
          <w:color w:val="000000" w:themeColor="text1"/>
          <w:highlight w:val="darkGray"/>
        </w:rPr>
        <w:t>provider’s</w:t>
      </w:r>
      <w:r w:rsidRPr="00406E0C">
        <w:rPr>
          <w:color w:val="000000" w:themeColor="text1"/>
          <w:highlight w:val="darkGray"/>
        </w:rPr>
        <w:t xml:space="preserve"> </w:t>
      </w:r>
      <w:r w:rsidRPr="00A10C4B">
        <w:rPr>
          <w:highlight w:val="yellow"/>
        </w:rPr>
        <w:t>terminal is switched on, the provider is asked to enter his or her provider num</w:t>
      </w:r>
      <w:r w:rsidRPr="00A10C4B">
        <w:rPr>
          <w:highlight w:val="yellow"/>
        </w:rPr>
        <w:t>ber.</w:t>
      </w:r>
      <w:r>
        <w:t xml:space="preserve"> </w:t>
      </w:r>
    </w:p>
    <w:p w:rsidR="00FB5C5A" w:rsidRDefault="00FE07E5">
      <w:pPr>
        <w:spacing w:after="69"/>
        <w:ind w:right="0"/>
      </w:pPr>
      <w:r>
        <w:t xml:space="preserve">  To receive health care services from ChocAn, the member hands his or her card to the provider, who slides the card through the card reader on the </w:t>
      </w:r>
      <w:r w:rsidRPr="00A10C4B">
        <w:rPr>
          <w:highlight w:val="red"/>
        </w:rPr>
        <w:t>terminal</w:t>
      </w:r>
      <w:r>
        <w:t>. The terminal then dials the ChocAn Data Center, and the Cho</w:t>
      </w:r>
      <w:r w:rsidR="00A10C4B">
        <w:t>cAn Data Center computer verifi</w:t>
      </w:r>
      <w:r>
        <w:t>e</w:t>
      </w:r>
      <w:r>
        <w:t xml:space="preserve">s the member number. </w:t>
      </w:r>
      <w:r w:rsidRPr="00A10C4B">
        <w:rPr>
          <w:highlight w:val="yellow"/>
        </w:rPr>
        <w:t xml:space="preserve">If the number is valid, the word </w:t>
      </w:r>
      <w:r w:rsidRPr="00A10C4B">
        <w:rPr>
          <w:rFonts w:ascii="Calibri" w:eastAsia="Calibri" w:hAnsi="Calibri" w:cs="Calibri"/>
          <w:highlight w:val="yellow"/>
        </w:rPr>
        <w:t>Validated</w:t>
      </w:r>
      <w:r w:rsidRPr="00A10C4B">
        <w:rPr>
          <w:highlight w:val="yellow"/>
        </w:rPr>
        <w:t xml:space="preserve"> appears on the one-line display. If the number is not valid, the reason is displayed</w:t>
      </w:r>
      <w:r>
        <w:t xml:space="preserve">, such as </w:t>
      </w:r>
      <w:r>
        <w:rPr>
          <w:rFonts w:ascii="Calibri" w:eastAsia="Calibri" w:hAnsi="Calibri" w:cs="Calibri"/>
        </w:rPr>
        <w:t>Invalid number</w:t>
      </w:r>
      <w:r>
        <w:t xml:space="preserve"> or </w:t>
      </w:r>
      <w:r>
        <w:rPr>
          <w:rFonts w:ascii="Calibri" w:eastAsia="Calibri" w:hAnsi="Calibri" w:cs="Calibri"/>
        </w:rPr>
        <w:t>Member suspended</w:t>
      </w:r>
      <w:r>
        <w:t xml:space="preserve">; the latter message indicates that </w:t>
      </w:r>
      <w:r w:rsidRPr="00A10C4B">
        <w:rPr>
          <w:highlight w:val="red"/>
        </w:rPr>
        <w:t>fees</w:t>
      </w:r>
      <w:r>
        <w:t xml:space="preserve"> are owed (that is, the </w:t>
      </w:r>
      <w:r>
        <w:t xml:space="preserve">member has not paid membership fees for at least a month) and member status has been set to </w:t>
      </w:r>
      <w:r>
        <w:rPr>
          <w:rFonts w:ascii="Calibri" w:eastAsia="Calibri" w:hAnsi="Calibri" w:cs="Calibri"/>
        </w:rPr>
        <w:t>suspended</w:t>
      </w:r>
      <w:r w:rsidR="00A10C4B">
        <w:t>.  T</w:t>
      </w:r>
      <w:r>
        <w:t>o bill ChocAn after a health care service has been provided to the member, the provider again passes the card through the card reader or keys in the m</w:t>
      </w:r>
      <w:r>
        <w:t xml:space="preserve">ember number. </w:t>
      </w:r>
      <w:r w:rsidRPr="00A10C4B">
        <w:rPr>
          <w:highlight w:val="yellow"/>
        </w:rPr>
        <w:t xml:space="preserve">When the </w:t>
      </w:r>
      <w:r w:rsidRPr="00A10C4B">
        <w:rPr>
          <w:highlight w:val="yellow"/>
        </w:rPr>
        <w:lastRenderedPageBreak/>
        <w:t xml:space="preserve">word </w:t>
      </w:r>
      <w:r w:rsidRPr="00A10C4B">
        <w:rPr>
          <w:rFonts w:ascii="Calibri" w:eastAsia="Calibri" w:hAnsi="Calibri" w:cs="Calibri"/>
          <w:highlight w:val="yellow"/>
        </w:rPr>
        <w:t>Validated</w:t>
      </w:r>
      <w:r w:rsidRPr="00A10C4B">
        <w:rPr>
          <w:highlight w:val="yellow"/>
        </w:rPr>
        <w:t xml:space="preserve"> appears, the provider keys in the date the service was provided in the format </w:t>
      </w:r>
      <w:r w:rsidRPr="00A10C4B">
        <w:rPr>
          <w:rFonts w:ascii="Calibri" w:eastAsia="Calibri" w:hAnsi="Calibri" w:cs="Calibri"/>
          <w:highlight w:val="yellow"/>
        </w:rPr>
        <w:t>MM–DD–YYYY</w:t>
      </w:r>
      <w:r>
        <w:t xml:space="preserve">. The date of service is needed </w:t>
      </w:r>
      <w:r w:rsidR="00A10C4B">
        <w:t>because hardware or other diffi</w:t>
      </w:r>
      <w:r>
        <w:t>culties may have prevented the provider from billing ChocAn immedi</w:t>
      </w:r>
      <w:r>
        <w:t xml:space="preserve">ately after providing the service. </w:t>
      </w:r>
      <w:r w:rsidRPr="00A10C4B">
        <w:rPr>
          <w:highlight w:val="yellow"/>
        </w:rPr>
        <w:t>Next, the provider uses the</w:t>
      </w:r>
      <w:r>
        <w:t xml:space="preserve"> </w:t>
      </w:r>
      <w:r w:rsidRPr="00A10C4B">
        <w:rPr>
          <w:highlight w:val="red"/>
        </w:rPr>
        <w:t>Provider Directory</w:t>
      </w:r>
      <w:r>
        <w:t xml:space="preserve"> </w:t>
      </w:r>
      <w:r w:rsidRPr="00A10C4B">
        <w:rPr>
          <w:highlight w:val="yellow"/>
        </w:rPr>
        <w:t xml:space="preserve">to look up the appropriate six-digit </w:t>
      </w:r>
      <w:r w:rsidRPr="00F11979">
        <w:rPr>
          <w:highlight w:val="red"/>
        </w:rPr>
        <w:t xml:space="preserve">service code </w:t>
      </w:r>
      <w:r w:rsidRPr="00A10C4B">
        <w:rPr>
          <w:highlight w:val="yellow"/>
        </w:rPr>
        <w:t>corresponding to the service provided</w:t>
      </w:r>
      <w:r>
        <w:t>. For example, 598470 is the code for a session with a dietitian, whereas 883948 is the</w:t>
      </w:r>
      <w:r>
        <w:t xml:space="preserve"> code for an aerobics exercise session. The provider </w:t>
      </w:r>
    </w:p>
    <w:p w:rsidR="00FB5C5A" w:rsidRDefault="00FE07E5">
      <w:pPr>
        <w:spacing w:after="0" w:line="259" w:lineRule="auto"/>
        <w:ind w:left="0" w:firstLine="0"/>
        <w:jc w:val="right"/>
      </w:pPr>
      <w:r>
        <w:rPr>
          <w:rFonts w:ascii="Calibri" w:eastAsia="Calibri" w:hAnsi="Calibri" w:cs="Calibri"/>
          <w:b/>
          <w:color w:val="E72582"/>
          <w:sz w:val="16"/>
        </w:rPr>
        <w:t>627</w:t>
      </w:r>
    </w:p>
    <w:p w:rsidR="00FB5C5A" w:rsidRDefault="00FB5C5A">
      <w:pPr>
        <w:sectPr w:rsidR="00FB5C5A">
          <w:pgSz w:w="10138" w:h="13205"/>
          <w:pgMar w:top="1440" w:right="754" w:bottom="1440" w:left="741" w:header="720" w:footer="720" w:gutter="0"/>
          <w:cols w:space="720"/>
        </w:sectPr>
      </w:pPr>
    </w:p>
    <w:p w:rsidR="00FB5C5A" w:rsidRDefault="00FE07E5">
      <w:pPr>
        <w:spacing w:after="312" w:line="259" w:lineRule="auto"/>
        <w:ind w:left="0" w:right="0" w:firstLine="0"/>
        <w:jc w:val="left"/>
      </w:pPr>
      <w:proofErr w:type="gramStart"/>
      <w:r>
        <w:rPr>
          <w:rFonts w:ascii="Calibri" w:eastAsia="Calibri" w:hAnsi="Calibri" w:cs="Calibri"/>
          <w:b/>
          <w:color w:val="E72582"/>
          <w:sz w:val="16"/>
        </w:rPr>
        <w:lastRenderedPageBreak/>
        <w:t>628</w:t>
      </w:r>
      <w:r>
        <w:rPr>
          <w:rFonts w:ascii="Calibri" w:eastAsia="Calibri" w:hAnsi="Calibri" w:cs="Calibri"/>
          <w:sz w:val="16"/>
        </w:rPr>
        <w:t xml:space="preserve">  Appendix</w:t>
      </w:r>
      <w:proofErr w:type="gramEnd"/>
      <w:r>
        <w:rPr>
          <w:rFonts w:ascii="Calibri" w:eastAsia="Calibri" w:hAnsi="Calibri" w:cs="Calibri"/>
          <w:sz w:val="16"/>
        </w:rPr>
        <w:t xml:space="preserve"> A  </w:t>
      </w:r>
      <w:r>
        <w:rPr>
          <w:i/>
          <w:sz w:val="16"/>
        </w:rPr>
        <w:t>Term Project: Chocoholics Anonymous</w:t>
      </w:r>
    </w:p>
    <w:p w:rsidR="00FB5C5A" w:rsidRDefault="00FE07E5">
      <w:pPr>
        <w:spacing w:after="0"/>
        <w:ind w:right="0"/>
      </w:pPr>
      <w:r>
        <w:t xml:space="preserve">then keys in the service code. </w:t>
      </w:r>
      <w:r w:rsidRPr="00F11979">
        <w:rPr>
          <w:color w:val="auto"/>
          <w:highlight w:val="yellow"/>
        </w:rPr>
        <w:t>To check that the service code has been correctly looked up and keyed in, the software product then disp</w:t>
      </w:r>
      <w:r w:rsidRPr="00F11979">
        <w:rPr>
          <w:color w:val="auto"/>
          <w:highlight w:val="yellow"/>
        </w:rPr>
        <w:t>lays the name of the service corresponding to the code (up to 20 characters) and asks the provider to verify that this is indeed the service that was provided.</w:t>
      </w:r>
      <w:r w:rsidRPr="00F11979">
        <w:rPr>
          <w:color w:val="auto"/>
        </w:rPr>
        <w:t xml:space="preserve"> </w:t>
      </w:r>
      <w:r w:rsidRPr="00F11979">
        <w:rPr>
          <w:highlight w:val="yellow"/>
        </w:rPr>
        <w:t>If the provider has entered a nonexistent code, an error message is printed. The provider also c</w:t>
      </w:r>
      <w:r w:rsidRPr="00F11979">
        <w:rPr>
          <w:highlight w:val="yellow"/>
        </w:rPr>
        <w:t>an enter comments about the service provided.</w:t>
      </w:r>
      <w:r>
        <w:t xml:space="preserve"> </w:t>
      </w:r>
    </w:p>
    <w:p w:rsidR="00FB5C5A" w:rsidRDefault="00FE07E5">
      <w:pPr>
        <w:tabs>
          <w:tab w:val="center" w:pos="1440"/>
          <w:tab w:val="center" w:pos="5000"/>
        </w:tabs>
        <w:spacing w:after="131"/>
        <w:ind w:left="0" w:right="0" w:firstLine="0"/>
        <w:jc w:val="left"/>
      </w:pPr>
      <w:r>
        <w:rPr>
          <w:rFonts w:ascii="Calibri" w:eastAsia="Calibri" w:hAnsi="Calibri" w:cs="Calibri"/>
          <w:color w:val="000000"/>
          <w:sz w:val="22"/>
        </w:rPr>
        <w:tab/>
      </w:r>
      <w:r>
        <w:t xml:space="preserve"> </w:t>
      </w:r>
      <w:r>
        <w:tab/>
        <w:t xml:space="preserve"> The software product now </w:t>
      </w:r>
      <w:r w:rsidRPr="00F11979">
        <w:rPr>
          <w:highlight w:val="yellow"/>
        </w:rPr>
        <w:t>writes a record to disk</w:t>
      </w:r>
      <w:r w:rsidR="00A10C4B">
        <w:t xml:space="preserve"> that includes the following fi</w:t>
      </w:r>
      <w:r>
        <w:t>elds:</w:t>
      </w:r>
    </w:p>
    <w:p w:rsidR="00FB5C5A" w:rsidRDefault="00FE07E5">
      <w:pPr>
        <w:ind w:left="1675" w:right="0"/>
      </w:pPr>
      <w:r>
        <w:t>Current date and time (</w:t>
      </w:r>
      <w:r>
        <w:rPr>
          <w:rFonts w:ascii="Calibri" w:eastAsia="Calibri" w:hAnsi="Calibri" w:cs="Calibri"/>
        </w:rPr>
        <w:t>MM–DD–YYYY HH:</w:t>
      </w:r>
      <w:proofErr w:type="gramStart"/>
      <w:r>
        <w:rPr>
          <w:rFonts w:ascii="Calibri" w:eastAsia="Calibri" w:hAnsi="Calibri" w:cs="Calibri"/>
        </w:rPr>
        <w:t>MM:SS</w:t>
      </w:r>
      <w:proofErr w:type="gramEnd"/>
      <w:r>
        <w:t>).</w:t>
      </w:r>
    </w:p>
    <w:p w:rsidR="00FB5C5A" w:rsidRDefault="00FE07E5">
      <w:pPr>
        <w:ind w:left="1675" w:right="0"/>
      </w:pPr>
      <w:r>
        <w:t>Date service was provided (</w:t>
      </w:r>
      <w:r>
        <w:rPr>
          <w:rFonts w:ascii="Calibri" w:eastAsia="Calibri" w:hAnsi="Calibri" w:cs="Calibri"/>
        </w:rPr>
        <w:t>MM–DD–YYYY</w:t>
      </w:r>
      <w:r>
        <w:t>).</w:t>
      </w:r>
    </w:p>
    <w:p w:rsidR="00FB5C5A" w:rsidRDefault="00FE07E5">
      <w:pPr>
        <w:ind w:left="1675" w:right="4116"/>
      </w:pPr>
      <w:r>
        <w:t>Provider number (9 digits). Member number (9 digits).</w:t>
      </w:r>
    </w:p>
    <w:p w:rsidR="00FB5C5A" w:rsidRDefault="00FE07E5">
      <w:pPr>
        <w:ind w:left="1675" w:right="0"/>
      </w:pPr>
      <w:r>
        <w:t>Service code (6 digits).</w:t>
      </w:r>
    </w:p>
    <w:p w:rsidR="00FB5C5A" w:rsidRDefault="00FE07E5">
      <w:pPr>
        <w:spacing w:after="116"/>
        <w:ind w:left="1675" w:right="0"/>
      </w:pPr>
      <w:r>
        <w:t>Comments (100 characters) (optional).</w:t>
      </w:r>
    </w:p>
    <w:p w:rsidR="00FB5C5A" w:rsidRDefault="00FE07E5">
      <w:pPr>
        <w:spacing w:after="0"/>
        <w:ind w:right="0"/>
      </w:pPr>
      <w:r>
        <w:t xml:space="preserve">  </w:t>
      </w:r>
      <w:r w:rsidRPr="00F11979">
        <w:rPr>
          <w:highlight w:val="yellow"/>
        </w:rPr>
        <w:t xml:space="preserve">The software product next looks up the fee to be paid for that service and displays it on the </w:t>
      </w:r>
      <w:r w:rsidR="00A10C4B" w:rsidRPr="00F11979">
        <w:rPr>
          <w:highlight w:val="yellow"/>
        </w:rPr>
        <w:t>provider’s terminal.</w:t>
      </w:r>
      <w:r w:rsidR="00A10C4B">
        <w:t xml:space="preserve"> For verifi</w:t>
      </w:r>
      <w:r>
        <w:t>cation purp</w:t>
      </w:r>
      <w:r>
        <w:t xml:space="preserve">oses, </w:t>
      </w:r>
      <w:r w:rsidRPr="00F11979">
        <w:rPr>
          <w:highlight w:val="yellow"/>
        </w:rPr>
        <w:t>the provider has a form on which to enter the current date and time, the date the service was provided, member name and number, service code, and fee to be paid</w:t>
      </w:r>
      <w:r>
        <w:t xml:space="preserve">. </w:t>
      </w:r>
      <w:r w:rsidRPr="008B5C6C">
        <w:rPr>
          <w:highlight w:val="magenta"/>
        </w:rPr>
        <w:t>At the end of the week</w:t>
      </w:r>
      <w:r w:rsidRPr="00F11979">
        <w:rPr>
          <w:highlight w:val="yellow"/>
        </w:rPr>
        <w:t xml:space="preserve">, the provider totals the fees to verify the amount to be paid to </w:t>
      </w:r>
      <w:r w:rsidRPr="00F11979">
        <w:rPr>
          <w:highlight w:val="yellow"/>
        </w:rPr>
        <w:t>that provider by ChocAn for that week.</w:t>
      </w:r>
      <w:r>
        <w:t xml:space="preserve"> </w:t>
      </w:r>
    </w:p>
    <w:p w:rsidR="00FB5C5A" w:rsidRDefault="00FE07E5">
      <w:pPr>
        <w:spacing w:after="0"/>
        <w:ind w:right="0"/>
      </w:pPr>
      <w:r>
        <w:t xml:space="preserve">  </w:t>
      </w:r>
      <w:r w:rsidRPr="008B5C6C">
        <w:rPr>
          <w:highlight w:val="magenta"/>
        </w:rPr>
        <w:t>At any time</w:t>
      </w:r>
      <w:r w:rsidRPr="00F11979">
        <w:rPr>
          <w:highlight w:val="yellow"/>
        </w:rPr>
        <w:t>, a provider can request the software product for a Provider Directory, an alphabetically ordered list of service names and corresponding service codes and fees. The Provider Directory is sent to the pro</w:t>
      </w:r>
      <w:r w:rsidRPr="00F11979">
        <w:rPr>
          <w:highlight w:val="yellow"/>
        </w:rPr>
        <w:t>vider as an e-mail attachment.</w:t>
      </w:r>
      <w:r>
        <w:t xml:space="preserve"> </w:t>
      </w:r>
    </w:p>
    <w:p w:rsidR="00FB5C5A" w:rsidRDefault="00F11979">
      <w:pPr>
        <w:spacing w:after="117"/>
        <w:ind w:right="0"/>
      </w:pPr>
      <w:r>
        <w:t xml:space="preserve"> </w:t>
      </w:r>
      <w:r w:rsidRPr="008B5C6C">
        <w:rPr>
          <w:highlight w:val="magenta"/>
        </w:rPr>
        <w:t>A</w:t>
      </w:r>
      <w:r w:rsidR="00FE07E5" w:rsidRPr="008B5C6C">
        <w:rPr>
          <w:highlight w:val="magenta"/>
        </w:rPr>
        <w:t>t midnight on Friday</w:t>
      </w:r>
      <w:r w:rsidR="00FE07E5" w:rsidRPr="002B6EF4">
        <w:rPr>
          <w:highlight w:val="yellow"/>
        </w:rPr>
        <w:t>, the main accounting procedure is run at the ChocAn Data</w:t>
      </w:r>
      <w:r w:rsidRPr="002B6EF4">
        <w:rPr>
          <w:highlight w:val="yellow"/>
        </w:rPr>
        <w:t xml:space="preserve"> Center. It reads the week’s fi</w:t>
      </w:r>
      <w:r w:rsidR="00FE07E5" w:rsidRPr="002B6EF4">
        <w:rPr>
          <w:highlight w:val="yellow"/>
        </w:rPr>
        <w:t>le of services provided and prints a number of reports</w:t>
      </w:r>
      <w:r w:rsidR="00FE07E5">
        <w:t xml:space="preserve">. Each report also can be run individually at the request </w:t>
      </w:r>
      <w:r w:rsidR="00FE07E5">
        <w:t xml:space="preserve">of a ChocAn </w:t>
      </w:r>
      <w:r w:rsidR="00FE07E5" w:rsidRPr="00406E0C">
        <w:rPr>
          <w:highlight w:val="darkGray"/>
        </w:rPr>
        <w:t>manage</w:t>
      </w:r>
      <w:r w:rsidRPr="00406E0C">
        <w:rPr>
          <w:highlight w:val="darkGray"/>
        </w:rPr>
        <w:t>r</w:t>
      </w:r>
      <w:r>
        <w:t xml:space="preserve"> at any time during the week.</w:t>
      </w:r>
      <w:r w:rsidR="00FE07E5">
        <w:t xml:space="preserve"> Each member who has consulted a ChocAn provider during that week receives a list of services provided to that member, sorted in order of service date. The report, which is also sent as an e-mail attachment</w:t>
      </w:r>
      <w:r w:rsidR="00FE07E5">
        <w:t>, includes:</w:t>
      </w:r>
    </w:p>
    <w:p w:rsidR="00FB5C5A" w:rsidRDefault="00FE07E5">
      <w:pPr>
        <w:ind w:left="1675" w:right="0"/>
      </w:pPr>
      <w:r>
        <w:t>Member name (25 characters).</w:t>
      </w:r>
    </w:p>
    <w:p w:rsidR="00FB5C5A" w:rsidRDefault="00FE07E5">
      <w:pPr>
        <w:ind w:left="1675" w:right="0"/>
      </w:pPr>
      <w:r>
        <w:t>Member number (9 digits).</w:t>
      </w:r>
    </w:p>
    <w:p w:rsidR="00FB5C5A" w:rsidRDefault="00FE07E5">
      <w:pPr>
        <w:ind w:left="1675" w:right="0"/>
      </w:pPr>
      <w:r>
        <w:t>Member street address (25 characters).</w:t>
      </w:r>
    </w:p>
    <w:p w:rsidR="00FB5C5A" w:rsidRDefault="00FE07E5">
      <w:pPr>
        <w:ind w:left="1675" w:right="0"/>
      </w:pPr>
      <w:r>
        <w:t>Member city (14 characters).</w:t>
      </w:r>
    </w:p>
    <w:p w:rsidR="00FB5C5A" w:rsidRDefault="00FE07E5">
      <w:pPr>
        <w:ind w:left="1675" w:right="0"/>
      </w:pPr>
      <w:r>
        <w:t>Member state (2 letters).</w:t>
      </w:r>
    </w:p>
    <w:p w:rsidR="00FB5C5A" w:rsidRDefault="00FE07E5">
      <w:pPr>
        <w:ind w:left="1675" w:right="0"/>
      </w:pPr>
      <w:r>
        <w:t>Member ZIP code (5 digits).</w:t>
      </w:r>
    </w:p>
    <w:p w:rsidR="00FB5C5A" w:rsidRDefault="00FE07E5">
      <w:pPr>
        <w:ind w:left="1675" w:right="0"/>
      </w:pPr>
      <w:r>
        <w:t>For each service provided, the following details are required:</w:t>
      </w:r>
    </w:p>
    <w:p w:rsidR="00FB5C5A" w:rsidRDefault="00FE07E5">
      <w:pPr>
        <w:ind w:left="1890" w:right="0"/>
      </w:pPr>
      <w:r>
        <w:t>Date</w:t>
      </w:r>
      <w:r>
        <w:t xml:space="preserve"> of service (</w:t>
      </w:r>
      <w:r>
        <w:rPr>
          <w:rFonts w:ascii="Calibri" w:eastAsia="Calibri" w:hAnsi="Calibri" w:cs="Calibri"/>
        </w:rPr>
        <w:t>MM–DD–YYYY</w:t>
      </w:r>
      <w:r>
        <w:t>).</w:t>
      </w:r>
    </w:p>
    <w:p w:rsidR="00FB5C5A" w:rsidRDefault="00FE07E5">
      <w:pPr>
        <w:spacing w:after="113"/>
        <w:ind w:left="1890" w:right="3701"/>
      </w:pPr>
      <w:r>
        <w:t>Provider name (25 characters). Service name (20 characters).</w:t>
      </w:r>
    </w:p>
    <w:p w:rsidR="00FB5C5A" w:rsidRDefault="00FE07E5">
      <w:pPr>
        <w:ind w:right="0"/>
      </w:pPr>
      <w:r>
        <w:lastRenderedPageBreak/>
        <w:t xml:space="preserve">  </w:t>
      </w:r>
      <w:r w:rsidRPr="008B5C6C">
        <w:rPr>
          <w:highlight w:val="yellow"/>
        </w:rPr>
        <w:t xml:space="preserve">Each provider who has billed ChocAn </w:t>
      </w:r>
      <w:r w:rsidRPr="008B5C6C">
        <w:rPr>
          <w:highlight w:val="magenta"/>
        </w:rPr>
        <w:t xml:space="preserve">during that week </w:t>
      </w:r>
      <w:r w:rsidRPr="008B5C6C">
        <w:rPr>
          <w:highlight w:val="yellow"/>
        </w:rPr>
        <w:t>receives a report</w:t>
      </w:r>
      <w:r>
        <w:t>, sent as an e-mail attachment, containing the list of services he or she provided to ChocAn memb</w:t>
      </w:r>
      <w:r>
        <w:t>ers.</w:t>
      </w:r>
      <w:r w:rsidR="00A10C4B">
        <w:t xml:space="preserve"> To simplify the task of verifi</w:t>
      </w:r>
      <w:r>
        <w:t>cation, the report contains the same information as that entered on the provider’s form, in the order that the data were received by the computer. At the end of the report is a summary including the number of consultatio</w:t>
      </w:r>
      <w:r>
        <w:t>ns with members and the total fee</w:t>
      </w:r>
      <w:r w:rsidR="00A10C4B">
        <w:t xml:space="preserve"> for that week. That is, the fi</w:t>
      </w:r>
      <w:r>
        <w:t>elds of the report include:</w:t>
      </w:r>
    </w:p>
    <w:p w:rsidR="00FB5C5A" w:rsidRDefault="00FB5C5A">
      <w:pPr>
        <w:sectPr w:rsidR="00FB5C5A">
          <w:pgSz w:w="10138" w:h="13205"/>
          <w:pgMar w:top="1440" w:right="754" w:bottom="1440" w:left="742" w:header="720" w:footer="720" w:gutter="0"/>
          <w:cols w:space="720"/>
        </w:sectPr>
      </w:pPr>
    </w:p>
    <w:p w:rsidR="00FB5C5A" w:rsidRDefault="00FE07E5">
      <w:pPr>
        <w:spacing w:after="312" w:line="259" w:lineRule="auto"/>
        <w:ind w:left="0" w:right="0" w:firstLine="0"/>
        <w:jc w:val="right"/>
      </w:pPr>
      <w:r>
        <w:rPr>
          <w:rFonts w:ascii="Calibri" w:eastAsia="Calibri" w:hAnsi="Calibri" w:cs="Calibri"/>
          <w:sz w:val="16"/>
        </w:rPr>
        <w:lastRenderedPageBreak/>
        <w:t xml:space="preserve">Appendix </w:t>
      </w:r>
      <w:proofErr w:type="gramStart"/>
      <w:r>
        <w:rPr>
          <w:rFonts w:ascii="Calibri" w:eastAsia="Calibri" w:hAnsi="Calibri" w:cs="Calibri"/>
          <w:sz w:val="16"/>
        </w:rPr>
        <w:t xml:space="preserve">A  </w:t>
      </w:r>
      <w:r>
        <w:rPr>
          <w:i/>
          <w:sz w:val="16"/>
        </w:rPr>
        <w:t>Term</w:t>
      </w:r>
      <w:proofErr w:type="gramEnd"/>
      <w:r>
        <w:rPr>
          <w:i/>
          <w:sz w:val="16"/>
        </w:rPr>
        <w:t xml:space="preserve"> Project: Chocoholics Anonymous</w:t>
      </w:r>
      <w:r>
        <w:rPr>
          <w:rFonts w:ascii="Calibri" w:eastAsia="Calibri" w:hAnsi="Calibri" w:cs="Calibri"/>
          <w:sz w:val="16"/>
        </w:rPr>
        <w:t xml:space="preserve">  </w:t>
      </w:r>
      <w:r>
        <w:rPr>
          <w:rFonts w:ascii="Calibri" w:eastAsia="Calibri" w:hAnsi="Calibri" w:cs="Calibri"/>
          <w:b/>
          <w:color w:val="E72582"/>
          <w:sz w:val="16"/>
        </w:rPr>
        <w:t>629</w:t>
      </w:r>
    </w:p>
    <w:p w:rsidR="00FB5C5A" w:rsidRDefault="00FE07E5">
      <w:pPr>
        <w:ind w:left="250" w:right="0"/>
      </w:pPr>
      <w:r>
        <w:t>Provider name (25 characters).</w:t>
      </w:r>
    </w:p>
    <w:p w:rsidR="00FB5C5A" w:rsidRDefault="00FE07E5">
      <w:pPr>
        <w:ind w:left="250" w:right="0"/>
      </w:pPr>
      <w:r>
        <w:t>Provider number (9 digits).</w:t>
      </w:r>
    </w:p>
    <w:p w:rsidR="00FB5C5A" w:rsidRDefault="00FE07E5">
      <w:pPr>
        <w:ind w:left="250" w:right="0"/>
      </w:pPr>
      <w:r>
        <w:t>Provider street address (25 characters).</w:t>
      </w:r>
    </w:p>
    <w:p w:rsidR="00FB5C5A" w:rsidRDefault="00FE07E5">
      <w:pPr>
        <w:ind w:left="250" w:right="0"/>
      </w:pPr>
      <w:r>
        <w:t>Provider city (14 characters).</w:t>
      </w:r>
    </w:p>
    <w:p w:rsidR="00FB5C5A" w:rsidRDefault="00FE07E5">
      <w:pPr>
        <w:ind w:left="250" w:right="0"/>
      </w:pPr>
      <w:r>
        <w:t>Provider state (2 letters).</w:t>
      </w:r>
    </w:p>
    <w:p w:rsidR="00FB5C5A" w:rsidRDefault="00FE07E5">
      <w:pPr>
        <w:ind w:left="250" w:right="0"/>
      </w:pPr>
      <w:r>
        <w:t>Provider ZIP code (5 digits).</w:t>
      </w:r>
    </w:p>
    <w:p w:rsidR="00FB5C5A" w:rsidRDefault="00FE07E5">
      <w:pPr>
        <w:ind w:left="250" w:right="0"/>
      </w:pPr>
      <w:r>
        <w:t>For each service provided, the following details are required:</w:t>
      </w:r>
    </w:p>
    <w:p w:rsidR="00FB5C5A" w:rsidRDefault="00FE07E5">
      <w:pPr>
        <w:ind w:left="450" w:right="0"/>
      </w:pPr>
      <w:r>
        <w:t>Date of service (</w:t>
      </w:r>
      <w:r>
        <w:rPr>
          <w:rFonts w:ascii="Calibri" w:eastAsia="Calibri" w:hAnsi="Calibri" w:cs="Calibri"/>
        </w:rPr>
        <w:t>MM–DD–YYYY</w:t>
      </w:r>
      <w:r>
        <w:t>).</w:t>
      </w:r>
    </w:p>
    <w:p w:rsidR="00FB5C5A" w:rsidRDefault="00FE07E5">
      <w:pPr>
        <w:ind w:left="450" w:right="0"/>
      </w:pPr>
      <w:r>
        <w:t>Date and time data were received by the computer (</w:t>
      </w:r>
      <w:r>
        <w:rPr>
          <w:rFonts w:ascii="Calibri" w:eastAsia="Calibri" w:hAnsi="Calibri" w:cs="Calibri"/>
        </w:rPr>
        <w:t>MM–DD–YYYY HH:</w:t>
      </w:r>
      <w:proofErr w:type="gramStart"/>
      <w:r>
        <w:rPr>
          <w:rFonts w:ascii="Calibri" w:eastAsia="Calibri" w:hAnsi="Calibri" w:cs="Calibri"/>
        </w:rPr>
        <w:t>MM:SS</w:t>
      </w:r>
      <w:proofErr w:type="gramEnd"/>
      <w:r>
        <w:t>).</w:t>
      </w:r>
    </w:p>
    <w:p w:rsidR="00FB5C5A" w:rsidRDefault="00FE07E5">
      <w:pPr>
        <w:ind w:left="450" w:right="0"/>
      </w:pPr>
      <w:r>
        <w:t>Me</w:t>
      </w:r>
      <w:r>
        <w:t>mber name (25 characters).</w:t>
      </w:r>
    </w:p>
    <w:p w:rsidR="00FB5C5A" w:rsidRDefault="00FE07E5">
      <w:pPr>
        <w:ind w:left="450" w:right="0"/>
      </w:pPr>
      <w:r>
        <w:t>Member number (9 digits).</w:t>
      </w:r>
    </w:p>
    <w:p w:rsidR="00FB5C5A" w:rsidRDefault="00FE07E5">
      <w:pPr>
        <w:ind w:left="450" w:right="0"/>
      </w:pPr>
      <w:r>
        <w:t>Service code (6 digits).</w:t>
      </w:r>
    </w:p>
    <w:p w:rsidR="00FB5C5A" w:rsidRDefault="00FE07E5">
      <w:pPr>
        <w:ind w:left="450" w:right="0"/>
      </w:pPr>
      <w:r>
        <w:t>Fee to be paid (up to $999.99).</w:t>
      </w:r>
    </w:p>
    <w:p w:rsidR="00FB5C5A" w:rsidRDefault="00FE07E5">
      <w:pPr>
        <w:spacing w:after="111"/>
        <w:ind w:left="250" w:right="2148"/>
      </w:pPr>
      <w:r>
        <w:t>Total number of consultations with members (3 digits). Total fee for week (up to $99,999.99).</w:t>
      </w:r>
    </w:p>
    <w:p w:rsidR="00FB5C5A" w:rsidRDefault="00FE07E5">
      <w:pPr>
        <w:spacing w:after="0"/>
        <w:ind w:left="10" w:right="0"/>
      </w:pPr>
      <w:r>
        <w:t xml:space="preserve">  </w:t>
      </w:r>
      <w:r w:rsidRPr="008B5C6C">
        <w:rPr>
          <w:highlight w:val="yellow"/>
        </w:rPr>
        <w:t xml:space="preserve">A record consisting of </w:t>
      </w:r>
      <w:r w:rsidRPr="008B5C6C">
        <w:rPr>
          <w:highlight w:val="red"/>
        </w:rPr>
        <w:t>electronic funds transfer (</w:t>
      </w:r>
      <w:r w:rsidRPr="008B5C6C">
        <w:rPr>
          <w:highlight w:val="red"/>
        </w:rPr>
        <w:t>EFT)</w:t>
      </w:r>
      <w:r w:rsidRPr="008B5C6C">
        <w:rPr>
          <w:highlight w:val="yellow"/>
        </w:rPr>
        <w:t xml:space="preserve"> data is then written to a disk; banking computers will later ensure that each provider’s bank account is credited with the appropriate amount.</w:t>
      </w:r>
      <w:r>
        <w:t xml:space="preserve"> </w:t>
      </w:r>
    </w:p>
    <w:p w:rsidR="00FB5C5A" w:rsidRDefault="008B5C6C">
      <w:pPr>
        <w:spacing w:after="0"/>
        <w:ind w:left="10" w:right="0"/>
      </w:pPr>
      <w:r>
        <w:t xml:space="preserve"> </w:t>
      </w:r>
      <w:r w:rsidRPr="008B5C6C">
        <w:rPr>
          <w:highlight w:val="yellow"/>
        </w:rPr>
        <w:t xml:space="preserve">A </w:t>
      </w:r>
      <w:r w:rsidR="00FE07E5" w:rsidRPr="008B5C6C">
        <w:rPr>
          <w:highlight w:val="yellow"/>
        </w:rPr>
        <w:t>summary report is given to the manager for accounts payable</w:t>
      </w:r>
      <w:r w:rsidR="00FE07E5">
        <w:t>. The report lists every provider to be paid</w:t>
      </w:r>
      <w:r w:rsidR="00FE07E5">
        <w:t xml:space="preserve"> that week, the number of consultations each had, and his or her total fee for that week. Finally, the total number of providers who provided services, the total number of consultations, and the overall fee total are printed. </w:t>
      </w:r>
    </w:p>
    <w:p w:rsidR="00FB5C5A" w:rsidRDefault="00A10C4B">
      <w:pPr>
        <w:spacing w:after="0"/>
        <w:ind w:left="10" w:right="0"/>
      </w:pPr>
      <w:r>
        <w:t xml:space="preserve"> </w:t>
      </w:r>
      <w:r w:rsidRPr="008B5C6C">
        <w:rPr>
          <w:highlight w:val="magenta"/>
        </w:rPr>
        <w:t>D</w:t>
      </w:r>
      <w:r w:rsidR="00FE07E5" w:rsidRPr="008B5C6C">
        <w:rPr>
          <w:highlight w:val="magenta"/>
        </w:rPr>
        <w:t>uring the day</w:t>
      </w:r>
      <w:r w:rsidR="00FE07E5" w:rsidRPr="008B5C6C">
        <w:rPr>
          <w:highlight w:val="yellow"/>
        </w:rPr>
        <w:t>, the softwar</w:t>
      </w:r>
      <w:r w:rsidR="00FE07E5" w:rsidRPr="008B5C6C">
        <w:rPr>
          <w:highlight w:val="yellow"/>
        </w:rPr>
        <w:t xml:space="preserve">e at the ChocAn Data Center is run in interactive mode to allow </w:t>
      </w:r>
      <w:r w:rsidR="00FE07E5" w:rsidRPr="00406E0C">
        <w:rPr>
          <w:highlight w:val="darkGray"/>
        </w:rPr>
        <w:t xml:space="preserve">operators </w:t>
      </w:r>
      <w:r w:rsidR="00FE07E5" w:rsidRPr="008B5C6C">
        <w:rPr>
          <w:highlight w:val="yellow"/>
        </w:rPr>
        <w:t>to add new members to ChocAn, to delete members who have resigned, and to update member records</w:t>
      </w:r>
      <w:r w:rsidR="00FE07E5">
        <w:t xml:space="preserve">. Similarly, provider records are </w:t>
      </w:r>
      <w:r w:rsidR="008B5C6C">
        <w:t>added, deleted, and updated.  T</w:t>
      </w:r>
      <w:r w:rsidR="00FE07E5">
        <w:t>he processing of paym</w:t>
      </w:r>
      <w:r w:rsidR="00FE07E5">
        <w:t>ents of ChocAn membership fees has been contracted out to Acme Accounting Services, a third-party organizat</w:t>
      </w:r>
      <w:r>
        <w:t xml:space="preserve">ion. </w:t>
      </w:r>
      <w:r w:rsidRPr="008B5C6C">
        <w:rPr>
          <w:highlight w:val="yellow"/>
        </w:rPr>
        <w:t>Acme is responsible for fi</w:t>
      </w:r>
      <w:r w:rsidR="00FE07E5" w:rsidRPr="008B5C6C">
        <w:rPr>
          <w:highlight w:val="yellow"/>
        </w:rPr>
        <w:t>nancial procedures such as recording payments of membership fees, suspending members whose fees are overdue, and rein</w:t>
      </w:r>
      <w:r w:rsidR="00FE07E5" w:rsidRPr="008B5C6C">
        <w:rPr>
          <w:highlight w:val="yellow"/>
        </w:rPr>
        <w:t>stating suspended members who have now paid what is owing.</w:t>
      </w:r>
      <w:r w:rsidR="00FE07E5">
        <w:t xml:space="preserve"> </w:t>
      </w:r>
      <w:r w:rsidR="00FE07E5" w:rsidRPr="008B5C6C">
        <w:rPr>
          <w:highlight w:val="magenta"/>
        </w:rPr>
        <w:t xml:space="preserve">The Acme computer updates the relevant ChocAn Data Center computer membership records each evening at 9 </w:t>
      </w:r>
      <w:r w:rsidR="00FE07E5" w:rsidRPr="008B5C6C">
        <w:rPr>
          <w:highlight w:val="magenta"/>
          <w:vertAlign w:val="subscript"/>
        </w:rPr>
        <w:t>P</w:t>
      </w:r>
      <w:r w:rsidR="00FE07E5" w:rsidRPr="008B5C6C">
        <w:rPr>
          <w:sz w:val="18"/>
          <w:highlight w:val="magenta"/>
        </w:rPr>
        <w:t>.</w:t>
      </w:r>
      <w:r w:rsidR="00FE07E5" w:rsidRPr="008B5C6C">
        <w:rPr>
          <w:sz w:val="18"/>
          <w:highlight w:val="magenta"/>
          <w:vertAlign w:val="subscript"/>
        </w:rPr>
        <w:t>M</w:t>
      </w:r>
      <w:r w:rsidR="00FE07E5" w:rsidRPr="008B5C6C">
        <w:rPr>
          <w:highlight w:val="magenta"/>
        </w:rPr>
        <w:t>.</w:t>
      </w:r>
      <w:r w:rsidR="00FE07E5">
        <w:t xml:space="preserve"> </w:t>
      </w:r>
    </w:p>
    <w:p w:rsidR="00FB5C5A" w:rsidRDefault="008B5C6C">
      <w:pPr>
        <w:ind w:left="10" w:right="0"/>
      </w:pPr>
      <w:r>
        <w:t xml:space="preserve"> </w:t>
      </w:r>
      <w:r w:rsidRPr="006E65ED">
        <w:rPr>
          <w:highlight w:val="green"/>
        </w:rPr>
        <w:t>Y</w:t>
      </w:r>
      <w:r w:rsidR="00FE07E5" w:rsidRPr="006E65ED">
        <w:rPr>
          <w:highlight w:val="green"/>
        </w:rPr>
        <w:t xml:space="preserve">our organization has been awarded the contract to write only the ChocAn data processing software; another organization will be responsible for the communications software, for designing the ChocAn provider’s terminal, for the software needed by </w:t>
      </w:r>
      <w:r w:rsidR="00FE07E5" w:rsidRPr="00406E0C">
        <w:rPr>
          <w:highlight w:val="darkGray"/>
        </w:rPr>
        <w:t>Acme Acc</w:t>
      </w:r>
      <w:r w:rsidR="00FE07E5" w:rsidRPr="00406E0C">
        <w:rPr>
          <w:highlight w:val="darkGray"/>
        </w:rPr>
        <w:t>ounting Services</w:t>
      </w:r>
      <w:r w:rsidR="00FE07E5" w:rsidRPr="006E65ED">
        <w:rPr>
          <w:highlight w:val="green"/>
        </w:rPr>
        <w:t>, and for implementing the EFT component</w:t>
      </w:r>
      <w:r w:rsidR="00FE07E5">
        <w:t>. The contract states that</w:t>
      </w:r>
      <w:r w:rsidR="00FE07E5" w:rsidRPr="008B5C6C">
        <w:rPr>
          <w:highlight w:val="magenta"/>
        </w:rPr>
        <w:t>, at the acceptance test</w:t>
      </w:r>
      <w:r w:rsidR="00FE07E5">
        <w:t>, the data from a provider’s terminal must be simulated by keyboard input and data</w:t>
      </w:r>
      <w:bookmarkStart w:id="0" w:name="_GoBack"/>
      <w:bookmarkEnd w:id="0"/>
      <w:r w:rsidR="00FE07E5">
        <w:t xml:space="preserve"> to be transmitted to a provider’s terminal display must appear on t</w:t>
      </w:r>
      <w:r w:rsidR="00FE07E5">
        <w:t xml:space="preserve">he screen. A manager’s terminal must be simulated by the same keyboard and screen. Each member </w:t>
      </w:r>
      <w:r w:rsidR="00FE07E5">
        <w:lastRenderedPageBreak/>
        <w:t>repor</w:t>
      </w:r>
      <w:r>
        <w:t>t must be written to its own fi</w:t>
      </w:r>
      <w:r w:rsidR="00FE07E5">
        <w:t>le; the name of the fi le should begin with the member name, followed by the date of the report. The provider reports should</w:t>
      </w:r>
      <w:r w:rsidR="00FE07E5">
        <w:t xml:space="preserve"> be handled the same way. The Provider Directory must also be created as a fi le. None of the fi les should actually be sent as e-mail attachments. As for the EFT data, all that is required is that a fi le be set up containing the provider name, provider n</w:t>
      </w:r>
      <w:r w:rsidR="00FE07E5">
        <w:t>umber, and the amount to be transferred.</w:t>
      </w:r>
    </w:p>
    <w:sectPr w:rsidR="00FB5C5A">
      <w:pgSz w:w="10138" w:h="13205"/>
      <w:pgMar w:top="1440" w:right="756" w:bottom="1440" w:left="2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5A"/>
    <w:rsid w:val="002B6EF4"/>
    <w:rsid w:val="00406E0C"/>
    <w:rsid w:val="00426F64"/>
    <w:rsid w:val="006E65ED"/>
    <w:rsid w:val="008B5C6C"/>
    <w:rsid w:val="00A10C4B"/>
    <w:rsid w:val="00F11979"/>
    <w:rsid w:val="00FB5C5A"/>
    <w:rsid w:val="00FE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70E9"/>
  <w15:docId w15:val="{7E1AD192-4EB4-4F67-ACF1-F27A92B7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3" w:line="252" w:lineRule="auto"/>
      <w:ind w:left="1450" w:right="3" w:hanging="1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unhideWhenUsed/>
    <w:qFormat/>
    <w:pPr>
      <w:keepNext/>
      <w:keepLines/>
      <w:spacing w:before="451" w:after="0"/>
      <w:ind w:left="10" w:right="237" w:hanging="10"/>
      <w:jc w:val="center"/>
      <w:outlineLvl w:val="0"/>
    </w:pPr>
    <w:rPr>
      <w:rFonts w:ascii="Calibri" w:eastAsia="Calibri" w:hAnsi="Calibri" w:cs="Calibri"/>
      <w:color w:val="181717"/>
      <w:sz w:val="7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81717"/>
      <w:sz w:val="7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9780077417987.pdf</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9780077417987.pdf</dc:title>
  <dc:subject/>
  <dc:creator>Stephen R Schach</dc:creator>
  <cp:keywords/>
  <cp:lastModifiedBy>Logan Mimms</cp:lastModifiedBy>
  <cp:revision>6</cp:revision>
  <dcterms:created xsi:type="dcterms:W3CDTF">2017-09-19T17:00:00Z</dcterms:created>
  <dcterms:modified xsi:type="dcterms:W3CDTF">2017-09-19T18:01:00Z</dcterms:modified>
</cp:coreProperties>
</file>