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Satellite Antenna Tracking Mount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Hunter Britton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Michael Raabe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David Santos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Schedule And Validation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Final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 February 2023</w:t>
      </w:r>
    </w:p>
    <w:p w:rsidR="00000000" w:rsidDel="00000000" w:rsidP="00000000" w:rsidRDefault="00000000" w:rsidRPr="00000000" w14:paraId="00000021">
      <w:pPr>
        <w:ind w:firstLine="72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Schedule:</w:t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785"/>
        <w:gridCol w:w="1680"/>
        <w:gridCol w:w="1275"/>
        <w:gridCol w:w="1860"/>
        <w:tblGridChange w:id="0">
          <w:tblGrid>
            <w:gridCol w:w="2700"/>
            <w:gridCol w:w="1785"/>
            <w:gridCol w:w="1680"/>
            <w:gridCol w:w="127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Concept of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02/13/2023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System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02/22/2023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Control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02/22/2023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Midterm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03/01/2023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Sponsor Specification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Parts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Hunter, 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First Milestone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03/03/2023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Subsystem Circuit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Learn Arduino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 Wireframe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Setup Satellite Catalog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Arduino as Access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 Interactive Mercator Projection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GPS Location Services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Second Milestone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03/20/2023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 Update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03/29/2023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Completed circuit drawing for 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03/30/2023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Microcontroller/GPS location to satellite 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03/30/2023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 Microcontroller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Hunter/David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 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Power Supply PCB Assembled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03/31/2023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Validate Power Supply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Web App is Iron Clad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Validate Microcontroller can send output signals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Third Milestone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04/03/2023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LED display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 PCB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Finalize Web App Interface/Features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 PCB Assembled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Finish final 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on Subsystem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04/17/2023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Finish Subsystem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04/23/2023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Subsystem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04/24/2023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Finish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04/26/2023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Report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04/29/2023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Validation Plan:</w:t>
      </w:r>
    </w:p>
    <w:p w:rsidR="00000000" w:rsidDel="00000000" w:rsidP="00000000" w:rsidRDefault="00000000" w:rsidRPr="00000000" w14:paraId="000000E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Signal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SNR &gt;= 30dB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R5S5T9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Azimuth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+- 4%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Tracking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deg/sec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Power Supply to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48 Watts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Power Supply to 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 Watts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 Motor Control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Continuous Signal for 6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 GPS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Accurate location within 20 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Microcontroller as Access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 accessible to various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 Application pull Satellite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Satellites listed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</w:tr>
    </w:tbl>
    <w:p w:rsidR="00000000" w:rsidDel="00000000" w:rsidP="00000000" w:rsidRDefault="00000000" w:rsidRPr="00000000" w14:paraId="00000114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Schedule and Validation</w:t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Satellite Antenna Tracking Mount</w:t>
    </w:r>
  </w:p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 xml:space="preserve">Revision  - 1</w:t>
    </w:r>
  </w:p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36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3hARgYaeISuBrQIPah8jy7vq/g==">AMUW2mW17rb2K8IreJqcE/LN1sbY4HxAlcwS7kn1hMfINa+retYYDowFQfd4Q2wFeHvLayebIof8AmJkw1v/4psy5JDAl09DXKLxb2o/oW/U4vOlPLC7Fx3zCu0o/hmGMd4UCGnQoDPj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2020-09-05T23:15:00Z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