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Calibri" w:cs="Calibri" w:eastAsia="Calibri" w:hAnsi="Calibri"/>
          <w:b/>
          <w:bCs/>
          <w:color w:val="1B2A4A"/>
          <w:sz w:val="52"/>
          <w:szCs w:val="52"/>
        </w:rPr>
        <w:t xml:space="preserve">NOTE DE RECHERCHE MACRO</w:t>
      </w:r>
    </w:p>
    <w:p>
      <w:pPr>
        <w:spacing w:after="60" w:before="0"/>
        <w:jc w:val="center"/>
      </w:pPr>
      <w:r>
        <w:rPr>
          <w:rFonts w:ascii="Calibri" w:cs="Calibri" w:eastAsia="Calibri" w:hAnsi="Calibri"/>
          <w:b w:val="false"/>
          <w:bCs w:val="false"/>
          <w:color w:val="4A5568"/>
          <w:sz w:val="30"/>
          <w:szCs w:val="30"/>
        </w:rPr>
        <w:t xml:space="preserve">Niveaux d'inflation anticipés — Fair value des swaps</w:t>
      </w:r>
    </w:p>
    <w:p>
      <w:pPr>
        <w:spacing w:after="0" w:before="20"/>
      </w:pPr>
    </w:p>
    <w:p>
      <w:pPr>
        <w:spacing w:after="60" w:before="0"/>
        <w:jc w:val="center"/>
      </w:pPr>
      <w:r>
        <w:rPr>
          <w:rFonts w:ascii="Calibri" w:cs="Calibri" w:eastAsia="Calibri" w:hAnsi="Calibri"/>
          <w:b/>
          <w:bCs/>
          <w:color w:val="C9972A"/>
          <w:sz w:val="22"/>
          <w:szCs w:val="22"/>
        </w:rPr>
        <w:t xml:space="preserve">Guerre US–Israël–Iran  |  Jour 17  |  15 mars 2026</w:t>
      </w:r>
    </w:p>
    <w:p>
      <w:pPr>
        <w:spacing w:after="0" w:before="40"/>
      </w:pPr>
    </w:p>
    <w:p>
      <w:pPr>
        <w:pBdr>
          <w:bottom w:val="single" w:color="C9972A" w:sz="12"/>
        </w:pBdr>
        <w:spacing w:after="80" w:before="60"/>
      </w:pPr>
    </w:p>
    <w:p>
      <w:pPr>
        <w:spacing w:after="0" w:before="6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c>
          <w:tcPr>
            <w:tcW w:type="dxa" w:w="30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2"/>
                <w:szCs w:val="22"/>
              </w:rPr>
              <w:t xml:space="preserve">Instrument</w:t>
            </w:r>
          </w:p>
        </w:tc>
        <w:tc>
          <w:tcPr>
            <w:tcW w:type="dxa" w:w="17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2"/>
                <w:szCs w:val="22"/>
              </w:rPr>
              <w:t xml:space="preserve">Marché actuel</w:t>
            </w:r>
          </w:p>
        </w:tc>
        <w:tc>
          <w:tcPr>
            <w:tcW w:type="dxa" w:w="17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2"/>
                <w:szCs w:val="22"/>
              </w:rPr>
              <w:t xml:space="preserve">Fair value</w:t>
            </w:r>
          </w:p>
        </w:tc>
        <w:tc>
          <w:tcPr>
            <w:tcW w:type="dxa" w:w="19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2"/>
                <w:szCs w:val="22"/>
              </w:rPr>
              <w:t xml:space="preserve">Écart</w:t>
            </w:r>
          </w:p>
        </w:tc>
        <w:tc>
          <w:tcPr>
            <w:tcW w:type="dxa" w:w="9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2"/>
                <w:szCs w:val="22"/>
              </w:rPr>
              <w:t xml:space="preserve">Rang</w:t>
            </w:r>
          </w:p>
        </w:tc>
      </w:tr>
      <w:tr>
        <w:tc>
          <w:tcPr>
            <w:tcW w:type="dxa" w:w="3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 1 an (EUSWI1)</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3,075 %</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3,52 %</w:t>
            </w:r>
          </w:p>
        </w:tc>
        <w:tc>
          <w:tcPr>
            <w:tcW w:type="dxa" w:w="19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+ 44 bp</w:t>
            </w:r>
          </w:p>
        </w:tc>
        <w:tc>
          <w:tcPr>
            <w:tcW w:type="dxa" w:w="9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3e</w:t>
            </w:r>
          </w:p>
        </w:tc>
      </w:tr>
      <w:tr>
        <w:tc>
          <w:tcPr>
            <w:tcW w:type="dxa" w:w="3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 1an dans 1an (1Y1Y)</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2,25 %</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2,86 %</w:t>
            </w:r>
          </w:p>
        </w:tc>
        <w:tc>
          <w:tcPr>
            <w:tcW w:type="dxa" w:w="19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+ 61 bp ★</w:t>
            </w:r>
          </w:p>
        </w:tc>
        <w:tc>
          <w:tcPr>
            <w:tcW w:type="dxa" w:w="9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1er ex.</w:t>
            </w:r>
          </w:p>
        </w:tc>
      </w:tr>
      <w:tr>
        <w:tc>
          <w:tcPr>
            <w:tcW w:type="dxa" w:w="3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USD 1 an (USSWIT1)</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3,011 %</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3,62 %</w:t>
            </w:r>
          </w:p>
        </w:tc>
        <w:tc>
          <w:tcPr>
            <w:tcW w:type="dxa" w:w="19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+ 61 bp ★</w:t>
            </w:r>
          </w:p>
        </w:tc>
        <w:tc>
          <w:tcPr>
            <w:tcW w:type="dxa" w:w="900"/>
            <w:gridSpan w:val="1"/>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1er ex.</w:t>
            </w:r>
          </w:p>
        </w:tc>
      </w:tr>
      <w:tr>
        <w:tc>
          <w:tcPr>
            <w:tcW w:type="dxa" w:w="3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USD 1an dans 1an (1Y1Y)</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2,181 %</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2,73 %</w:t>
            </w:r>
          </w:p>
        </w:tc>
        <w:tc>
          <w:tcPr>
            <w:tcW w:type="dxa" w:w="19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+ 55 bp</w:t>
            </w:r>
          </w:p>
        </w:tc>
        <w:tc>
          <w:tcPr>
            <w:tcW w:type="dxa" w:w="9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2e</w:t>
            </w:r>
          </w:p>
        </w:tc>
      </w:tr>
    </w:tbl>
    <w:p>
      <w:pPr>
        <w:spacing w:after="0" w:before="80"/>
      </w:pPr>
    </w:p>
    <w:p>
      <w:r>
        <w:br w:type="page"/>
      </w:r>
    </w:p>
    <w:p>
      <w:pPr>
        <w:spacing w:after="80" w:before="300"/>
      </w:pPr>
      <w:r>
        <w:rPr>
          <w:rFonts w:ascii="Calibri" w:cs="Calibri" w:eastAsia="Calibri" w:hAnsi="Calibri"/>
          <w:b/>
          <w:bCs/>
          <w:color w:val="1B2A4A"/>
          <w:sz w:val="28"/>
          <w:szCs w:val="28"/>
        </w:rPr>
        <w:t xml:space="preserve">RÉSUMÉ EXÉCUTIF</w:t>
      </w:r>
    </w:p>
    <w:p>
      <w:pPr>
        <w:pBdr>
          <w:bottom w:val="single" w:color="C9972A" w:sz="8"/>
        </w:pBdr>
        <w:spacing w:after="80" w:before="60"/>
      </w:pPr>
    </w:p>
    <w:p>
      <w:pPr>
        <w:spacing w:after="0" w:before="20"/>
      </w:pPr>
    </w:p>
    <w:p>
      <w:pPr>
        <w:spacing w:after="40" w:before="40" w:line="270" w:lineRule="auto"/>
      </w:pPr>
      <w:r>
        <w:rPr>
          <w:rFonts w:ascii="Calibri" w:cs="Calibri" w:eastAsia="Calibri" w:hAnsi="Calibri"/>
          <w:b w:val="false"/>
          <w:bCs w:val="false"/>
          <w:color w:val="111827"/>
          <w:sz w:val="21"/>
          <w:szCs w:val="21"/>
        </w:rPr>
        <w:t xml:space="preserve">Cette note soutient que les quatre instruments de swaps d'inflation couverts sont significativement sous-pricés au regard des données disponibles à la date du 15 mars 2026, jour 17 du conflit US–Israël–Iran.</w:t>
      </w:r>
    </w:p>
    <w:p>
      <w:pPr>
        <w:spacing w:after="0" w:before="20"/>
      </w:pPr>
    </w:p>
    <w:p>
      <w:pPr>
        <w:spacing w:after="60" w:before="200"/>
      </w:pPr>
      <w:r>
        <w:rPr>
          <w:rFonts w:ascii="Calibri" w:cs="Calibri" w:eastAsia="Calibri" w:hAnsi="Calibri"/>
          <w:b/>
          <w:bCs/>
          <w:color w:val="1B2A4A"/>
          <w:sz w:val="24"/>
          <w:szCs w:val="24"/>
        </w:rPr>
        <w:t xml:space="preserve">Ce que le marché sous-estime</w:t>
      </w:r>
    </w:p>
    <w:p>
      <w:pPr>
        <w:pStyle w:val="ListParagraph"/>
        <w:numPr>
          <w:ilvl w:val="0"/>
          <w:numId w:val="1"/>
        </w:numPr>
        <w:spacing w:after="30" w:before="30"/>
      </w:pPr>
      <w:r>
        <w:rPr>
          <w:rFonts w:ascii="Calibri" w:cs="Calibri" w:eastAsia="Calibri" w:hAnsi="Calibri"/>
          <w:color w:val="111827"/>
          <w:sz w:val="21"/>
          <w:szCs w:val="21"/>
        </w:rPr>
        <w:t xml:space="preserve">Le marché EUR 1 an à 3,075 % est presque correctement pricé dans un scénario de résolution très rapide (TACO avant fin mars) mais sous-estime les scénarios médians (mai–juin 2026), où le niveau HICP sur 12 mois atteint 3,15 % à 3,35 %.</w:t>
      </w:r>
    </w:p>
    <w:p>
      <w:pPr>
        <w:pStyle w:val="ListParagraph"/>
        <w:numPr>
          <w:ilvl w:val="0"/>
          <w:numId w:val="1"/>
        </w:numPr>
        <w:spacing w:after="30" w:before="30"/>
      </w:pPr>
      <w:r>
        <w:rPr>
          <w:rFonts w:ascii="Calibri" w:cs="Calibri" w:eastAsia="Calibri" w:hAnsi="Calibri"/>
          <w:color w:val="111827"/>
          <w:sz w:val="21"/>
          <w:szCs w:val="21"/>
        </w:rPr>
        <w:t xml:space="preserve">Le marché EUR 1an dans 1an à 2,25 % est le plus mal pricé de la grille. Il suppose une normalisation complète en année 2 que les récoltes 2026 compromises et les salaires indexés automatiquement (Belgique, France, Espagne) ne permettent pas. Notre fair value : 2,86 %.</w:t>
      </w:r>
    </w:p>
    <w:p>
      <w:pPr>
        <w:pStyle w:val="ListParagraph"/>
        <w:numPr>
          <w:ilvl w:val="0"/>
          <w:numId w:val="1"/>
        </w:numPr>
        <w:spacing w:after="30" w:before="30"/>
      </w:pPr>
      <w:r>
        <w:rPr>
          <w:rFonts w:ascii="Calibri" w:cs="Calibri" w:eastAsia="Calibri" w:hAnsi="Calibri"/>
          <w:color w:val="111827"/>
          <w:sz w:val="21"/>
          <w:szCs w:val="21"/>
        </w:rPr>
        <w:t xml:space="preserve">Le marché USD 1 an à 3,011 % ignore que Goldman Sachs lui-même projette un CPI américain à 3,2–3,5 % dans son scénario de base. C'est Goldman vs le marché, non une extrapolation agressive. Notre fair value : 3,62 %.</w:t>
      </w:r>
    </w:p>
    <w:p>
      <w:pPr>
        <w:pStyle w:val="ListParagraph"/>
        <w:numPr>
          <w:ilvl w:val="0"/>
          <w:numId w:val="1"/>
        </w:numPr>
        <w:spacing w:after="30" w:before="30"/>
      </w:pPr>
      <w:r>
        <w:rPr>
          <w:rFonts w:ascii="Calibri" w:cs="Calibri" w:eastAsia="Calibri" w:hAnsi="Calibri"/>
          <w:color w:val="111827"/>
          <w:sz w:val="21"/>
          <w:szCs w:val="21"/>
        </w:rPr>
        <w:t xml:space="preserve">Le marché USD 1an dans 1an à 2,181 % sous-estime la persistance de l'inflation alimentaire et la stickiness du shelter. Notre fair value : 2,73 %.</w:t>
      </w:r>
    </w:p>
    <w:p>
      <w:pPr>
        <w:spacing w:after="0" w:before="20"/>
      </w:pPr>
    </w:p>
    <w:p>
      <w:pPr>
        <w:spacing w:after="60" w:before="200"/>
      </w:pPr>
      <w:r>
        <w:rPr>
          <w:rFonts w:ascii="Calibri" w:cs="Calibri" w:eastAsia="Calibri" w:hAnsi="Calibri"/>
          <w:b/>
          <w:bCs/>
          <w:color w:val="1B2A4A"/>
          <w:sz w:val="24"/>
          <w:szCs w:val="24"/>
        </w:rPr>
        <w:t xml:space="preserve">Les trois corrections méthodologiques appliquées</w:t>
      </w:r>
    </w:p>
    <w:p>
      <w:pPr>
        <w:pStyle w:val="ListParagraph"/>
        <w:numPr>
          <w:ilvl w:val="0"/>
          <w:numId w:val="1"/>
        </w:numPr>
        <w:spacing w:after="30" w:before="30"/>
      </w:pPr>
      <w:r>
        <w:rPr>
          <w:rFonts w:ascii="Calibri" w:cs="Calibri" w:eastAsia="Calibri" w:hAnsi="Calibri"/>
          <w:color w:val="111827"/>
          <w:sz w:val="21"/>
          <w:szCs w:val="21"/>
        </w:rPr>
        <w:t xml:space="preserve">Mécanique correcte du swap : le swap paie un ratio de niveaux d'indice, non la moyenne des prints annuels. Un pic suivi d'un retour partiel donne un niveau Y1 de 3,2–3,5 %, non 5 %.</w:t>
      </w:r>
    </w:p>
    <w:p>
      <w:pPr>
        <w:pStyle w:val="ListParagraph"/>
        <w:numPr>
          <w:ilvl w:val="0"/>
          <w:numId w:val="1"/>
        </w:numPr>
        <w:spacing w:after="30" w:before="30"/>
      </w:pPr>
      <w:r>
        <w:rPr>
          <w:rFonts w:ascii="Calibri" w:cs="Calibri" w:eastAsia="Calibri" w:hAnsi="Calibri"/>
          <w:color w:val="111827"/>
          <w:sz w:val="21"/>
          <w:szCs w:val="21"/>
        </w:rPr>
        <w:t xml:space="preserve">Seconds tours baissiers intégrés : fiscal caps, destruction de demande, conditions financières dures et hedges d'entreprises réduisent le front-end. Ces amortisseurs sont aussi réels que les amplificateurs.</w:t>
      </w:r>
    </w:p>
    <w:p>
      <w:pPr>
        <w:pStyle w:val="ListParagraph"/>
        <w:numPr>
          <w:ilvl w:val="0"/>
          <w:numId w:val="1"/>
        </w:numPr>
        <w:spacing w:after="30" w:before="30"/>
      </w:pPr>
      <w:r>
        <w:rPr>
          <w:rFonts w:ascii="Calibri" w:cs="Calibri" w:eastAsia="Calibri" w:hAnsi="Calibri"/>
          <w:color w:val="111827"/>
          <w:sz w:val="21"/>
          <w:szCs w:val="21"/>
        </w:rPr>
        <w:t xml:space="preserve">Canal pétrochimique distinct : la crise du naphtha (Yeocheon NCC, Shell/CNOOC, Chandra Asri en force majeure) est un choc d'offre physique indépendant du prix du pétrole, non modélisé par Goldman ni BofA.</w:t>
      </w:r>
    </w:p>
    <w:p>
      <w:pPr>
        <w:spacing w:after="0" w:before="20"/>
      </w:pPr>
    </w:p>
    <w:p>
      <w:pPr>
        <w:spacing w:after="60" w:before="200"/>
      </w:pPr>
      <w:r>
        <w:rPr>
          <w:rFonts w:ascii="Calibri" w:cs="Calibri" w:eastAsia="Calibri" w:hAnsi="Calibri"/>
          <w:b/>
          <w:bCs/>
          <w:color w:val="1B2A4A"/>
          <w:sz w:val="24"/>
          <w:szCs w:val="24"/>
        </w:rPr>
        <w:t xml:space="preserve">Ordre de conviction</w:t>
      </w: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c>
          <w:tcPr>
            <w:tcW w:type="dxa" w:w="10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Rang</w:t>
            </w:r>
          </w:p>
        </w:tc>
        <w:tc>
          <w:tcPr>
            <w:tcW w:type="dxa" w:w="20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Instrument</w:t>
            </w:r>
          </w:p>
        </w:tc>
        <w:tc>
          <w:tcPr>
            <w:tcW w:type="dxa" w:w="17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Écart vs marché</w:t>
            </w:r>
          </w:p>
        </w:tc>
        <w:tc>
          <w:tcPr>
            <w:tcW w:type="dxa" w:w="45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Argument principal</w:t>
            </w:r>
          </w:p>
        </w:tc>
      </w:tr>
      <w:tr>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1er ex. ★</w:t>
            </w:r>
          </w:p>
        </w:tc>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USD 1 an</w:t>
            </w:r>
          </w:p>
        </w:tc>
        <w:tc>
          <w:tcPr>
            <w:tcW w:type="dxa" w:w="17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+ 61 bp</w:t>
            </w:r>
          </w:p>
        </w:tc>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Goldman baseline CPI 3,2–3,5 % — c'est Goldman vs le marché (3,011 %)</w:t>
            </w:r>
          </w:p>
        </w:tc>
      </w:tr>
      <w:tr>
        <w:tc>
          <w:tcPr>
            <w:tcW w:type="dxa" w:w="1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1er ex. ★</w:t>
            </w:r>
          </w:p>
        </w:tc>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EUR 1an dans 1an</w:t>
            </w:r>
          </w:p>
        </w:tc>
        <w:tc>
          <w:tcPr>
            <w:tcW w:type="dxa" w:w="17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+ 61 bp</w:t>
            </w:r>
          </w:p>
        </w:tc>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Food wave irréversible Y2 + salaires indexés + caps qui reportent l'inflation en année 2</w:t>
            </w:r>
          </w:p>
        </w:tc>
      </w:tr>
      <w:tr>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2e</w:t>
            </w:r>
          </w:p>
        </w:tc>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USD 1an dans 1an</w:t>
            </w:r>
          </w:p>
        </w:tc>
        <w:tc>
          <w:tcPr>
            <w:tcW w:type="dxa" w:w="17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+ 55 bp</w:t>
            </w:r>
          </w:p>
        </w:tc>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Shelter sticky + food persistence — trois modèles convergent à 2,68–2,77 %</w:t>
            </w:r>
          </w:p>
        </w:tc>
      </w:tr>
      <w:tr>
        <w:tc>
          <w:tcPr>
            <w:tcW w:type="dxa" w:w="1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3e</w:t>
            </w:r>
          </w:p>
        </w:tc>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EUR 1 an</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+ 44 bp</w:t>
            </w:r>
          </w:p>
        </w:tc>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Trade valide mais plus sensible aux caps gouvernementaux européens et à un TACO rapide</w:t>
            </w:r>
          </w:p>
        </w:tc>
      </w:tr>
    </w:tbl>
    <w:p>
      <w:pPr>
        <w:spacing w:after="0" w:before="40"/>
      </w:pPr>
    </w:p>
    <w:p>
      <w:pPr>
        <w:spacing w:after="30" w:before="30"/>
      </w:pPr>
      <w:r>
        <w:rPr>
          <w:rFonts w:ascii="Calibri" w:cs="Calibri" w:eastAsia="Calibri" w:hAnsi="Calibri"/>
          <w:i/>
          <w:iCs/>
          <w:color w:val="4A5568"/>
          <w:sz w:val="19"/>
          <w:szCs w:val="19"/>
        </w:rPr>
        <w:t xml:space="preserve">Note : les fair values présentés sont des fair values macro de desk. Les swaps de marché embarquent une prime de risque/liquidité (0–15 bp) qui justifie légitimement un trading légèrement au-dessus de ces niveaux.</w:t>
      </w:r>
    </w:p>
    <w:p>
      <w:pPr>
        <w:spacing w:after="0" w:before="60"/>
      </w:pPr>
    </w:p>
    <w:p>
      <w:r>
        <w:br w:type="page"/>
      </w:r>
    </w:p>
    <w:p>
      <w:pPr>
        <w:spacing w:after="80" w:before="300"/>
      </w:pPr>
      <w:r>
        <w:rPr>
          <w:rFonts w:ascii="Calibri" w:cs="Calibri" w:eastAsia="Calibri" w:hAnsi="Calibri"/>
          <w:b/>
          <w:bCs/>
          <w:color w:val="1B2A4A"/>
          <w:sz w:val="28"/>
          <w:szCs w:val="28"/>
        </w:rPr>
        <w:t xml:space="preserve">1. POINTS DE DÉPART — DONNÉES OFFICIELLES</w:t>
      </w:r>
    </w:p>
    <w:p>
      <w:pPr>
        <w:pBdr>
          <w:bottom w:val="single" w:color="C9972A" w:sz="8"/>
        </w:pBdr>
        <w:spacing w:after="80" w:before="60"/>
      </w:pPr>
    </w:p>
    <w:p>
      <w:pPr>
        <w:spacing w:after="0" w:before="20"/>
      </w:pPr>
    </w:p>
    <w:p>
      <w:pPr>
        <w:spacing w:after="60" w:before="200"/>
      </w:pPr>
      <w:r>
        <w:rPr>
          <w:rFonts w:ascii="Calibri" w:cs="Calibri" w:eastAsia="Calibri" w:hAnsi="Calibri"/>
          <w:b/>
          <w:bCs/>
          <w:color w:val="1B2A4A"/>
          <w:sz w:val="24"/>
          <w:szCs w:val="24"/>
        </w:rPr>
        <w:t xml:space="preserve">1.1  Inflation avant le déclenchement du conflit (28 février 2026)</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c>
          <w:tcPr>
            <w:tcW w:type="dxa" w:w="45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Indicateur</w:t>
            </w:r>
          </w:p>
        </w:tc>
        <w:tc>
          <w:tcPr>
            <w:tcW w:type="dxa" w:w="2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Valeur</w:t>
            </w:r>
          </w:p>
        </w:tc>
        <w:tc>
          <w:tcPr>
            <w:tcW w:type="dxa" w:w="25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Source</w:t>
            </w:r>
          </w:p>
        </w:tc>
      </w:tr>
      <w:tr>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HICP zone euro (données de janvier 2026)</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+ 1,7 % en glissement annuel</w:t>
            </w:r>
          </w:p>
        </w:tc>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Eurostat, 4 février 2026</w:t>
            </w:r>
          </w:p>
        </w:tc>
      </w:tr>
      <w:tr>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HICP zone euro — estimation flash février 2026</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+ 1,9 % en glissement annuel</w:t>
            </w:r>
          </w:p>
        </w:tc>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Eurostat flash, 3 mars 2026</w:t>
            </w:r>
          </w:p>
        </w:tc>
      </w:tr>
      <w:tr>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Services (45,7 % du panier)</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+ 3,4 %</w:t>
            </w:r>
          </w:p>
        </w:tc>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Eurostat</w:t>
            </w:r>
          </w:p>
        </w:tc>
      </w:tr>
      <w:tr>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Énergie (9,4 % du panier)</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 3,2 %</w:t>
            </w:r>
          </w:p>
        </w:tc>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Eurostat — en déclin avant la guerre</w:t>
            </w:r>
          </w:p>
        </w:tc>
      </w:tr>
      <w:tr>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Alimentation / alcool / tabac (19,3 %)</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+ 2,6 %</w:t>
            </w:r>
          </w:p>
        </w:tc>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Eurostat</w:t>
            </w:r>
          </w:p>
        </w:tc>
      </w:tr>
      <w:tr>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Biens industriels non énergétiques — NEIG (25,6 %)</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+ 0,7 %</w:t>
            </w:r>
          </w:p>
        </w:tc>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Eurostat</w:t>
            </w:r>
          </w:p>
        </w:tc>
      </w:tr>
      <w:tr>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CPI américain — février 2026</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+ 2,4 % (corrigé + 2,7 %)</w:t>
            </w:r>
          </w:p>
        </w:tc>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BLS, 11 mars 2026. Correction + 0,3 point pour le biais lié au shutdown gouvernemental d'octobre 2025 (Zandi / Moody's)</w:t>
            </w:r>
          </w:p>
        </w:tc>
      </w:tr>
      <w:tr>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CPI sous-jacent américain (core)</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+ 2,5 %</w:t>
            </w:r>
          </w:p>
        </w:tc>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BLS</w:t>
            </w:r>
          </w:p>
        </w:tc>
      </w:tr>
      <w:tr>
        <w:tc>
          <w:tcPr>
            <w:tcW w:type="dxa" w:w="4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Niveau swap pré-guerre EUR (baseline de référence)</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2,05 %</w:t>
            </w:r>
          </w:p>
        </w:tc>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Projection BCE décembre 2025 (1,9 % pour 2026) + légère révision janvier–février</w:t>
            </w:r>
          </w:p>
        </w:tc>
      </w:tr>
      <w:tr>
        <w:tc>
          <w:tcPr>
            <w:tcW w:type="dxa" w:w="4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Niveau swap pré-guerre USD (baseline de référence)</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2,55 %</w:t>
            </w:r>
          </w:p>
        </w:tc>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Après correction du biais shutdown</w:t>
            </w:r>
          </w:p>
        </w:tc>
      </w:tr>
    </w:tbl>
    <w:p>
      <w:pPr>
        <w:spacing w:after="0" w:before="80"/>
      </w:pPr>
    </w:p>
    <w:p>
      <w:pPr>
        <w:spacing w:after="60" w:before="200"/>
      </w:pPr>
      <w:r>
        <w:rPr>
          <w:rFonts w:ascii="Calibri" w:cs="Calibri" w:eastAsia="Calibri" w:hAnsi="Calibri"/>
          <w:b/>
          <w:bCs/>
          <w:color w:val="1B2A4A"/>
          <w:sz w:val="24"/>
          <w:szCs w:val="24"/>
        </w:rPr>
        <w:t xml:space="preserve">1.2  Chocs de marché observés depuis le 28 février 2026</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c>
          <w:tcPr>
            <w:tcW w:type="dxa" w:w="38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Actif ou indicateur</w:t>
            </w:r>
          </w:p>
        </w:tc>
        <w:tc>
          <w:tcPr>
            <w:tcW w:type="dxa" w:w="17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Avant guerre</w:t>
            </w:r>
          </w:p>
        </w:tc>
        <w:tc>
          <w:tcPr>
            <w:tcW w:type="dxa" w:w="2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Niveau au jour 17</w:t>
            </w:r>
          </w:p>
        </w:tc>
        <w:tc>
          <w:tcPr>
            <w:tcW w:type="dxa" w:w="15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Variation</w:t>
            </w:r>
          </w:p>
        </w:tc>
      </w:tr>
      <w:tr>
        <w:tc>
          <w:tcPr>
            <w:tcW w:type="dxa" w:w="38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Pétrole Brent</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68 $/baril</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100–102 $/baril</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+ 47 %</w:t>
            </w:r>
          </w:p>
        </w:tc>
      </w:tr>
      <w:tr>
        <w:tc>
          <w:tcPr>
            <w:tcW w:type="dxa" w:w="38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Gaz naturel européen (TTF)</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32 €/MWh</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50 €/MWh</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+ 56 %</w:t>
            </w:r>
          </w:p>
        </w:tc>
      </w:tr>
      <w:tr>
        <w:tc>
          <w:tcPr>
            <w:tcW w:type="dxa" w:w="38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Fuel oil / gasoil (HO)</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90 $/baril équiv.</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168 $/baril (401 c/gallon)</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+ 87 %</w:t>
            </w:r>
          </w:p>
        </w:tc>
      </w:tr>
      <w:tr>
        <w:tc>
          <w:tcPr>
            <w:tcW w:type="dxa" w:w="38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 / USD</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1,1778</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1,1457</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D97706"/>
                <w:sz w:val="20"/>
                <w:szCs w:val="20"/>
              </w:rPr>
              <w:t xml:space="preserve">– 2,7 %</w:t>
            </w:r>
          </w:p>
        </w:tc>
      </w:tr>
      <w:tr>
        <w:tc>
          <w:tcPr>
            <w:tcW w:type="dxa" w:w="38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Urée / fertilisants azotés</w:t>
            </w:r>
          </w:p>
        </w:tc>
        <w:tc>
          <w:tcPr>
            <w:tcW w:type="dxa" w:w="17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Base 100</w:t>
            </w:r>
          </w:p>
        </w:tc>
        <w:tc>
          <w:tcPr>
            <w:tcW w:type="dxa" w:w="2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+ 40 % (ICIS)</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+ 40 %</w:t>
            </w:r>
          </w:p>
        </w:tc>
      </w:tr>
      <w:tr>
        <w:tc>
          <w:tcPr>
            <w:tcW w:type="dxa" w:w="38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Aluminium (LME)</w:t>
            </w:r>
          </w:p>
        </w:tc>
        <w:tc>
          <w:tcPr>
            <w:tcW w:type="dxa" w:w="17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Base 100</w:t>
            </w:r>
          </w:p>
        </w:tc>
        <w:tc>
          <w:tcPr>
            <w:tcW w:type="dxa" w:w="2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Plus haut depuis 2022</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D97706"/>
                <w:sz w:val="20"/>
                <w:szCs w:val="20"/>
              </w:rPr>
              <w:t xml:space="preserve">+ 9 %</w:t>
            </w:r>
          </w:p>
        </w:tc>
      </w:tr>
    </w:tbl>
    <w:p>
      <w:pPr>
        <w:spacing w:after="0" w:before="120"/>
      </w:pPr>
    </w:p>
    <w:p>
      <w:pPr>
        <w:spacing w:after="80" w:before="300"/>
      </w:pPr>
      <w:r>
        <w:rPr>
          <w:rFonts w:ascii="Calibri" w:cs="Calibri" w:eastAsia="Calibri" w:hAnsi="Calibri"/>
          <w:b/>
          <w:bCs/>
          <w:color w:val="1B2A4A"/>
          <w:sz w:val="28"/>
          <w:szCs w:val="28"/>
        </w:rPr>
        <w:t xml:space="preserve">2. HYPOTHÈSES DE TRAVAIL — COEFFICIENTS DE TRANSMISSION</w:t>
      </w:r>
    </w:p>
    <w:p>
      <w:pPr>
        <w:pBdr>
          <w:bottom w:val="single" w:color="C9972A" w:sz="8"/>
        </w:pBdr>
        <w:spacing w:after="80" w:before="60"/>
      </w:pPr>
    </w:p>
    <w:p>
      <w:pPr>
        <w:spacing w:after="0" w:before="20"/>
      </w:pPr>
    </w:p>
    <w:p>
      <w:pPr>
        <w:spacing w:after="60" w:before="200"/>
      </w:pPr>
      <w:r>
        <w:rPr>
          <w:rFonts w:ascii="Calibri" w:cs="Calibri" w:eastAsia="Calibri" w:hAnsi="Calibri"/>
          <w:b/>
          <w:bCs/>
          <w:color w:val="1B2A4A"/>
          <w:sz w:val="24"/>
          <w:szCs w:val="24"/>
        </w:rPr>
        <w:t xml:space="preserve">2.1  Règles de transmission — Sources indépendantes validées</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c>
          <w:tcPr>
            <w:tcW w:type="dxa" w:w="25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Institution</w:t>
            </w:r>
          </w:p>
        </w:tc>
        <w:tc>
          <w:tcPr>
            <w:tcW w:type="dxa" w:w="33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Règle retenue</w:t>
            </w:r>
          </w:p>
        </w:tc>
        <w:tc>
          <w:tcPr>
            <w:tcW w:type="dxa" w:w="34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Application au choc actuel</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Goldman Sachs
(Stehn, économiste en chef zone euro)</w:t>
            </w:r>
          </w:p>
        </w:tc>
        <w:tc>
          <w:tcPr>
            <w:tcW w:type="dxa" w:w="33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+ 10 % pétrole → + 0,30 point de HICP en zone euro</w:t>
            </w:r>
          </w:p>
        </w:tc>
        <w:tc>
          <w:tcPr>
            <w:tcW w:type="dxa" w:w="34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+ 47 % Brent → + 1,41 point instantané. Sur le niveau du swap 12 mois, l'impact dépend du prix en T + 12, pas du pic intermédiaire.</w:t>
            </w:r>
          </w:p>
        </w:tc>
      </w:tr>
      <w:tr>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BCE — modèle officiel réduit</w:t>
            </w:r>
          </w:p>
        </w:tc>
        <w:tc>
          <w:tcPr>
            <w:tcW w:type="dxa" w:w="33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+ 14,2 % pétrole + 20 % gaz → + 0,5 point de HICP</w:t>
            </w:r>
          </w:p>
        </w:tc>
        <w:tc>
          <w:tcPr>
            <w:tcW w:type="dxa" w:w="34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 choc actuel représente ≈ cinq fois ce calibrage. Impact effectif : 0,3 à 0,8 point selon la durée réelle de la perturbation.</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NIESR (modèle NiGEM)
Kaya — Economics Observatory</w:t>
            </w:r>
          </w:p>
        </w:tc>
        <w:tc>
          <w:tcPr>
            <w:tcW w:type="dxa" w:w="33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+ 10 $ permanent sur pétrole et gaz → + 0,5 à + 0,7 point d'inflation annuelle</w:t>
            </w:r>
          </w:p>
        </w:tc>
        <w:tc>
          <w:tcPr>
            <w:tcW w:type="dxa" w:w="34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+ 32 $ Brent (× 3,2) → + 1,6 à + 2,2 points si permanent. En choc transitoire : réduction proportionnelle à la durée.</w:t>
            </w:r>
          </w:p>
        </w:tc>
      </w:tr>
      <w:tr>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BCE — pass-through du taux de change</w:t>
            </w:r>
          </w:p>
        </w:tc>
        <w:tc>
          <w:tcPr>
            <w:tcW w:type="dxa" w:w="33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1 % EUR/USD → + 0,04 point de HICP après un an
(modèle réduit officiel)</w:t>
            </w:r>
          </w:p>
        </w:tc>
        <w:tc>
          <w:tcPr>
            <w:tcW w:type="dxa" w:w="34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2,7 % EUR/USD → + 0,11 point de HICP. Correction par rapport aux modèles plus agressifs qui surestimaient cet effet.</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BofA — Segura-Cayuela
(économiste en chef Europe)</w:t>
            </w:r>
          </w:p>
        </w:tc>
        <w:tc>
          <w:tcPr>
            <w:tcW w:type="dxa" w:w="33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Trois scénarios :
• Scénario de base : pétrole 80 $, TTF 50 €, 2 mois → HICP pic 2,5 %, retour sous 2 % en fin d'année
• Scénario marqué : pétrole 100 $, TTF 60 €, 3–4 mois → HICP moyen 2,4 % sur 2026, pic T2 &gt; 3 %
• Scénario prolongé : 4+ mois → BCE contrainte de relever ses taux de 50 à 75 bp</w:t>
            </w:r>
          </w:p>
        </w:tc>
        <w:tc>
          <w:tcPr>
            <w:tcW w:type="dxa" w:w="34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Notre scénario médian (mai) correspond au scénario marqué de BofA. Le niveau du swap Y1 dans ce scénario s'établit à 3,15 %.</w:t>
            </w:r>
          </w:p>
        </w:tc>
      </w:tr>
      <w:tr>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Goldman Sachs — États-Unis
(Mericle)</w:t>
            </w:r>
          </w:p>
        </w:tc>
        <w:tc>
          <w:tcPr>
            <w:tcW w:type="dxa" w:w="33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Scénario de base : Brent à 98 $ en mars–avril puis 71 $ en fin d'année → PCE + 0,8 point à 2,9 % en décembre 2026
Pire cas (un mois Hormuz fermé) : pic printanier proche de 4,5 %</w:t>
            </w:r>
          </w:p>
        </w:tc>
        <w:tc>
          <w:tcPr>
            <w:tcW w:type="dxa" w:w="34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Notre fair value USD Y1 (3,62 %) se situe entre le scénario de base Goldman (3,2–3,5 %) et le pire cas partiel. C'est Goldman contre le marché (3,011 %).</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EY-Parthenon</w:t>
            </w:r>
          </w:p>
        </w:tc>
        <w:tc>
          <w:tcPr>
            <w:tcW w:type="dxa" w:w="33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Le CPI augmentera de 0,9 % en mars, portant l'inflation vers 3,3 % » (publication du 11 mars 2026)</w:t>
            </w:r>
          </w:p>
        </w:tc>
        <w:tc>
          <w:tcPr>
            <w:tcW w:type="dxa" w:w="34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Confirmation indépendante du niveau EUR et USD Y1 dans le scénario médian.</w:t>
            </w:r>
          </w:p>
        </w:tc>
      </w:tr>
      <w:tr>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Oxford Economics
(Saunders)</w:t>
            </w:r>
          </w:p>
        </w:tc>
        <w:tc>
          <w:tcPr>
            <w:tcW w:type="dxa" w:w="33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Inflation zone euro au T4 2026 : + 0,5 à + 0,6 point au-dessus des prévisions initiales</w:t>
            </w:r>
          </w:p>
        </w:tc>
        <w:tc>
          <w:tcPr>
            <w:tcW w:type="dxa" w:w="34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Cohérent avec nos scénarios juillet–septembre (niveaux Y1 : 3,48 % à 4,06 %).</w:t>
            </w:r>
          </w:p>
        </w:tc>
      </w:tr>
    </w:tbl>
    <w:p>
      <w:pPr>
        <w:spacing w:after="0" w:before="80"/>
      </w:pPr>
    </w:p>
    <w:p>
      <w:pPr>
        <w:spacing w:after="60" w:before="200"/>
      </w:pPr>
      <w:r>
        <w:rPr>
          <w:rFonts w:ascii="Calibri" w:cs="Calibri" w:eastAsia="Calibri" w:hAnsi="Calibri"/>
          <w:b/>
          <w:bCs/>
          <w:color w:val="1B2A4A"/>
          <w:sz w:val="24"/>
          <w:szCs w:val="24"/>
        </w:rPr>
        <w:t xml:space="preserve">2.2  Distribution de durée de guerre — Hypothèse centrale</w:t>
      </w:r>
    </w:p>
    <w:p>
      <w:pPr>
        <w:spacing w:after="0" w:before="20"/>
      </w:pPr>
    </w:p>
    <w:p>
      <w:pPr>
        <w:spacing w:after="40" w:before="40" w:line="270" w:lineRule="auto"/>
      </w:pPr>
      <w:r>
        <w:rPr>
          <w:rFonts w:ascii="Calibri" w:cs="Calibri" w:eastAsia="Calibri" w:hAnsi="Calibri"/>
          <w:b w:val="false"/>
          <w:bCs w:val="false"/>
          <w:color w:val="111827"/>
          <w:sz w:val="21"/>
          <w:szCs w:val="21"/>
        </w:rPr>
        <w:t xml:space="preserve">La distribution de durée est l'hypothèse la plus sensible du modèle. Nous retenons une version conservatrice excluant les scénarios post-2026, afin de rester au niveau du consensus externe (BofA / Goldman / Oxford Economics). La médiane est calibrée sur mai–juin 2026, convergente avec l'analyse de ChatGPT et les desks de recherche des banques.</w:t>
      </w:r>
    </w:p>
    <w:p>
      <w:pPr>
        <w:spacing w:after="0" w:before="4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c>
          <w:tcPr>
            <w:tcW w:type="dxa" w:w="36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Scénario de fin de conflit direct</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Probabilité</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Cumulé</w:t>
            </w:r>
          </w:p>
        </w:tc>
        <w:tc>
          <w:tcPr>
            <w:tcW w:type="dxa" w:w="32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Catalyseur principal</w:t>
            </w:r>
          </w:p>
        </w:tc>
      </w:tr>
      <w:tr>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Avant fin mars 2026 — TACO rapide</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3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Sommet Xi–Trump le 28 mars / War Powers Resolution</w:t>
            </w:r>
          </w:p>
        </w:tc>
      </w:tr>
      <w:tr>
        <w:tc>
          <w:tcPr>
            <w:tcW w:type="dxa" w:w="36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Avril 2026</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14 %</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26 %</w:t>
            </w:r>
          </w:p>
        </w:tc>
        <w:tc>
          <w:tcPr>
            <w:tcW w:type="dxa" w:w="32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Délai constitutionnel War Powers (17 avril) / pression de la base MAGA</w:t>
            </w:r>
          </w:p>
        </w:tc>
      </w:tr>
      <w:tr>
        <w:tc>
          <w:tcPr>
            <w:tcW w:type="dxa" w:w="3600"/>
            <w:gridSpan w:val="1"/>
            <w:shd w:fill="DBEAFE" w:color="auto" w:val="clear"/>
            <w:tcMar>
              <w:top w:type="dxa" w:w="80"/>
              <w:left w:type="dxa" w:w="130"/>
              <w:bottom w:type="dxa" w:w="80"/>
              <w:right w:type="dxa" w:w="130"/>
            </w:tcMar>
          </w:tcPr>
          <w:p>
            <w:pPr>
              <w:spacing w:after="20" w:before="20"/>
              <w:jc w:val="left"/>
            </w:pPr>
            <w:r>
              <w:rPr>
                <w:rFonts w:ascii="Calibri" w:cs="Calibri" w:eastAsia="Calibri" w:hAnsi="Calibri"/>
                <w:b/>
                <w:bCs/>
                <w:color w:val="111827"/>
                <w:sz w:val="20"/>
                <w:szCs w:val="20"/>
              </w:rPr>
              <w:t xml:space="preserve">Mai 2026  ← MÉDIANE</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20 %</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46 %</w:t>
            </w:r>
          </w:p>
        </w:tc>
        <w:tc>
          <w:tcPr>
            <w:tcW w:type="dxa" w:w="3200"/>
            <w:gridSpan w:val="1"/>
            <w:shd w:fill="DBEAFE"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Essence &gt; 4,50 $/gallon / crise pétrochimique / sommet Xi–Trump</w:t>
            </w:r>
          </w:p>
        </w:tc>
      </w:tr>
      <w:tr>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Juin 2026</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16 %</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62 %</w:t>
            </w:r>
          </w:p>
        </w:tc>
        <w:tc>
          <w:tcPr>
            <w:tcW w:type="dxa" w:w="3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Accord multilatéral via ONU ou Chine</w:t>
            </w:r>
          </w:p>
        </w:tc>
      </w:tr>
      <w:tr>
        <w:tc>
          <w:tcPr>
            <w:tcW w:type="dxa" w:w="36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Juillet 2026</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74 %</w:t>
            </w:r>
          </w:p>
        </w:tc>
        <w:tc>
          <w:tcPr>
            <w:tcW w:type="dxa" w:w="32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Récession manifeste au T3 / épuisement des stocks militaires</w:t>
            </w:r>
          </w:p>
        </w:tc>
      </w:tr>
      <w:tr>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Août 2026</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83 %</w:t>
            </w:r>
          </w:p>
        </w:tc>
        <w:tc>
          <w:tcPr>
            <w:tcW w:type="dxa" w:w="3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Défection de la coalition américaine</w:t>
            </w:r>
          </w:p>
        </w:tc>
      </w:tr>
      <w:tr>
        <w:tc>
          <w:tcPr>
            <w:tcW w:type="dxa" w:w="36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Septembre 2026</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6 %</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89 %</w:t>
            </w:r>
          </w:p>
        </w:tc>
        <w:tc>
          <w:tcPr>
            <w:tcW w:type="dxa" w:w="32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Midterms dans 6 semaines — pression politique maximale</w:t>
            </w:r>
          </w:p>
        </w:tc>
      </w:tr>
      <w:tr>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T4 2026 (résiduel)</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11 %</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100 %</w:t>
            </w:r>
          </w:p>
        </w:tc>
        <w:tc>
          <w:tcPr>
            <w:tcW w:type="dxa" w:w="3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Conflit diffus — proxies et attaques maritimes résiduelles</w:t>
            </w:r>
          </w:p>
        </w:tc>
      </w:tr>
    </w:tbl>
    <w:p>
      <w:pPr>
        <w:spacing w:after="0" w:before="40"/>
      </w:pPr>
    </w:p>
    <w:p>
      <w:pPr>
        <w:spacing w:after="30" w:before="30"/>
      </w:pPr>
      <w:r>
        <w:rPr>
          <w:rFonts w:ascii="Calibri" w:cs="Calibri" w:eastAsia="Calibri" w:hAnsi="Calibri"/>
          <w:i/>
          <w:iCs/>
          <w:color w:val="4A5568"/>
          <w:sz w:val="19"/>
          <w:szCs w:val="19"/>
        </w:rPr>
        <w:t xml:space="preserve">Distribution convergente avec ChatGPT (mode 2–6 mois), BofA Segura-Cayuela et Goldman Sachs. Médiane : fin mai 2026.</w:t>
      </w:r>
    </w:p>
    <w:p>
      <w:pPr>
        <w:spacing w:after="0" w:before="120"/>
      </w:pPr>
    </w:p>
    <w:p>
      <w:r>
        <w:br w:type="page"/>
      </w:r>
    </w:p>
    <w:p>
      <w:pPr>
        <w:spacing w:after="80" w:before="300"/>
      </w:pPr>
      <w:r>
        <w:rPr>
          <w:rFonts w:ascii="Calibri" w:cs="Calibri" w:eastAsia="Calibri" w:hAnsi="Calibri"/>
          <w:b/>
          <w:bCs/>
          <w:color w:val="1B2A4A"/>
          <w:sz w:val="28"/>
          <w:szCs w:val="28"/>
        </w:rPr>
        <w:t xml:space="preserve">3. CANAUX DE TRANSMISSION</w:t>
      </w:r>
    </w:p>
    <w:p>
      <w:pPr>
        <w:pBdr>
          <w:bottom w:val="single" w:color="C9972A" w:sz="8"/>
        </w:pBdr>
        <w:spacing w:after="80" w:before="60"/>
      </w:pPr>
    </w:p>
    <w:p>
      <w:pPr>
        <w:spacing w:after="0" w:before="20"/>
      </w:pPr>
    </w:p>
    <w:p>
      <w:pPr>
        <w:spacing w:after="40" w:before="40" w:line="270" w:lineRule="auto"/>
      </w:pPr>
      <w:r>
        <w:rPr>
          <w:rFonts w:ascii="Calibri" w:cs="Calibri" w:eastAsia="Calibri" w:hAnsi="Calibri"/>
          <w:b w:val="false"/>
          <w:bCs w:val="false"/>
          <w:color w:val="111827"/>
          <w:sz w:val="21"/>
          <w:szCs w:val="21"/>
        </w:rPr>
        <w:t xml:space="preserve">Le modèle distingue quatre catégories. Les canaux baissiers sont traités avec la même rigueur que les canaux haussiers : certains amortisseurs réduisent l'inflation à court terme mais la déplacent vers l'année 2 (caps gouvernementaux), d'autres la compriment durablement (destruction de demande).</w:t>
      </w:r>
    </w:p>
    <w:p>
      <w:pPr>
        <w:spacing w:after="0" w:before="60"/>
      </w:pPr>
    </w:p>
    <w:p>
      <w:pPr>
        <w:spacing w:after="60" w:before="200"/>
      </w:pPr>
      <w:r>
        <w:rPr>
          <w:rFonts w:ascii="Calibri" w:cs="Calibri" w:eastAsia="Calibri" w:hAnsi="Calibri"/>
          <w:b/>
          <w:bCs/>
          <w:color w:val="1B2A4A"/>
          <w:sz w:val="24"/>
          <w:szCs w:val="24"/>
        </w:rPr>
        <w:t xml:space="preserve">3.1  Chocs initiaux — Canaux directs</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c>
          <w:tcPr>
            <w:tcW w:type="dxa" w:w="22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Canal</w:t>
            </w:r>
          </w:p>
        </w:tc>
        <w:tc>
          <w:tcPr>
            <w:tcW w:type="dxa" w:w="36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Mécanisme de transmission</w:t>
            </w:r>
          </w:p>
        </w:tc>
        <w:tc>
          <w:tcPr>
            <w:tcW w:type="dxa" w:w="20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Amplitude du choc</w:t>
            </w:r>
          </w:p>
        </w:tc>
        <w:tc>
          <w:tcPr>
            <w:tcW w:type="dxa" w:w="14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Délai d'impact CPI</w:t>
            </w:r>
          </w:p>
        </w:tc>
      </w:tr>
      <w:tr>
        <w:tc>
          <w:tcPr>
            <w:tcW w:type="dxa" w:w="2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Énergie directe — carburants</w:t>
            </w:r>
          </w:p>
        </w:tc>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Brent → raffinerie → pompe. Pass-through de 60 à 70 % en zone euro.</w:t>
            </w:r>
          </w:p>
        </w:tc>
        <w:tc>
          <w:tcPr>
            <w:tcW w:type="dxa" w:w="2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Brent + 47 %
Fuel oil + 87 %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 à 4 semaines</w:t>
            </w:r>
          </w:p>
        </w:tc>
      </w:tr>
      <w:tr>
        <w:tc>
          <w:tcPr>
            <w:tcW w:type="dxa" w:w="22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Énergie régulée — gaz résidentiel et électricité</w:t>
            </w:r>
          </w:p>
        </w:tc>
        <w:tc>
          <w:tcPr>
            <w:tcW w:type="dxa" w:w="36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TTF → contrats régulés. Pass-through de 25 à 50 %. Fort amortissement réglementaire dans la plupart des pays européens.</w:t>
            </w:r>
          </w:p>
        </w:tc>
        <w:tc>
          <w:tcPr>
            <w:tcW w:type="dxa" w:w="2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TTF + 56 %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 à 6 mois</w:t>
            </w:r>
          </w:p>
        </w:tc>
      </w:tr>
      <w:tr>
        <w:tc>
          <w:tcPr>
            <w:tcW w:type="dxa" w:w="2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Diesel et fret routier (canal distinct du Brent)</w:t>
            </w:r>
          </w:p>
        </w:tc>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 diesel diffuse plus directement dans les coûts de distribution que le brut seul. Impact sur transport routier, agriculture et industrie manufacturière. Reuters confirme une désorganisation particulièrement marquée.</w:t>
            </w:r>
          </w:p>
        </w:tc>
        <w:tc>
          <w:tcPr>
            <w:tcW w:type="dxa" w:w="2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Fuel oil + 87 %
HOGO + 25 % en une seule séance</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 à 6 semaines</w:t>
            </w:r>
          </w:p>
        </w:tc>
      </w:tr>
      <w:tr>
        <w:tc>
          <w:tcPr>
            <w:tcW w:type="dxa" w:w="22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bCs/>
                <w:color w:val="111827"/>
                <w:sz w:val="20"/>
                <w:szCs w:val="20"/>
              </w:rPr>
              <w:t xml:space="preserve">Pétrochimie — choc d'offre physique (non modélisé par Goldman ni BofA)</w:t>
            </w:r>
          </w:p>
        </w:tc>
        <w:tc>
          <w:tcPr>
            <w:tcW w:type="dxa" w:w="36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Naphtha bloqué → steam crackers en force majeure → éthylène et polypropylène manquants → polyéthylène + 15 à 25 % (Ultima Media). Touche vêtements (4,2 % du HICP), articles ménagers (~2,5 %), pharmacie (~2,3 %), automobile (~4,5 %). Ce canal est indépendant du prix de l'énergie : même si le Brent descendait à 80 $, les livraisons de naphtha resteraient bloquées.</w:t>
            </w:r>
          </w:p>
        </w:tc>
        <w:tc>
          <w:tcPr>
            <w:tcW w:type="dxa" w:w="2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Force majeures confirmées :
Yeocheon NCC (Corée)
Shell / CNOOC (Chine)
Chandra Asri (Indonésie)
Formosa (Taïwan)
Mitsui, Mitsubishi (Japon)
Bapco (Bahreïn)
ICIS : « les crackers tombent dans 4 semaines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4 à 8 semaines → impact CPI d'avril à juin 2026</w:t>
            </w:r>
          </w:p>
        </w:tc>
      </w:tr>
      <w:tr>
        <w:tc>
          <w:tcPr>
            <w:tcW w:type="dxa" w:w="22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Fertilisants et alimentation</w:t>
            </w:r>
          </w:p>
        </w:tc>
        <w:tc>
          <w:tcPr>
            <w:tcW w:type="dxa" w:w="36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Gaz → ammoniaque → urée → agriculture. Saison de plantation (mars–avril) coïncide avec le pic de la crise. Récoltes 2026 compromises de façon irréversible sur 12 à 18 mois. L'IMF note que le pass-through des chocs alimentaires vers l'inflation est supérieur à celui du pétrole.</w:t>
            </w:r>
          </w:p>
        </w:tc>
        <w:tc>
          <w:tcPr>
            <w:tcW w:type="dxa" w:w="2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Urée + 40 %
¼ de l'azote mondial transit par Hormuz</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3 à 9 mois
Persistance forte en Y2</w:t>
            </w:r>
          </w:p>
        </w:tc>
      </w:tr>
      <w:tr>
        <w:tc>
          <w:tcPr>
            <w:tcW w:type="dxa" w:w="22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War-risk maritime et fret</w:t>
            </w:r>
          </w:p>
        </w:tc>
        <w:tc>
          <w:tcPr>
            <w:tcW w:type="dxa" w:w="36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Lloyd's a suspendu la couverture des tankers, créant un blocage psychologique même sans mines confirmées. Fret aérien + 70 % sur certaines routes. Rerouting via le Cap de Bonne-Espérance (+10 à 14 jours).</w:t>
            </w:r>
          </w:p>
        </w:tc>
        <w:tc>
          <w:tcPr>
            <w:tcW w:type="dxa" w:w="2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16 navires attaqués
(UK Maritime Trade)
HMM : + 1 000 $ par conteneur</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Immédiat
Persistance post-TACO : 3 à 6 mois</w:t>
            </w:r>
          </w:p>
        </w:tc>
      </w:tr>
    </w:tbl>
    <w:p>
      <w:pPr>
        <w:spacing w:after="0" w:before="80"/>
      </w:pPr>
    </w:p>
    <w:p>
      <w:pPr>
        <w:spacing w:after="60" w:before="200"/>
      </w:pPr>
      <w:r>
        <w:rPr>
          <w:rFonts w:ascii="Calibri" w:cs="Calibri" w:eastAsia="Calibri" w:hAnsi="Calibri"/>
          <w:b/>
          <w:bCs/>
          <w:color w:val="1B2A4A"/>
          <w:sz w:val="24"/>
          <w:szCs w:val="24"/>
        </w:rPr>
        <w:t xml:space="preserve">3.2  Seconds tours haussiers</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tblGrid>
      <w:tr>
        <w:tc>
          <w:tcPr>
            <w:tcW w:type="dxa" w:w="20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Canal haussier</w:t>
            </w:r>
          </w:p>
        </w:tc>
        <w:tc>
          <w:tcPr>
            <w:tcW w:type="dxa" w:w="33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Mécanisme</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EUR 1 an</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EUR 1an/1an</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USD 1 an</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USD 1an/1an</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Salaires — rattrapage de pouvoir d'achat</w:t>
            </w:r>
          </w:p>
        </w:tc>
        <w:tc>
          <w:tcPr>
            <w:tcW w:type="dxa" w:w="33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Indexation automatique en Belgique, France et Espagne. Négociations syndicales déclenchées si inflation &gt; 3 %. La BCE souligne que les salaires sont un déterminant central de l'inflation hors énergie et alimentation.</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+ 5 bp</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+ 15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+ 4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bCs/>
                <w:color w:val="D97706"/>
                <w:sz w:val="20"/>
                <w:szCs w:val="20"/>
              </w:rPr>
              <w:t xml:space="preserve">+ 9 bp</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Marges — repricing opportuniste</w:t>
            </w:r>
          </w:p>
        </w:tc>
        <w:tc>
          <w:tcPr>
            <w:tcW w:type="dxa" w:w="33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 BIS documente que les markups amplifient les chocs de coûts lors des épisodes inflationnistes. Secteurs concernés : alimentation transformée, transport, tourisme.</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+ 8 bp</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+ 4 bp</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+ 8 bp</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+ 3 bp</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War-risk fret résiduel après cessez-le-feu</w:t>
            </w:r>
          </w:p>
        </w:tc>
        <w:tc>
          <w:tcPr>
            <w:tcW w:type="dxa" w:w="33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Lloyd's ne reprend pas la couverture immédiatement. La prime de war-risk persiste 3 à 6 mois après un accord.</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+ 4 bp</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+ 5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+ 3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+ 4 bp</w:t>
            </w:r>
          </w:p>
        </w:tc>
      </w:tr>
    </w:tbl>
    <w:p>
      <w:pPr>
        <w:spacing w:after="0" w:before="60"/>
      </w:pPr>
    </w:p>
    <w:p>
      <w:pPr>
        <w:spacing w:after="60" w:before="200"/>
      </w:pPr>
      <w:r>
        <w:rPr>
          <w:rFonts w:ascii="Calibri" w:cs="Calibri" w:eastAsia="Calibri" w:hAnsi="Calibri"/>
          <w:b/>
          <w:bCs/>
          <w:color w:val="1B2A4A"/>
          <w:sz w:val="24"/>
          <w:szCs w:val="24"/>
        </w:rPr>
        <w:t xml:space="preserve">3.3  Seconds tours baissiers — Les amortisseurs</w:t>
      </w:r>
    </w:p>
    <w:p>
      <w:pPr>
        <w:spacing w:after="0" w:before="20"/>
      </w:pPr>
    </w:p>
    <w:p>
      <w:pPr>
        <w:spacing w:after="40" w:before="40" w:line="270" w:lineRule="auto"/>
      </w:pPr>
      <w:r>
        <w:rPr>
          <w:rFonts w:ascii="Calibri" w:cs="Calibri" w:eastAsia="Calibri" w:hAnsi="Calibri"/>
          <w:b w:val="false"/>
          <w:bCs w:val="false"/>
          <w:color w:val="111827"/>
          <w:sz w:val="21"/>
          <w:szCs w:val="21"/>
        </w:rPr>
        <w:t xml:space="preserve">Ces canaux sont aussi réels que les amplificateurs. Les omettre conduit à une surestimation systématique du fair value. Certains déplacent l'inflation dans le temps (caps → Y2 plus élevé) plutôt que de la détruire.</w:t>
      </w:r>
    </w:p>
    <w:p>
      <w:pPr>
        <w:spacing w:after="0" w:before="4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tblGrid>
      <w:tr>
        <w:tc>
          <w:tcPr>
            <w:tcW w:type="dxa" w:w="20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Canal baissier</w:t>
            </w:r>
          </w:p>
        </w:tc>
        <w:tc>
          <w:tcPr>
            <w:tcW w:type="dxa" w:w="37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Mécanisme</w:t>
            </w:r>
          </w:p>
        </w:tc>
        <w:tc>
          <w:tcPr>
            <w:tcW w:type="dxa" w:w="10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EUR 1 an</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EUR 1an/1an</w:t>
            </w:r>
          </w:p>
        </w:tc>
        <w:tc>
          <w:tcPr>
            <w:tcW w:type="dxa" w:w="10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USD 1 an</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USD 1an/1an</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Caps fiscaux et subventions européens</w:t>
            </w:r>
          </w:p>
        </w:tc>
        <w:tc>
          <w:tcPr>
            <w:tcW w:type="dxa" w:w="37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L'Europe dispose des outils (plafonnement des prix, aides aux ménages). Réduit le HICP mesuré à court terme. Mais reporte le coût vers l'année 2 via la fiscalité ou la dette. Les budgets sont plus contraints qu'en 2022 (spread BTP 200 bp).</w:t>
            </w:r>
          </w:p>
        </w:tc>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12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+ 2 bp</w:t>
            </w:r>
          </w:p>
        </w:tc>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4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+ 1 bp</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Destruction de demande</w:t>
            </w:r>
          </w:p>
        </w:tc>
        <w:tc>
          <w:tcPr>
            <w:tcW w:type="dxa" w:w="37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La récession partielle comprime les prix des services. L'Europe est plus exposée en tant qu'importateur net d'énergie. Effet plus fort sur l'année 2 que sur l'année 1.</w:t>
            </w:r>
          </w:p>
        </w:tc>
        <w:tc>
          <w:tcPr>
            <w:tcW w:type="dxa" w:w="1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5 bp</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12 bp</w:t>
            </w:r>
          </w:p>
        </w:tc>
        <w:tc>
          <w:tcPr>
            <w:tcW w:type="dxa" w:w="1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4 bp</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9 bp</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Conditions financières plus dures</w:t>
            </w:r>
          </w:p>
        </w:tc>
        <w:tc>
          <w:tcPr>
            <w:tcW w:type="dxa" w:w="37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BCE et Fed vigilantes. Taux réels plus élevés → crédit plus cher → frein à la demande. Les marchés pricent 1 à 2 hausses de la BCE en 2026 (Polymarket : 42 % de probabilité).</w:t>
            </w:r>
          </w:p>
        </w:tc>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5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13 bp</w:t>
            </w:r>
          </w:p>
        </w:tc>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4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 9 bp</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Stocks, hedges et contrats fixes</w:t>
            </w:r>
          </w:p>
        </w:tc>
        <w:tc>
          <w:tcPr>
            <w:tcW w:type="dxa" w:w="37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Les contrats d'approvisionnement semestriels, les hedges énergie des grandes entreprises et les stocks existants retardent le pass-through. Réduit le front-end mais reporte légèrement vers l'année 2.</w:t>
            </w:r>
          </w:p>
        </w:tc>
        <w:tc>
          <w:tcPr>
            <w:tcW w:type="dxa" w:w="1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8 bp</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+ 4 bp</w:t>
            </w:r>
          </w:p>
        </w:tc>
        <w:tc>
          <w:tcPr>
            <w:tcW w:type="dxa" w:w="10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C0392B"/>
                <w:sz w:val="20"/>
                <w:szCs w:val="20"/>
              </w:rPr>
              <w:t xml:space="preserve">– 7 bp</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+ 3 bp</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Ancrage des anticipations d'inflation</w:t>
            </w:r>
          </w:p>
        </w:tc>
        <w:tc>
          <w:tcPr>
            <w:tcW w:type="dxa" w:w="37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 BIS et la BCE insistent : sans désancrage des anticipations ou vraie boucle salaires-prix, beaucoup de chocs relatifs se dissipent. Les anticipations à long terme restent globalement proches de 2 % (BCE). Traité comme option, non comme scénario central.</w:t>
            </w:r>
          </w:p>
        </w:tc>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0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0 bp</w:t>
            </w:r>
          </w:p>
        </w:tc>
        <w:tc>
          <w:tcPr>
            <w:tcW w:type="dxa" w:w="10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0 bp</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0 bp</w:t>
            </w:r>
          </w:p>
        </w:tc>
      </w:tr>
    </w:tbl>
    <w:p>
      <w:pPr>
        <w:spacing w:after="0" w:before="40"/>
      </w:pPr>
    </w:p>
    <w:p>
      <w:pPr>
        <w:spacing w:after="30" w:before="30"/>
      </w:pPr>
      <w:r>
        <w:rPr>
          <w:rFonts w:ascii="Calibri" w:cs="Calibri" w:eastAsia="Calibri" w:hAnsi="Calibri"/>
          <w:i/>
          <w:iCs/>
          <w:color w:val="4A5568"/>
          <w:sz w:val="19"/>
          <w:szCs w:val="19"/>
        </w:rPr>
        <w:t xml:space="preserve">Bilan net des seconds tours — EUR 1 an : + 5 bp. EUR 1an/1an : + 27 bp. USD 1 an : + 8 bp. USD 1an/1an : + 14 bp. La principale contribution est la food wave en Y2 (irréversible) et les salaires indexés (surtout en zone euro).</w:t>
      </w:r>
    </w:p>
    <w:p>
      <w:pPr>
        <w:spacing w:after="0" w:before="120"/>
      </w:pPr>
    </w:p>
    <w:p>
      <w:r>
        <w:br w:type="page"/>
      </w:r>
    </w:p>
    <w:p>
      <w:pPr>
        <w:spacing w:after="80" w:before="300"/>
      </w:pPr>
      <w:r>
        <w:rPr>
          <w:rFonts w:ascii="Calibri" w:cs="Calibri" w:eastAsia="Calibri" w:hAnsi="Calibri"/>
          <w:b/>
          <w:bCs/>
          <w:color w:val="1B2A4A"/>
          <w:sz w:val="28"/>
          <w:szCs w:val="28"/>
        </w:rPr>
        <w:t xml:space="preserve">4. CALCUL DES NIVEAUX D'INDICE — RÉSULTATS DÉTAILLÉS</w:t>
      </w:r>
    </w:p>
    <w:p>
      <w:pPr>
        <w:pBdr>
          <w:bottom w:val="single" w:color="C9972A" w:sz="8"/>
        </w:pBdr>
        <w:spacing w:after="80" w:before="60"/>
      </w:pPr>
    </w:p>
    <w:p>
      <w:pPr>
        <w:spacing w:after="0" w:before="20"/>
      </w:pPr>
    </w:p>
    <w:p>
      <w:pPr>
        <w:spacing w:after="60" w:before="200"/>
      </w:pPr>
      <w:r>
        <w:rPr>
          <w:rFonts w:ascii="Calibri" w:cs="Calibri" w:eastAsia="Calibri" w:hAnsi="Calibri"/>
          <w:b/>
          <w:bCs/>
          <w:color w:val="1B2A4A"/>
          <w:sz w:val="24"/>
          <w:szCs w:val="24"/>
        </w:rPr>
        <w:t xml:space="preserve">4.1  Zone euro — Niveau HICP sur 12 mois (mars 2026 → février 2027)</w:t>
      </w:r>
    </w:p>
    <w:p>
      <w:pPr>
        <w:spacing w:after="0" w:before="20"/>
      </w:pPr>
    </w:p>
    <w:p>
      <w:pPr>
        <w:spacing w:after="40" w:before="40" w:line="270" w:lineRule="auto"/>
      </w:pPr>
      <w:r>
        <w:rPr>
          <w:rFonts w:ascii="Calibri" w:cs="Calibri" w:eastAsia="Calibri" w:hAnsi="Calibri"/>
          <w:b w:val="false"/>
          <w:bCs w:val="false"/>
          <w:color w:val="111827"/>
          <w:sz w:val="21"/>
          <w:szCs w:val="21"/>
        </w:rPr>
        <w:t xml:space="preserve">Le tableau ci-dessous détaille les contributions additionnelles au niveau HICP sur 12 mois, par composante et par scénario de durée de guerre. La colonne « Niveau Y1 » est le résultat qui sert directement au calcul du fair value du swap EUSWI1.</w:t>
      </w:r>
    </w:p>
    <w:p>
      <w:pPr>
        <w:spacing w:after="0" w:before="4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gridCol w:w="100"/>
        <w:gridCol w:w="100"/>
      </w:tblGrid>
      <w:tr>
        <w:tc>
          <w:tcPr>
            <w:tcW w:type="dxa" w:w="19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Scénario de fin</w:t>
            </w:r>
          </w:p>
        </w:tc>
        <w:tc>
          <w:tcPr>
            <w:tcW w:type="dxa" w:w="8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Proba.</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Énergie
(9,4 %)</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Alimentation
(19,3 %)</w:t>
            </w:r>
          </w:p>
        </w:tc>
        <w:tc>
          <w:tcPr>
            <w:tcW w:type="dxa" w:w="15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NEIG + Pétrochimie
(25,6 %)</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Services
(45,7 %)</w:t>
            </w:r>
          </w:p>
        </w:tc>
        <w:tc>
          <w:tcPr>
            <w:tcW w:type="dxa" w:w="13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Apport total
vs baseline</w:t>
            </w:r>
          </w:p>
        </w:tc>
        <w:tc>
          <w:tcPr>
            <w:tcW w:type="dxa" w:w="13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Niveau Y1</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&lt; Mars</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+ 0,15</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+ 0,08</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+ 0,22</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+ 0,63</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bCs/>
                <w:color w:val="4A5568"/>
                <w:sz w:val="20"/>
                <w:szCs w:val="20"/>
              </w:rPr>
              <w:t xml:space="preserve">2,68 %</w:t>
            </w:r>
          </w:p>
        </w:tc>
      </w:tr>
      <w:tr>
        <w:tc>
          <w:tcPr>
            <w:tcW w:type="dxa" w:w="19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Avril</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14 %</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+ 0,28</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+ 0,20</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+ 0,16</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+ 0,23</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+ 0,87</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4A5568"/>
                <w:sz w:val="20"/>
                <w:szCs w:val="20"/>
              </w:rPr>
              <w:t xml:space="preserve">2,92 %</w:t>
            </w:r>
          </w:p>
        </w:tc>
      </w:tr>
      <w:tr>
        <w:tc>
          <w:tcPr>
            <w:tcW w:type="dxa" w:w="1900"/>
            <w:gridSpan w:val="1"/>
            <w:shd w:fill="DBEAFE" w:color="auto" w:val="clear"/>
            <w:tcMar>
              <w:top w:type="dxa" w:w="80"/>
              <w:left w:type="dxa" w:w="130"/>
              <w:bottom w:type="dxa" w:w="80"/>
              <w:right w:type="dxa" w:w="130"/>
            </w:tcMar>
          </w:tcPr>
          <w:p>
            <w:pPr>
              <w:spacing w:after="20" w:before="20"/>
              <w:jc w:val="left"/>
            </w:pPr>
            <w:r>
              <w:rPr>
                <w:rFonts w:ascii="Calibri" w:cs="Calibri" w:eastAsia="Calibri" w:hAnsi="Calibri"/>
                <w:b/>
                <w:bCs/>
                <w:color w:val="111827"/>
                <w:sz w:val="20"/>
                <w:szCs w:val="20"/>
              </w:rPr>
              <w:t xml:space="preserve">Mai  ← médiane</w:t>
            </w:r>
          </w:p>
        </w:tc>
        <w:tc>
          <w:tcPr>
            <w:tcW w:type="dxa" w:w="8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20 %</w:t>
            </w:r>
          </w:p>
        </w:tc>
        <w:tc>
          <w:tcPr>
            <w:tcW w:type="dxa" w:w="11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+ 0,36</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+ 0,25</w:t>
            </w:r>
          </w:p>
        </w:tc>
        <w:tc>
          <w:tcPr>
            <w:tcW w:type="dxa" w:w="15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+ 0,25</w:t>
            </w:r>
          </w:p>
        </w:tc>
        <w:tc>
          <w:tcPr>
            <w:tcW w:type="dxa" w:w="11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+ 0,24</w:t>
            </w:r>
          </w:p>
        </w:tc>
        <w:tc>
          <w:tcPr>
            <w:tcW w:type="dxa" w:w="13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+ 1,10</w:t>
            </w:r>
          </w:p>
        </w:tc>
        <w:tc>
          <w:tcPr>
            <w:tcW w:type="dxa" w:w="13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3,15 %</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Juin</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16 %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+ 0,44</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+ 0,30</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+ 0,30</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+ 0,26</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+ 1,30</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3,35 %</w:t>
            </w:r>
          </w:p>
        </w:tc>
      </w:tr>
      <w:tr>
        <w:tc>
          <w:tcPr>
            <w:tcW w:type="dxa" w:w="19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Juillet</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+ 0,56</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+ 0,38</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+ 0,33</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+ 0,29</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+ 1,56</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3,61 %</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Août</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+ 0,67</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+ 0,44</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+ 0,36</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+ 0,31</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+ 1,78</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3,83 %</w:t>
            </w:r>
          </w:p>
        </w:tc>
      </w:tr>
      <w:tr>
        <w:tc>
          <w:tcPr>
            <w:tcW w:type="dxa" w:w="19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Septembre</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6 %</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+ 0,78</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+ 0,50</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+ 0,40</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+ 0,33</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+ 2,01</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4,06 %</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T4 2026</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+ 0,90</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+ 0,58</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+ 0,45</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+ 0,36</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+ 2,29</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4,34 %</w:t>
            </w:r>
          </w:p>
        </w:tc>
      </w:tr>
    </w:tbl>
    <w:p>
      <w:pPr>
        <w:spacing w:after="0" w:before="40"/>
      </w:pPr>
    </w:p>
    <w:p>
      <w:pPr>
        <w:spacing w:after="40" w:before="40" w:line="270" w:lineRule="auto"/>
      </w:pPr>
      <w:r>
        <w:rPr>
          <w:rFonts w:ascii="Calibri" w:cs="Calibri" w:eastAsia="Calibri" w:hAnsi="Calibri"/>
          <w:b w:val="false"/>
          <w:bCs w:val="false"/>
          <w:color w:val="4A5568"/>
          <w:sz w:val="20"/>
          <w:szCs w:val="20"/>
        </w:rPr>
        <w:t xml:space="preserve">Espérance mathématique Y1 (base) : 0,12 × 2,68 + 0,14 × 2,92 + 0,20 × 3,15 + 0,16 × 3,35 + 0,12 × 3,61 + 0,09 × 3,83 + 0,06 × 4,06 + 0,09 × 4,34 = 3,45 %</w:t>
      </w:r>
    </w:p>
    <w:p>
      <w:pPr>
        <w:spacing w:after="40" w:before="40" w:line="270" w:lineRule="auto"/>
      </w:pPr>
      <w:r>
        <w:rPr>
          <w:rFonts w:ascii="Calibri" w:cs="Calibri" w:eastAsia="Calibri" w:hAnsi="Calibri"/>
          <w:b/>
          <w:bCs/>
          <w:color w:val="1B2A4A"/>
          <w:sz w:val="22"/>
          <w:szCs w:val="22"/>
        </w:rPr>
        <w:t xml:space="preserve">Après intégration des seconds tours nets (+ 5 bp) et consensus avec ChatGPT : EUR Y1 fair value = 3,52 %.</w:t>
      </w:r>
    </w:p>
    <w:p>
      <w:pPr>
        <w:spacing w:after="0" w:before="80"/>
      </w:pPr>
    </w:p>
    <w:p>
      <w:pPr>
        <w:spacing w:after="60" w:before="200"/>
      </w:pPr>
      <w:r>
        <w:rPr>
          <w:rFonts w:ascii="Calibri" w:cs="Calibri" w:eastAsia="Calibri" w:hAnsi="Calibri"/>
          <w:b/>
          <w:bCs/>
          <w:color w:val="1B2A4A"/>
          <w:sz w:val="24"/>
          <w:szCs w:val="24"/>
        </w:rPr>
        <w:t xml:space="preserve">4.2  Zone euro — Niveau Y2 (mars 2027 → février 2028)</w:t>
      </w:r>
    </w:p>
    <w:p>
      <w:pPr>
        <w:spacing w:after="0" w:before="20"/>
      </w:pPr>
    </w:p>
    <w:p>
      <w:pPr>
        <w:spacing w:after="40" w:before="40" w:line="270" w:lineRule="auto"/>
      </w:pPr>
      <w:r>
        <w:rPr>
          <w:rFonts w:ascii="Calibri" w:cs="Calibri" w:eastAsia="Calibri" w:hAnsi="Calibri"/>
          <w:b w:val="false"/>
          <w:bCs w:val="false"/>
          <w:color w:val="111827"/>
          <w:sz w:val="21"/>
          <w:szCs w:val="21"/>
        </w:rPr>
        <w:t xml:space="preserve">En Y2, l'énergie est largement normalisée. Les deux moteurs de persistance sont l'alimentation (récoltes 2026 compromises sur 12 à 18 mois) et les services (salaires indexés, conventions collectives signées). Les caps gouvernementaux appliqués en Y1 reportent également une partie de l'inflation en Y2.</w:t>
      </w:r>
    </w:p>
    <w:p>
      <w:pPr>
        <w:spacing w:after="0" w:before="4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gridCol w:w="100"/>
      </w:tblGrid>
      <w:tr>
        <w:tc>
          <w:tcPr>
            <w:tcW w:type="dxa" w:w="20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Scénario de fin</w:t>
            </w:r>
          </w:p>
        </w:tc>
        <w:tc>
          <w:tcPr>
            <w:tcW w:type="dxa" w:w="8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Proba.</w:t>
            </w:r>
          </w:p>
        </w:tc>
        <w:tc>
          <w:tcPr>
            <w:tcW w:type="dxa" w:w="13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Énergie résiduelle</w:t>
            </w:r>
          </w:p>
        </w:tc>
        <w:tc>
          <w:tcPr>
            <w:tcW w:type="dxa" w:w="15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Alimentation
(persistance)</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NEIG trailing</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Services</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Niveau Y2</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&lt; Mars</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+ 0,03</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+ 0,14</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+ 0,04</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+ 0,10</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2,36 %</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Avril</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14 %</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+ 0,04</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+ 0,18</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+ 0,06</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+ 0,12</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2,45 %</w:t>
            </w:r>
          </w:p>
        </w:tc>
      </w:tr>
      <w:tr>
        <w:tc>
          <w:tcPr>
            <w:tcW w:type="dxa" w:w="2000"/>
            <w:gridSpan w:val="1"/>
            <w:shd w:fill="DBEAFE" w:color="auto" w:val="clear"/>
            <w:tcMar>
              <w:top w:type="dxa" w:w="80"/>
              <w:left w:type="dxa" w:w="130"/>
              <w:bottom w:type="dxa" w:w="80"/>
              <w:right w:type="dxa" w:w="130"/>
            </w:tcMar>
          </w:tcPr>
          <w:p>
            <w:pPr>
              <w:spacing w:after="20" w:before="20"/>
              <w:jc w:val="left"/>
            </w:pPr>
            <w:r>
              <w:rPr>
                <w:rFonts w:ascii="Calibri" w:cs="Calibri" w:eastAsia="Calibri" w:hAnsi="Calibri"/>
                <w:b/>
                <w:bCs/>
                <w:color w:val="111827"/>
                <w:sz w:val="20"/>
                <w:szCs w:val="20"/>
              </w:rPr>
              <w:t xml:space="preserve">Mai  ← médiane</w:t>
            </w:r>
          </w:p>
        </w:tc>
        <w:tc>
          <w:tcPr>
            <w:tcW w:type="dxa" w:w="8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20 %</w:t>
            </w:r>
          </w:p>
        </w:tc>
        <w:tc>
          <w:tcPr>
            <w:tcW w:type="dxa" w:w="13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+ 0,04</w:t>
            </w:r>
          </w:p>
        </w:tc>
        <w:tc>
          <w:tcPr>
            <w:tcW w:type="dxa" w:w="15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+ 0,22</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+ 0,08</w:t>
            </w:r>
          </w:p>
        </w:tc>
        <w:tc>
          <w:tcPr>
            <w:tcW w:type="dxa" w:w="11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+ 0,13</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2,52 %</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Juin</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16 %</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+ 0,05</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+ 0,12</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+ 0,15</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2,65 %</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Juillet</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+ 0,06</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+ 0,33</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+ 0,16</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+ 0,17</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2,77 %</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Août</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+ 0,07</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+ 0,20</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2,88 %</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Septembre</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6 %</w:t>
            </w:r>
          </w:p>
        </w:tc>
        <w:tc>
          <w:tcPr>
            <w:tcW w:type="dxa" w:w="13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+ 0,08</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+ 0,42</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+ 0,24</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+ 0,20</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2,99 %</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T4 2026</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3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+ 0,09</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+ 0,28</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+ 0,22</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3,12 %</w:t>
            </w:r>
          </w:p>
        </w:tc>
      </w:tr>
    </w:tbl>
    <w:p>
      <w:pPr>
        <w:spacing w:after="0" w:before="40"/>
      </w:pPr>
    </w:p>
    <w:p>
      <w:pPr>
        <w:spacing w:after="40" w:before="40" w:line="270" w:lineRule="auto"/>
      </w:pPr>
      <w:r>
        <w:rPr>
          <w:rFonts w:ascii="Calibri" w:cs="Calibri" w:eastAsia="Calibri" w:hAnsi="Calibri"/>
          <w:b/>
          <w:bCs/>
          <w:color w:val="1B2A4A"/>
          <w:sz w:val="22"/>
          <w:szCs w:val="22"/>
        </w:rPr>
        <w:t xml:space="preserve">Espérance mathématique Y2 (base) = 2,67 %. Après seconds tours nets (+ 27 bp) et consensus avec ChatGPT : EUR Y2 fair value = 2,86 %.</w:t>
      </w:r>
    </w:p>
    <w:p>
      <w:pPr>
        <w:spacing w:after="40" w:before="40" w:line="270" w:lineRule="auto"/>
      </w:pPr>
      <w:r>
        <w:rPr>
          <w:rFonts w:ascii="Calibri" w:cs="Calibri" w:eastAsia="Calibri" w:hAnsi="Calibri"/>
          <w:b w:val="false"/>
          <w:bCs w:val="false"/>
          <w:color w:val="4A5568"/>
          <w:sz w:val="20"/>
          <w:szCs w:val="20"/>
        </w:rPr>
        <w:t xml:space="preserve">Taux 1an/1an calculé par la formule exacte : 1an/1an = (1 + 2 ans)² / (1 + 1 an) − 1.</w:t>
      </w:r>
    </w:p>
    <w:p>
      <w:pPr>
        <w:spacing w:after="0" w:before="80"/>
      </w:pPr>
    </w:p>
    <w:p>
      <w:pPr>
        <w:spacing w:after="60" w:before="200"/>
      </w:pPr>
      <w:r>
        <w:rPr>
          <w:rFonts w:ascii="Calibri" w:cs="Calibri" w:eastAsia="Calibri" w:hAnsi="Calibri"/>
          <w:b/>
          <w:bCs/>
          <w:color w:val="1B2A4A"/>
          <w:sz w:val="24"/>
          <w:szCs w:val="24"/>
        </w:rPr>
        <w:t xml:space="preserve">4.3  États-Unis — Spécificités structurelles et niveaux CPI</w:t>
      </w:r>
    </w:p>
    <w:p>
      <w:pPr>
        <w:spacing w:after="0" w:before="20"/>
      </w:pPr>
    </w:p>
    <w:p>
      <w:pPr>
        <w:spacing w:after="40" w:before="40" w:line="270" w:lineRule="auto"/>
      </w:pPr>
      <w:r>
        <w:rPr>
          <w:rFonts w:ascii="Calibri" w:cs="Calibri" w:eastAsia="Calibri" w:hAnsi="Calibri"/>
          <w:b/>
          <w:bCs/>
          <w:color w:val="1B2A4A"/>
          <w:sz w:val="21"/>
          <w:szCs w:val="21"/>
        </w:rPr>
        <w:t xml:space="preserve">Différences clés par rapport au HICP : </w:t>
      </w:r>
      <w:r>
        <w:rPr>
          <w:rFonts w:ascii="Calibri" w:cs="Calibri" w:eastAsia="Calibri" w:hAnsi="Calibri"/>
          <w:sz w:val="21"/>
          <w:szCs w:val="21"/>
        </w:rPr>
        <w:t xml:space="preserve">(i) le shelter représente 35 % du CPI américain — c'est une ancre déflationniste quasi-insensible à la guerre ; (ii) les États-Unis sont producteurs nets d'énergie — amortissement partiel ; (iii) la nourriture pèse 13,5 % (vs 19,3 % en zone euro) avec une moindre dépendance aux importations du Golfe ; (iv) les caps fiscaux fédéraux sont pratiquement inexistants, ce qui réduit les amortisseurs institutionnels mais aussi les effets de report vers l'année 2.</w:t>
      </w:r>
    </w:p>
    <w:p>
      <w:pPr>
        <w:spacing w:after="0" w:before="4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gridCol w:w="100"/>
      </w:tblGrid>
      <w:tr>
        <w:tc>
          <w:tcPr>
            <w:tcW w:type="dxa" w:w="19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Scénario de fin</w:t>
            </w:r>
          </w:p>
        </w:tc>
        <w:tc>
          <w:tcPr>
            <w:tcW w:type="dxa" w:w="8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Proba.</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Énergie
(7 %)</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Alimentation
(13,5 %)</w:t>
            </w:r>
          </w:p>
        </w:tc>
        <w:tc>
          <w:tcPr>
            <w:tcW w:type="dxa" w:w="15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Biens + Pétrochimie
(20,5 %)</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Shelter (35 %)
stable</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Niveau Y1</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&lt; Mars</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+ 0,15</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+ 0,20</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+ 0,08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4A5568"/>
                <w:sz w:val="20"/>
                <w:szCs w:val="20"/>
              </w:rPr>
              <w:t xml:space="preserve">3,00 %</w:t>
            </w:r>
          </w:p>
        </w:tc>
      </w:tr>
      <w:tr>
        <w:tc>
          <w:tcPr>
            <w:tcW w:type="dxa" w:w="19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Avril</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14 %</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+ 0,22</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+ 0,22</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+ 0,12</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4A5568"/>
                <w:sz w:val="20"/>
                <w:szCs w:val="20"/>
              </w:rPr>
              <w:t xml:space="preserve">3,11 %</w:t>
            </w:r>
          </w:p>
        </w:tc>
      </w:tr>
      <w:tr>
        <w:tc>
          <w:tcPr>
            <w:tcW w:type="dxa" w:w="1900"/>
            <w:gridSpan w:val="1"/>
            <w:shd w:fill="DBEAFE" w:color="auto" w:val="clear"/>
            <w:tcMar>
              <w:top w:type="dxa" w:w="80"/>
              <w:left w:type="dxa" w:w="130"/>
              <w:bottom w:type="dxa" w:w="80"/>
              <w:right w:type="dxa" w:w="130"/>
            </w:tcMar>
          </w:tcPr>
          <w:p>
            <w:pPr>
              <w:spacing w:after="20" w:before="20"/>
              <w:jc w:val="left"/>
            </w:pPr>
            <w:r>
              <w:rPr>
                <w:rFonts w:ascii="Calibri" w:cs="Calibri" w:eastAsia="Calibri" w:hAnsi="Calibri"/>
                <w:b/>
                <w:bCs/>
                <w:color w:val="111827"/>
                <w:sz w:val="20"/>
                <w:szCs w:val="20"/>
              </w:rPr>
              <w:t xml:space="preserve">Mai  ← médiane</w:t>
            </w:r>
          </w:p>
        </w:tc>
        <w:tc>
          <w:tcPr>
            <w:tcW w:type="dxa" w:w="8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20 %</w:t>
            </w:r>
          </w:p>
        </w:tc>
        <w:tc>
          <w:tcPr>
            <w:tcW w:type="dxa" w:w="11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+ 0,28</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+ 0,25</w:t>
            </w:r>
          </w:p>
        </w:tc>
        <w:tc>
          <w:tcPr>
            <w:tcW w:type="dxa" w:w="15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+ 0,18</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3,21 %</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Juin</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16 %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+ 0,34</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+ 0,28</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+ 0,20</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3,29 %</w:t>
            </w:r>
          </w:p>
        </w:tc>
      </w:tr>
      <w:tr>
        <w:tc>
          <w:tcPr>
            <w:tcW w:type="dxa" w:w="19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Juillet</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12 %</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+ 0,44</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+ 0,34</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+ 0,24</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3,49 %</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Août</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+ 0,52</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+ 0,38</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+ 0,28</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3,63 %</w:t>
            </w:r>
          </w:p>
        </w:tc>
      </w:tr>
      <w:tr>
        <w:tc>
          <w:tcPr>
            <w:tcW w:type="dxa" w:w="19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Septembre</w:t>
            </w:r>
          </w:p>
        </w:tc>
        <w:tc>
          <w:tcPr>
            <w:tcW w:type="dxa" w:w="8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6 %</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+ 0,62</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+ 0,43</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+ 0,32</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3,82 %</w:t>
            </w:r>
          </w:p>
        </w:tc>
      </w:tr>
      <w:tr>
        <w:tc>
          <w:tcPr>
            <w:tcW w:type="dxa" w:w="19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T4 2026</w:t>
            </w:r>
          </w:p>
        </w:tc>
        <w:tc>
          <w:tcPr>
            <w:tcW w:type="dxa" w:w="8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9 %</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+ 0,72</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+ 0,50</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+ 0,36</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stable</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bCs/>
                <w:color w:val="C0392B"/>
                <w:sz w:val="20"/>
                <w:szCs w:val="20"/>
              </w:rPr>
              <w:t xml:space="preserve">4,08 %</w:t>
            </w:r>
          </w:p>
        </w:tc>
      </w:tr>
    </w:tbl>
    <w:p>
      <w:pPr>
        <w:spacing w:after="0" w:before="40"/>
      </w:pPr>
    </w:p>
    <w:p>
      <w:pPr>
        <w:spacing w:after="40" w:before="40" w:line="270" w:lineRule="auto"/>
      </w:pPr>
      <w:r>
        <w:rPr>
          <w:rFonts w:ascii="Calibri" w:cs="Calibri" w:eastAsia="Calibri" w:hAnsi="Calibri"/>
          <w:b/>
          <w:bCs/>
          <w:color w:val="1B2A4A"/>
          <w:sz w:val="22"/>
          <w:szCs w:val="22"/>
        </w:rPr>
        <w:t xml:space="preserve">Espérance mathématique USD Y1 (base) = 3,57 %. Après seconds tours nets (+ 8 bp) : USD Y1 fair value = 3,62 %.</w:t>
      </w:r>
    </w:p>
    <w:p>
      <w:pPr>
        <w:spacing w:after="40" w:before="40" w:line="270" w:lineRule="auto"/>
      </w:pPr>
      <w:r>
        <w:rPr>
          <w:rFonts w:ascii="Calibri" w:cs="Calibri" w:eastAsia="Calibri" w:hAnsi="Calibri"/>
          <w:b/>
          <w:bCs/>
          <w:color w:val="1B2A4A"/>
          <w:sz w:val="22"/>
          <w:szCs w:val="22"/>
        </w:rPr>
        <w:t xml:space="preserve">USD Y2 EV (base) = 2,62 %. Après seconds tours (+ 14 bp) : USD Y2 fair value = 2,73 %.</w:t>
      </w:r>
    </w:p>
    <w:p>
      <w:pPr>
        <w:spacing w:after="0" w:before="120"/>
      </w:pPr>
    </w:p>
    <w:p>
      <w:r>
        <w:br w:type="page"/>
      </w:r>
    </w:p>
    <w:p>
      <w:pPr>
        <w:spacing w:after="80" w:before="300"/>
      </w:pPr>
      <w:r>
        <w:rPr>
          <w:rFonts w:ascii="Calibri" w:cs="Calibri" w:eastAsia="Calibri" w:hAnsi="Calibri"/>
          <w:b/>
          <w:bCs/>
          <w:color w:val="1B2A4A"/>
          <w:sz w:val="28"/>
          <w:szCs w:val="28"/>
        </w:rPr>
        <w:t xml:space="preserve">5. GRILLE FINALE DE FAIR VALUE</w:t>
      </w:r>
    </w:p>
    <w:p>
      <w:pPr>
        <w:pBdr>
          <w:bottom w:val="single" w:color="C9972A" w:sz="8"/>
        </w:pBdr>
        <w:spacing w:after="80" w:before="60"/>
      </w:pPr>
    </w:p>
    <w:p>
      <w:pPr>
        <w:spacing w:after="0" w:before="20"/>
      </w:pPr>
    </w:p>
    <w:p>
      <w:pPr>
        <w:spacing w:after="60" w:before="200"/>
      </w:pPr>
      <w:r>
        <w:rPr>
          <w:rFonts w:ascii="Calibri" w:cs="Calibri" w:eastAsia="Calibri" w:hAnsi="Calibri"/>
          <w:b/>
          <w:bCs/>
          <w:color w:val="1B2A4A"/>
          <w:sz w:val="24"/>
          <w:szCs w:val="24"/>
        </w:rPr>
        <w:t xml:space="preserve">5.1  Réconciliation des trois modèles indépendants</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gridCol w:w="100"/>
      </w:tblGrid>
      <w:tr>
        <w:tc>
          <w:tcPr>
            <w:tcW w:type="dxa" w:w="20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Instrument</w:t>
            </w:r>
          </w:p>
        </w:tc>
        <w:tc>
          <w:tcPr>
            <w:tcW w:type="dxa" w:w="1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Marché actuel</w:t>
            </w:r>
          </w:p>
        </w:tc>
        <w:tc>
          <w:tcPr>
            <w:tcW w:type="dxa" w:w="15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Goldman / BofA
(estimations externes)</w:t>
            </w:r>
          </w:p>
        </w:tc>
        <w:tc>
          <w:tcPr>
            <w:tcW w:type="dxa" w:w="14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Notre modèle
(composantes)</w:t>
            </w:r>
          </w:p>
        </w:tc>
        <w:tc>
          <w:tcPr>
            <w:tcW w:type="dxa" w:w="14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ChatGPT corrigé
(seconds tours)</w:t>
            </w:r>
          </w:p>
        </w:tc>
        <w:tc>
          <w:tcPr>
            <w:tcW w:type="dxa" w:w="14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Fair value
consensus</w:t>
            </w:r>
          </w:p>
        </w:tc>
        <w:tc>
          <w:tcPr>
            <w:tcW w:type="dxa" w:w="13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Écart
vs marché</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 1 an (EUSWI1)</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3,075 %</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 3,1–3,2 %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3,50 %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3,55 %</w:t>
            </w:r>
          </w:p>
        </w:tc>
        <w:tc>
          <w:tcPr>
            <w:tcW w:type="dxa" w:w="14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3,52 %</w:t>
            </w:r>
          </w:p>
        </w:tc>
        <w:tc>
          <w:tcPr>
            <w:tcW w:type="dxa" w:w="13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+ 44 bp</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EUR 1an/1an</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2,25 %</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 2,4–2,5 %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2,94 %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2,78 %</w:t>
            </w:r>
          </w:p>
        </w:tc>
        <w:tc>
          <w:tcPr>
            <w:tcW w:type="dxa" w:w="14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2,86 %</w:t>
            </w:r>
          </w:p>
        </w:tc>
        <w:tc>
          <w:tcPr>
            <w:tcW w:type="dxa" w:w="13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+ 61 bp ★</w:t>
            </w:r>
          </w:p>
        </w:tc>
      </w:tr>
      <w:tr>
        <w:tc>
          <w:tcPr>
            <w:tcW w:type="dxa" w:w="20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USD 1 an (USSWIT1)</w:t>
            </w:r>
          </w:p>
        </w:tc>
        <w:tc>
          <w:tcPr>
            <w:tcW w:type="dxa" w:w="1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3,011 %</w:t>
            </w:r>
          </w:p>
        </w:tc>
        <w:tc>
          <w:tcPr>
            <w:tcW w:type="dxa" w:w="15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 3,2–3,5 %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3,65 %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3,60 %</w:t>
            </w:r>
          </w:p>
        </w:tc>
        <w:tc>
          <w:tcPr>
            <w:tcW w:type="dxa" w:w="14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3,62 %</w:t>
            </w:r>
          </w:p>
        </w:tc>
        <w:tc>
          <w:tcPr>
            <w:tcW w:type="dxa" w:w="13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A7A4A"/>
                <w:sz w:val="20"/>
                <w:szCs w:val="20"/>
              </w:rPr>
              <w:t xml:space="preserve">+ 61 bp ★</w:t>
            </w:r>
          </w:p>
        </w:tc>
      </w:tr>
      <w:tr>
        <w:tc>
          <w:tcPr>
            <w:tcW w:type="dxa" w:w="20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USD 1an/1an (.1Y1YINF)</w:t>
            </w:r>
          </w:p>
        </w:tc>
        <w:tc>
          <w:tcPr>
            <w:tcW w:type="dxa" w:w="1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2,181 %</w:t>
            </w:r>
          </w:p>
        </w:tc>
        <w:tc>
          <w:tcPr>
            <w:tcW w:type="dxa" w:w="15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4A5568"/>
                <w:sz w:val="20"/>
                <w:szCs w:val="20"/>
              </w:rPr>
              <w:t xml:space="preserve">≈ 2,5–2,7 %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2,77 %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2,68 %</w:t>
            </w:r>
          </w:p>
        </w:tc>
        <w:tc>
          <w:tcPr>
            <w:tcW w:type="dxa" w:w="14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2,73 %</w:t>
            </w:r>
          </w:p>
        </w:tc>
        <w:tc>
          <w:tcPr>
            <w:tcW w:type="dxa" w:w="13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0"/>
                <w:szCs w:val="20"/>
              </w:rPr>
              <w:t xml:space="preserve">+ 55 bp</w:t>
            </w:r>
          </w:p>
        </w:tc>
      </w:tr>
    </w:tbl>
    <w:p>
      <w:pPr>
        <w:spacing w:after="0" w:before="80"/>
      </w:pPr>
    </w:p>
    <w:p>
      <w:pPr>
        <w:spacing w:after="60" w:before="200"/>
      </w:pPr>
      <w:r>
        <w:rPr>
          <w:rFonts w:ascii="Calibri" w:cs="Calibri" w:eastAsia="Calibri" w:hAnsi="Calibri"/>
          <w:b/>
          <w:bCs/>
          <w:color w:val="1B2A4A"/>
          <w:sz w:val="24"/>
          <w:szCs w:val="24"/>
        </w:rPr>
        <w:t xml:space="preserve">5.2  Fourchettes tradables et conviction par instrument</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gridCol w:w="100"/>
      </w:tblGrid>
      <w:tr>
        <w:tc>
          <w:tcPr>
            <w:tcW w:type="dxa" w:w="9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Rang</w:t>
            </w:r>
          </w:p>
        </w:tc>
        <w:tc>
          <w:tcPr>
            <w:tcW w:type="dxa" w:w="17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Instrument</w:t>
            </w:r>
          </w:p>
        </w:tc>
        <w:tc>
          <w:tcPr>
            <w:tcW w:type="dxa" w:w="11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Fair value</w:t>
            </w:r>
          </w:p>
        </w:tc>
        <w:tc>
          <w:tcPr>
            <w:tcW w:type="dxa" w:w="14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Fourchette tradable</w:t>
            </w:r>
          </w:p>
        </w:tc>
        <w:tc>
          <w:tcPr>
            <w:tcW w:type="dxa" w:w="27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Argument principal</w:t>
            </w:r>
          </w:p>
        </w:tc>
        <w:tc>
          <w:tcPr>
            <w:tcW w:type="dxa" w:w="14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Risque principal</w:t>
            </w:r>
          </w:p>
        </w:tc>
      </w:tr>
      <w:tr>
        <w:tc>
          <w:tcPr>
            <w:tcW w:type="dxa" w:w="9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1er ★</w:t>
            </w:r>
          </w:p>
        </w:tc>
        <w:tc>
          <w:tcPr>
            <w:tcW w:type="dxa" w:w="1700"/>
            <w:gridSpan w:val="1"/>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USD 1 an</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3,62 %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3,45 – 3,80 %</w:t>
            </w:r>
          </w:p>
        </w:tc>
        <w:tc>
          <w:tcPr>
            <w:tcW w:type="dxa" w:w="27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Goldman Sachs projette lui-même un CPI américain à 3,2–3,5 % dans son scénario de base. Le marché est à 3,011 %. C'est Goldman contre le marché, non une extrapolation agressive. Pass-through front-end immédiat. Quasiment aucun cap fiscal au niveau fédéral.</w:t>
            </w:r>
          </w:p>
        </w:tc>
        <w:tc>
          <w:tcPr>
            <w:tcW w:type="dxa" w:w="14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TACO rapide avant fin mars + shelter qui déflate plus vite que prévu</w:t>
            </w:r>
          </w:p>
        </w:tc>
      </w:tr>
      <w:tr>
        <w:tc>
          <w:tcPr>
            <w:tcW w:type="dxa" w:w="900"/>
            <w:gridSpan w:val="1"/>
            <w:shd w:fill="D1FAE5"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1er ★</w:t>
            </w:r>
          </w:p>
        </w:tc>
        <w:tc>
          <w:tcPr>
            <w:tcW w:type="dxa" w:w="17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EUR 1an/1an</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2,86 %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2,72 – 3,00 %</w:t>
            </w:r>
          </w:p>
        </w:tc>
        <w:tc>
          <w:tcPr>
            <w:tcW w:type="dxa" w:w="27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La food wave Y2 est irréversible : récoltes 2026 compromises sur 12 à 18 mois. Salaires indexés automatiquement en Belgique, France et Espagne. Les caps gouvernementaux Y1 reportent une partie de l'inflation en Y2 plutôt que de l'éliminer.</w:t>
            </w:r>
          </w:p>
        </w:tc>
        <w:tc>
          <w:tcPr>
            <w:tcW w:type="dxa" w:w="14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Plafonnement gouvernemental étendu à l'alimentation</w:t>
            </w:r>
          </w:p>
        </w:tc>
      </w:tr>
      <w:tr>
        <w:tc>
          <w:tcPr>
            <w:tcW w:type="dxa" w:w="900"/>
            <w:gridSpan w:val="1"/>
            <w:shd w:fill="DBEAFE"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2e</w:t>
            </w:r>
          </w:p>
        </w:tc>
        <w:tc>
          <w:tcPr>
            <w:tcW w:type="dxa" w:w="1700"/>
            <w:gridSpan w:val="1"/>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USD 1an/1an</w:t>
            </w:r>
          </w:p>
        </w:tc>
        <w:tc>
          <w:tcPr>
            <w:tcW w:type="dxa" w:w="1100"/>
            <w:gridSpan w:val="1"/>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2,73 %</w:t>
            </w:r>
          </w:p>
        </w:tc>
        <w:tc>
          <w:tcPr>
            <w:tcW w:type="dxa" w:w="14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2,58 – 2,85 %</w:t>
            </w:r>
          </w:p>
        </w:tc>
        <w:tc>
          <w:tcPr>
            <w:tcW w:type="dxa" w:w="27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Shelter sticky. Persistance alimentaire. Seconds tours + 14 bp nets. Trois modèles indépendants convergent à 2,68–2,77 %.</w:t>
            </w:r>
          </w:p>
        </w:tc>
        <w:tc>
          <w:tcPr>
            <w:tcW w:type="dxa" w:w="14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Shelter déflate plus vite + récession comprime l'inflation</w:t>
            </w:r>
          </w:p>
        </w:tc>
      </w:tr>
      <w:tr>
        <w:tc>
          <w:tcPr>
            <w:tcW w:type="dxa" w:w="9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11827"/>
                <w:sz w:val="20"/>
                <w:szCs w:val="20"/>
              </w:rPr>
              <w:t xml:space="preserve">3e</w:t>
            </w:r>
          </w:p>
        </w:tc>
        <w:tc>
          <w:tcPr>
            <w:tcW w:type="dxa" w:w="17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bCs/>
                <w:color w:val="1B2A4A"/>
                <w:sz w:val="20"/>
                <w:szCs w:val="20"/>
              </w:rPr>
              <w:t xml:space="preserve">EUR 1 an</w:t>
            </w:r>
          </w:p>
        </w:tc>
        <w:tc>
          <w:tcPr>
            <w:tcW w:type="dxa" w:w="11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bCs/>
                <w:color w:val="1B2A4A"/>
                <w:sz w:val="24"/>
                <w:szCs w:val="24"/>
              </w:rPr>
              <w:t xml:space="preserve">3,52 %</w:t>
            </w:r>
          </w:p>
        </w:tc>
        <w:tc>
          <w:tcPr>
            <w:tcW w:type="dxa" w:w="14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11827"/>
                <w:sz w:val="20"/>
                <w:szCs w:val="20"/>
              </w:rPr>
              <w:t xml:space="preserve">3,40 – 3,65 %</w:t>
            </w:r>
          </w:p>
        </w:tc>
        <w:tc>
          <w:tcPr>
            <w:tcW w:type="dxa" w:w="27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Trade valide. Le scénario marqué de BofA (pétrole 100 $, 3–4 mois) justifie un niveau de 3,4 à 3,6 %. Canal pétrochimique additionnel non capturé par Goldman ni BofA.</w:t>
            </w:r>
          </w:p>
        </w:tc>
        <w:tc>
          <w:tcPr>
            <w:tcW w:type="dxa" w:w="14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Le scénario de base BofA (pétrole 80 $, 2 mois) est quasi-aligné avec le marché (3,075 %). Le gap réel est faible en cas de TACO rapide.</w:t>
            </w:r>
          </w:p>
        </w:tc>
      </w:tr>
    </w:tbl>
    <w:p>
      <w:pPr>
        <w:spacing w:after="0" w:before="80"/>
      </w:pPr>
    </w:p>
    <w:p>
      <w:pPr>
        <w:spacing w:after="60" w:before="200"/>
      </w:pPr>
      <w:r>
        <w:rPr>
          <w:rFonts w:ascii="Calibri" w:cs="Calibri" w:eastAsia="Calibri" w:hAnsi="Calibri"/>
          <w:b/>
          <w:bCs/>
          <w:color w:val="1B2A4A"/>
          <w:sz w:val="24"/>
          <w:szCs w:val="24"/>
        </w:rPr>
        <w:t xml:space="preserve">5.3  Validation externe croisée</w:t>
      </w:r>
    </w:p>
    <w:p>
      <w:pPr>
        <w:spacing w:after="0" w:before="20"/>
      </w:pPr>
    </w:p>
    <w:tbl>
      <w:tblPr>
        <w:tblW w:type="dxa" w:w="92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c>
          <w:tcPr>
            <w:tcW w:type="dxa" w:w="25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Source</w:t>
            </w:r>
          </w:p>
        </w:tc>
        <w:tc>
          <w:tcPr>
            <w:tcW w:type="dxa" w:w="3500"/>
            <w:gridSpan w:val="1"/>
            <w:shd w:fill="1B2A4A" w:color="auto" w:val="clear"/>
            <w:tcMar>
              <w:top w:type="dxa" w:w="80"/>
              <w:left w:type="dxa" w:w="130"/>
              <w:bottom w:type="dxa" w:w="80"/>
              <w:right w:type="dxa" w:w="130"/>
            </w:tcMar>
          </w:tcPr>
          <w:p>
            <w:pPr>
              <w:spacing w:after="20" w:before="20"/>
              <w:jc w:val="left"/>
            </w:pPr>
            <w:r>
              <w:rPr>
                <w:rFonts w:ascii="Calibri" w:cs="Calibri" w:eastAsia="Calibri" w:hAnsi="Calibri"/>
                <w:b/>
                <w:bCs/>
                <w:color w:val="FFFFFF"/>
                <w:sz w:val="20"/>
                <w:szCs w:val="20"/>
              </w:rPr>
              <w:t xml:space="preserve">Projection ou règle publiée</w:t>
            </w:r>
          </w:p>
        </w:tc>
        <w:tc>
          <w:tcPr>
            <w:tcW w:type="dxa" w:w="3200"/>
            <w:gridSpan w:val="1"/>
            <w:shd w:fill="1B2A4A" w:color="auto" w:val="clear"/>
            <w:tcMar>
              <w:top w:type="dxa" w:w="80"/>
              <w:left w:type="dxa" w:w="130"/>
              <w:bottom w:type="dxa" w:w="80"/>
              <w:right w:type="dxa" w:w="130"/>
            </w:tcMar>
          </w:tcPr>
          <w:p>
            <w:pPr>
              <w:spacing w:after="20" w:before="20"/>
              <w:jc w:val="center"/>
            </w:pPr>
            <w:r>
              <w:rPr>
                <w:rFonts w:ascii="Calibri" w:cs="Calibri" w:eastAsia="Calibri" w:hAnsi="Calibri"/>
                <w:b/>
                <w:bCs/>
                <w:color w:val="FFFFFF"/>
                <w:sz w:val="20"/>
                <w:szCs w:val="20"/>
              </w:rPr>
              <w:t xml:space="preserve">Cohérence avec nos niveaux</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EY-Parthenon (mars 2026)</w:t>
            </w:r>
          </w:p>
        </w:tc>
        <w:tc>
          <w:tcPr>
            <w:tcW w:type="dxa" w:w="3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 Le CPI US augmentera de 0,9 % en mars, portant l'inflation vers 3,3 % »</w:t>
            </w:r>
          </w:p>
        </w:tc>
        <w:tc>
          <w:tcPr>
            <w:tcW w:type="dxa" w:w="3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Cohérent avec notre niveau USD Y1 scénario médian (3,21 %) ✓</w:t>
            </w:r>
          </w:p>
        </w:tc>
      </w:tr>
      <w:tr>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Goldman Sachs — États-Unis (Mericle)</w:t>
            </w:r>
          </w:p>
        </w:tc>
        <w:tc>
          <w:tcPr>
            <w:tcW w:type="dxa" w:w="3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Scénario de base : CPI ≈ 3,2–3,5 % en décembre 2026. Pire cas (1 mois Hormuz) : pic printanier proche de 4,5 %.</w:t>
            </w:r>
          </w:p>
        </w:tc>
        <w:tc>
          <w:tcPr>
            <w:tcW w:type="dxa" w:w="3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Notre fair value USD Y1 (3,62 %) se situe entre le scénario de base et le pire cas. ✓</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BofA — Segura-Cayuela</w:t>
            </w:r>
          </w:p>
        </w:tc>
        <w:tc>
          <w:tcPr>
            <w:tcW w:type="dxa" w:w="3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Scénario marqué (pétrole 100 $, 3–4 mois) : HICP moyen 2026 = 2,4 %, pic T2 &gt; 3 %.</w:t>
            </w:r>
          </w:p>
        </w:tc>
        <w:tc>
          <w:tcPr>
            <w:tcW w:type="dxa" w:w="3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Niveau EUR Y1 scénario juin = 3,35 %. ✓</w:t>
            </w:r>
          </w:p>
        </w:tc>
      </w:tr>
      <w:tr>
        <w:tc>
          <w:tcPr>
            <w:tcW w:type="dxa" w:w="2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Oxford Economics (Saunders)</w:t>
            </w:r>
          </w:p>
        </w:tc>
        <w:tc>
          <w:tcPr>
            <w:tcW w:type="dxa" w:w="3500"/>
            <w:gridSpan w:val="1"/>
            <w:shd w:fill="F7F8FA" w:color="auto" w:val="clear"/>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Inflation zone euro au T4 2026 : + 0,5 à + 0,6 point au-dessus des prévisions initiales.</w:t>
            </w:r>
          </w:p>
        </w:tc>
        <w:tc>
          <w:tcPr>
            <w:tcW w:type="dxa" w:w="3200"/>
            <w:gridSpan w:val="1"/>
            <w:shd w:fill="F7F8FA" w:color="auto" w:val="clear"/>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Nos scénarios juillet–septembre (niveaux 3,48 à 4,06 %) impliquent un delta de ≈ + 0,6 point. ✓</w:t>
            </w:r>
          </w:p>
        </w:tc>
      </w:tr>
      <w:tr>
        <w:tc>
          <w:tcPr>
            <w:tcW w:type="dxa" w:w="2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Polymarket (marché de prédiction)</w:t>
            </w:r>
          </w:p>
        </w:tc>
        <w:tc>
          <w:tcPr>
            <w:tcW w:type="dxa" w:w="3500"/>
            <w:gridSpan w:val="1"/>
            <w:tcMar>
              <w:top w:type="dxa" w:w="80"/>
              <w:left w:type="dxa" w:w="130"/>
              <w:bottom w:type="dxa" w:w="80"/>
              <w:right w:type="dxa" w:w="130"/>
            </w:tcMar>
          </w:tcPr>
          <w:p>
            <w:pPr>
              <w:spacing w:after="20" w:before="20"/>
              <w:jc w:val="left"/>
            </w:pPr>
            <w:r>
              <w:rPr>
                <w:rFonts w:ascii="Calibri" w:cs="Calibri" w:eastAsia="Calibri" w:hAnsi="Calibri"/>
                <w:b w:val="false"/>
                <w:bCs w:val="false"/>
                <w:color w:val="111827"/>
                <w:sz w:val="20"/>
                <w:szCs w:val="20"/>
              </w:rPr>
              <w:t xml:space="preserve">42 % de probabilité de hausse de taux BCE en 2026 (contre 12 % avant la guerre).</w:t>
            </w:r>
          </w:p>
        </w:tc>
        <w:tc>
          <w:tcPr>
            <w:tcW w:type="dxa" w:w="3200"/>
            <w:gridSpan w:val="1"/>
            <w:tcMar>
              <w:top w:type="dxa" w:w="80"/>
              <w:left w:type="dxa" w:w="130"/>
              <w:bottom w:type="dxa" w:w="80"/>
              <w:right w:type="dxa" w:w="130"/>
            </w:tcMar>
          </w:tcPr>
          <w:p>
            <w:pPr>
              <w:spacing w:after="20" w:before="20"/>
              <w:jc w:val="center"/>
            </w:pPr>
            <w:r>
              <w:rPr>
                <w:rFonts w:ascii="Calibri" w:cs="Calibri" w:eastAsia="Calibri" w:hAnsi="Calibri"/>
                <w:b w:val="false"/>
                <w:bCs w:val="false"/>
                <w:color w:val="1A7A4A"/>
                <w:sz w:val="20"/>
                <w:szCs w:val="20"/>
              </w:rPr>
              <w:t xml:space="preserve">Confirme le risque de seconds tours et l'intérêt des positions sur l'EUR 1an/1an. ✓</w:t>
            </w:r>
          </w:p>
        </w:tc>
      </w:tr>
    </w:tbl>
    <w:p>
      <w:pPr>
        <w:spacing w:after="0" w:before="100"/>
      </w:pPr>
    </w:p>
    <w:p>
      <w:pPr>
        <w:pBdr>
          <w:bottom w:val="single" w:color="E5E7EB" w:sz="4"/>
        </w:pBdr>
        <w:spacing w:after="80" w:before="60"/>
      </w:pPr>
    </w:p>
    <w:p>
      <w:pPr>
        <w:spacing w:after="0" w:before="40"/>
      </w:pPr>
    </w:p>
    <w:p>
      <w:pPr>
        <w:spacing w:after="30" w:before="30"/>
      </w:pPr>
      <w:r>
        <w:rPr>
          <w:rFonts w:ascii="Calibri" w:cs="Calibri" w:eastAsia="Calibri" w:hAnsi="Calibri"/>
          <w:i/>
          <w:iCs/>
          <w:color w:val="4A5568"/>
          <w:sz w:val="19"/>
          <w:szCs w:val="19"/>
        </w:rPr>
        <w:t xml:space="preserve">Cette note constitue une analyse macro de desk. Les fair values présentés sont des valeurs fondamentales macro, non des prédictions de réalisation exacte. Les swaps de marché incorporent une prime de risque/liquidité (typiquement 0 à 15 bp) qui justifie légitimement un prix légèrement supérieur à nos niveaux de fair value macro.</w:t>
      </w:r>
    </w:p>
    <w:p>
      <w:pPr>
        <w:spacing w:after="0" w:before="20"/>
      </w:pPr>
    </w:p>
    <w:p>
      <w:pPr>
        <w:spacing w:after="30" w:before="30"/>
      </w:pPr>
      <w:r>
        <w:rPr>
          <w:rFonts w:ascii="Calibri" w:cs="Calibri" w:eastAsia="Calibri" w:hAnsi="Calibri"/>
          <w:i/>
          <w:iCs/>
          <w:color w:val="4A5568"/>
          <w:sz w:val="19"/>
          <w:szCs w:val="19"/>
        </w:rPr>
        <w:t xml:space="preserve">Sources : Goldman Sachs, Bank of America, NIESR, Oxford Economics, EY-Parthenon, BCE, BLS, Eurostat, BIS, FMI, ICIS, Bloomberg, Reuters, BIC Magazine, Chemistry World, Automotive Manufacturing Solutions — 15 mars 2026.</w:t>
      </w:r>
    </w:p>
    <w:sectPr>
      <w:headerReference w:type="default" r:id="rId7"/>
      <w:pgSz w:w="12240" w:h="15840" w:orient="portrait"/>
      <w:pgMar w:top="850" w:right="1150" w:bottom="8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A" w:sz="6"/>
      </w:pBdr>
      <w:spacing w:after="80" w:before="0"/>
    </w:pPr>
    <w:r>
      <w:rPr>
        <w:rFonts w:ascii="Calibri" w:cs="Calibri" w:eastAsia="Calibri" w:hAnsi="Calibri"/>
        <w:b/>
        <w:bCs/>
        <w:color w:val="1B2A4A"/>
        <w:sz w:val="18"/>
        <w:szCs w:val="18"/>
      </w:rPr>
      <w:t xml:space="preserve">NOTE DE RECHERCHE MACRO  |  SWAPS D'INFLATION  |  CONFIDENTIEL</w:t>
    </w:r>
    <w:r>
      <w:rPr>
        <w:rFonts w:ascii="Calibri" w:cs="Calibri" w:eastAsia="Calibri" w:hAnsi="Calibri"/>
        <w:color w:val="4A5568"/>
        <w:sz w:val="18"/>
        <w:szCs w:val="18"/>
      </w:rPr>
      <w:t xml:space="preserve">   15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2026-03-15T17:27:56.344Z</dcterms:created>
  <dcterms:modified xsi:type="dcterms:W3CDTF">2026-03-15T17:27:56.345Z</dcterms:modified>
</cp:coreProperties>
</file>

<file path=docProps/custom.xml><?xml version="1.0" encoding="utf-8"?>
<Properties xmlns="http://schemas.openxmlformats.org/officeDocument/2006/custom-properties" xmlns:vt="http://schemas.openxmlformats.org/officeDocument/2006/docPropsVTypes"/>
</file>