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200" w:before="0"/>
        <w:jc w:val="center"/>
      </w:pPr>
      <w:r>
        <w:rPr>
          <w:rFonts w:ascii="Arial" w:cs="Arial" w:eastAsia="Arial" w:hAnsi="Arial"/>
          <w:b/>
          <w:bCs/>
          <w:caps/>
          <w:color w:val="667085"/>
          <w:spacing w:val="100"/>
          <w:sz w:val="28"/>
          <w:szCs w:val="28"/>
        </w:rPr>
        <w:t xml:space="preserve">PROJET DE FIN D'ÉTUDES</w:t>
      </w:r>
    </w:p>
    <w:p>
      <w:pPr>
        <w:spacing w:after="600" w:before="0"/>
        <w:jc w:val="center"/>
      </w:pPr>
      <w:r>
        <w:rPr>
          <w:rFonts w:ascii="Arial" w:cs="Arial" w:eastAsia="Arial" w:hAnsi="Arial"/>
          <w:i/>
          <w:iCs/>
          <w:color w:val="98A2B3"/>
          <w:sz w:val="22"/>
          <w:szCs w:val="22"/>
        </w:rPr>
        <w:t xml:space="preserve">Rapport Technique</w:t>
      </w:r>
    </w:p>
    <w:p>
      <w:pPr>
        <w:pBdr>
          <w:bottom w:val="single" w:color="16A34A" w:sz="8" w:space="4"/>
        </w:pBdr>
        <w:spacing w:after="200" w:before="0"/>
        <w:jc w:val="center"/>
      </w:pPr>
      <w:r>
        <w:rPr>
          <w:rFonts w:ascii="Arial" w:cs="Arial" w:eastAsia="Arial" w:hAnsi="Arial"/>
          <w:b/>
          <w:bCs/>
          <w:color w:val="101828"/>
          <w:sz w:val="64"/>
          <w:szCs w:val="64"/>
        </w:rPr>
        <w:t xml:space="preserve">InnoDeploy</w:t>
      </w:r>
    </w:p>
    <w:p>
      <w:pPr>
        <w:spacing w:after="0" w:before="200"/>
      </w:pPr>
    </w:p>
    <w:p>
      <w:pPr>
        <w:spacing w:after="600" w:before="0"/>
        <w:jc w:val="center"/>
      </w:pPr>
      <w:r>
        <w:rPr>
          <w:rFonts w:ascii="Arial" w:cs="Arial" w:eastAsia="Arial" w:hAnsi="Arial"/>
          <w:i/>
          <w:iCs/>
          <w:color w:val="344054"/>
          <w:sz w:val="28"/>
          <w:szCs w:val="28"/>
        </w:rPr>
        <w:t xml:space="preserve">Plateforme DevOps SaaS d'Automatisation du Déploiement Intelligent</w:t>
      </w:r>
    </w:p>
    <w:p>
      <w:pPr>
        <w:spacing w:after="0" w:before="400"/>
      </w:pPr>
    </w:p>
    <w:p>
      <w:pPr>
        <w:spacing w:after="120" w:before="0"/>
        <w:jc w:val="center"/>
      </w:pPr>
      <w:r>
        <w:rPr>
          <w:rFonts w:ascii="Arial" w:cs="Arial" w:eastAsia="Arial" w:hAnsi="Arial"/>
          <w:b/>
          <w:bCs/>
          <w:color w:val="667085"/>
          <w:sz w:val="22"/>
          <w:szCs w:val="22"/>
        </w:rPr>
        <w:t xml:space="preserve">Réalisé par :</w:t>
      </w:r>
    </w:p>
    <w:p>
      <w:pPr>
        <w:spacing w:after="120" w:before="0"/>
        <w:jc w:val="center"/>
      </w:pPr>
      <w:r>
        <w:rPr>
          <w:rFonts w:ascii="Arial" w:cs="Arial" w:eastAsia="Arial" w:hAnsi="Arial"/>
          <w:b/>
          <w:bCs/>
          <w:color w:val="101828"/>
          <w:sz w:val="24"/>
          <w:szCs w:val="24"/>
        </w:rPr>
        <w:t xml:space="preserve">Nourhen Hachem  ·  Oussy Abed  ·  Karim Benali</w:t>
      </w:r>
    </w:p>
    <w:p>
      <w:pPr>
        <w:spacing w:after="0" w:before="200"/>
      </w:pPr>
    </w:p>
    <w:p>
      <w:pPr>
        <w:spacing w:after="120" w:before="0"/>
        <w:jc w:val="center"/>
      </w:pPr>
      <w:r>
        <w:rPr>
          <w:rFonts w:ascii="Arial" w:cs="Arial" w:eastAsia="Arial" w:hAnsi="Arial"/>
          <w:b/>
          <w:bCs/>
          <w:color w:val="667085"/>
          <w:sz w:val="22"/>
          <w:szCs w:val="22"/>
        </w:rPr>
        <w:t xml:space="preserve">Encadrant :</w:t>
      </w:r>
    </w:p>
    <w:p>
      <w:pPr>
        <w:spacing w:after="400" w:before="0"/>
        <w:jc w:val="center"/>
      </w:pPr>
      <w:r>
        <w:rPr>
          <w:rFonts w:ascii="Arial" w:cs="Arial" w:eastAsia="Arial" w:hAnsi="Arial"/>
          <w:color w:val="101828"/>
          <w:sz w:val="24"/>
          <w:szCs w:val="24"/>
        </w:rPr>
        <w:t xml:space="preserve">Pr. [Nom de l'encadrant]</w:t>
      </w:r>
    </w:p>
    <w:p>
      <w:pPr>
        <w:spacing w:after="0" w:before="300"/>
      </w:pPr>
    </w:p>
    <w:p>
      <w:pPr>
        <w:jc w:val="center"/>
      </w:pPr>
      <w:r>
        <w:rPr>
          <w:rFonts w:ascii="Arial" w:cs="Arial" w:eastAsia="Arial" w:hAnsi="Arial"/>
          <w:color w:val="667085"/>
          <w:sz w:val="22"/>
          <w:szCs w:val="22"/>
        </w:rPr>
        <w:t xml:space="preserve">Année Universitaire 2025 — 2026</w:t>
      </w:r>
    </w:p>
    <w:p>
      <w:r>
        <w:br/>
      </w:r>
    </w:p>
    <w:p>
      <w:pPr>
        <w:pStyle w:val="Heading1"/>
        <w:spacing w:after="200" w:before="400"/>
      </w:pPr>
      <w:r>
        <w:rPr>
          <w:rFonts w:ascii="Arial" w:cs="Arial" w:eastAsia="Arial" w:hAnsi="Arial"/>
          <w:b/>
          <w:bCs/>
          <w:color w:val="101828"/>
          <w:sz w:val="32"/>
          <w:szCs w:val="32"/>
        </w:rPr>
        <w:t xml:space="preserve">Résumé</w:t>
      </w:r>
    </w:p>
    <w:p>
      <w:pPr>
        <w:spacing w:after="80" w:before="80" w:line="360"/>
        <w:jc w:val="both"/>
      </w:pPr>
      <w:r>
        <w:rPr>
          <w:rFonts w:ascii="Arial" w:cs="Arial" w:eastAsia="Arial" w:hAnsi="Arial"/>
          <w:color w:val="344054"/>
          <w:sz w:val="22"/>
          <w:szCs w:val="22"/>
        </w:rPr>
        <w:t xml:space="preserve">Dans le contexte actuel du développement logiciel, les équipes font face à une fragmentation croissante des outils DevOps. La gestion simultanée de plusieurs solutions distinctes — intégration continue, déploiement continu, monitoring et alertes — représente une charge cognitive et financière considérable, particulièrement pour les startups et les PME.</w:t>
      </w:r>
    </w:p>
    <w:p>
      <w:pPr>
        <w:spacing w:after="0" w:before="100"/>
      </w:pPr>
    </w:p>
    <w:p>
      <w:pPr>
        <w:spacing w:after="80" w:before="80" w:line="360"/>
        <w:jc w:val="both"/>
      </w:pPr>
      <w:r>
        <w:rPr>
          <w:rFonts w:ascii="Arial" w:cs="Arial" w:eastAsia="Arial" w:hAnsi="Arial"/>
          <w:color w:val="344054"/>
          <w:sz w:val="22"/>
          <w:szCs w:val="22"/>
        </w:rPr>
        <w:t xml:space="preserve">Ce projet présente InnoDeploy, une plateforme DevOps SaaS tout-en-un conçue pour automatiser l'ensemble du cycle de vie applicatif : du push du code source jusqu'au monitoring de production. InnoDeploy intègre des pipelines CI/CD simplifiés, un déploiement automatisé via Docker, un système de monitoring en temps réel et un moteur d'alertes intelligent.</w:t>
      </w:r>
    </w:p>
    <w:p>
      <w:pPr>
        <w:spacing w:after="0" w:before="100"/>
      </w:pPr>
    </w:p>
    <w:p>
      <w:pPr>
        <w:spacing w:after="80" w:before="80" w:line="360"/>
        <w:jc w:val="both"/>
      </w:pPr>
      <w:r>
        <w:rPr>
          <w:rFonts w:ascii="Arial" w:cs="Arial" w:eastAsia="Arial" w:hAnsi="Arial"/>
          <w:color w:val="344054"/>
          <w:sz w:val="22"/>
          <w:szCs w:val="22"/>
        </w:rPr>
        <w:t xml:space="preserve">La plateforme est développée avec une architecture microservices en Go pour le backend, Next.js pour le frontend, et PostgreSQL comme système de gestion de base de données. Les résultats obtenus démontrent une réduction significative du temps de mise en production et une amélioration de la fiabilité des déploiements.</w:t>
      </w:r>
    </w:p>
    <w:p>
      <w:pPr>
        <w:spacing w:after="0" w:before="100"/>
      </w:pPr>
    </w:p>
    <w:p>
      <w:pPr>
        <w:spacing w:after="80" w:before="80" w:line="360"/>
        <w:jc w:val="both"/>
      </w:pPr>
      <w:r>
        <w:rPr>
          <w:rFonts w:ascii="Arial" w:cs="Arial" w:eastAsia="Arial" w:hAnsi="Arial"/>
          <w:b/>
          <w:bCs/>
          <w:i/>
          <w:iCs/>
          <w:color w:val="344054"/>
          <w:sz w:val="22"/>
          <w:szCs w:val="22"/>
        </w:rPr>
        <w:t xml:space="preserve">Mots-clés : DevOps, CI/CD, Docker, Go, Next.js, PostgreSQL, Monitoring, Automatisation, SaaS.</w:t>
      </w:r>
    </w:p>
    <w:p>
      <w:pPr>
        <w:pBdr>
          <w:bottom w:val="single" w:color="EAECF0" w:sz="4" w:space="1"/>
        </w:pBdr>
        <w:spacing w:after="200" w:before="200"/>
      </w:pPr>
    </w:p>
    <w:p>
      <w:pPr>
        <w:pStyle w:val="Heading1"/>
        <w:spacing w:after="200" w:before="400"/>
      </w:pPr>
      <w:r>
        <w:rPr>
          <w:rFonts w:ascii="Arial" w:cs="Arial" w:eastAsia="Arial" w:hAnsi="Arial"/>
          <w:b/>
          <w:bCs/>
          <w:color w:val="101828"/>
          <w:sz w:val="32"/>
          <w:szCs w:val="32"/>
        </w:rPr>
        <w:t xml:space="preserve">Abstract</w:t>
      </w:r>
    </w:p>
    <w:p>
      <w:pPr>
        <w:spacing w:after="80" w:before="80" w:line="360"/>
        <w:jc w:val="both"/>
      </w:pPr>
      <w:r>
        <w:rPr>
          <w:rFonts w:ascii="Arial" w:cs="Arial" w:eastAsia="Arial" w:hAnsi="Arial"/>
          <w:color w:val="344054"/>
          <w:sz w:val="22"/>
          <w:szCs w:val="22"/>
        </w:rPr>
        <w:t xml:space="preserve">In the current software development landscape, teams face increasing fragmentation of DevOps tools. Managing multiple distinct solutions — continuous integration, continuous deployment, monitoring, and alerting — represents a significant cognitive and financial burden, particularly for startups and SMEs.</w:t>
      </w:r>
    </w:p>
    <w:p>
      <w:pPr>
        <w:spacing w:after="0" w:before="100"/>
      </w:pPr>
    </w:p>
    <w:p>
      <w:pPr>
        <w:spacing w:after="80" w:before="80" w:line="360"/>
        <w:jc w:val="both"/>
      </w:pPr>
      <w:r>
        <w:rPr>
          <w:rFonts w:ascii="Arial" w:cs="Arial" w:eastAsia="Arial" w:hAnsi="Arial"/>
          <w:color w:val="344054"/>
          <w:sz w:val="22"/>
          <w:szCs w:val="22"/>
        </w:rPr>
        <w:t xml:space="preserve">This project presents InnoDeploy, an all-in-one DevOps SaaS platform designed to automate the entire application lifecycle: from source code push to production monitoring. InnoDeploy integrates simplified CI/CD pipelines, automated Docker-based deployment, real-time monitoring, and an intelligent alerting engine.</w:t>
      </w:r>
    </w:p>
    <w:p>
      <w:pPr>
        <w:spacing w:after="0" w:before="100"/>
      </w:pPr>
    </w:p>
    <w:p>
      <w:pPr>
        <w:spacing w:after="80" w:before="80" w:line="360"/>
        <w:jc w:val="both"/>
      </w:pPr>
      <w:r>
        <w:rPr>
          <w:rFonts w:ascii="Arial" w:cs="Arial" w:eastAsia="Arial" w:hAnsi="Arial"/>
          <w:b/>
          <w:bCs/>
          <w:i/>
          <w:iCs/>
          <w:color w:val="344054"/>
          <w:sz w:val="22"/>
          <w:szCs w:val="22"/>
        </w:rPr>
        <w:t xml:space="preserve">Keywords: DevOps, CI/CD, Docker, Go, Next.js, PostgreSQL, Monitoring, Automation, SaaS.</w:t>
      </w:r>
    </w:p>
    <w:p>
      <w:r>
        <w:br/>
      </w:r>
    </w:p>
    <w:p>
      <w:pPr>
        <w:pStyle w:val="Heading1"/>
        <w:spacing w:after="200" w:before="400"/>
      </w:pPr>
      <w:r>
        <w:rPr>
          <w:rFonts w:ascii="Arial" w:cs="Arial" w:eastAsia="Arial" w:hAnsi="Arial"/>
          <w:b/>
          <w:bCs/>
          <w:color w:val="101828"/>
          <w:sz w:val="32"/>
          <w:szCs w:val="32"/>
        </w:rPr>
        <w:t xml:space="preserve">Chapitre 1 — Introduction Générale</w:t>
      </w:r>
    </w:p>
    <w:p>
      <w:pPr>
        <w:pBdr>
          <w:bottom w:val="single" w:color="EAECF0" w:sz="4" w:space="1"/>
        </w:pBdr>
        <w:spacing w:after="200" w:before="200"/>
      </w:pPr>
    </w:p>
    <w:p>
      <w:pPr>
        <w:pStyle w:val="Heading2"/>
        <w:spacing w:after="160" w:before="300"/>
      </w:pPr>
      <w:r>
        <w:rPr>
          <w:rFonts w:ascii="Arial" w:cs="Arial" w:eastAsia="Arial" w:hAnsi="Arial"/>
          <w:b/>
          <w:bCs/>
          <w:color w:val="16A34A"/>
          <w:sz w:val="26"/>
          <w:szCs w:val="26"/>
        </w:rPr>
        <w:t xml:space="preserve">1.1  Contexte et Motivation</w:t>
      </w:r>
    </w:p>
    <w:p>
      <w:pPr>
        <w:spacing w:after="80" w:before="80" w:line="360"/>
        <w:jc w:val="both"/>
      </w:pPr>
      <w:r>
        <w:rPr>
          <w:rFonts w:ascii="Arial" w:cs="Arial" w:eastAsia="Arial" w:hAnsi="Arial"/>
          <w:color w:val="344054"/>
          <w:sz w:val="22"/>
          <w:szCs w:val="22"/>
        </w:rPr>
        <w:t xml:space="preserve">La transformation numérique des entreprises a profondément modifié les pratiques de développement logiciel. L'émergence des méthodologies agiles et des pratiques DevOps a imposé un nouveau paradigme : livrer de la valeur rapidement, fréquemment et de manière fiable. Cette évolution a donné naissance à un écosystème riche d'outils spécialisés, chacun répondant à un besoin précis du cycle de développement.</w:t>
      </w:r>
    </w:p>
    <w:p>
      <w:pPr>
        <w:spacing w:after="0" w:before="100"/>
      </w:pPr>
    </w:p>
    <w:p>
      <w:pPr>
        <w:spacing w:after="80" w:before="80" w:line="360"/>
        <w:jc w:val="both"/>
      </w:pPr>
      <w:r>
        <w:rPr>
          <w:rFonts w:ascii="Arial" w:cs="Arial" w:eastAsia="Arial" w:hAnsi="Arial"/>
          <w:color w:val="344054"/>
          <w:sz w:val="22"/>
          <w:szCs w:val="22"/>
        </w:rPr>
        <w:t xml:space="preserve">Selon le rapport State of DevOps 2024, les organisations ayant adopté des pratiques DevOps matures déploient 208 fois plus fréquemment que leurs homologues traditionnelles, avec un taux d'échec des changements 7 fois inférieur. Ces chiffres illustrent l'impact considérable des outils d'automatisation sur la performance des équipes de développement.</w:t>
      </w:r>
    </w:p>
    <w:p>
      <w:pPr>
        <w:spacing w:after="0" w:before="100"/>
      </w:pPr>
    </w:p>
    <w:p>
      <w:pPr>
        <w:spacing w:after="80" w:before="80" w:line="360"/>
        <w:jc w:val="both"/>
      </w:pPr>
      <w:r>
        <w:rPr>
          <w:rFonts w:ascii="Arial" w:cs="Arial" w:eastAsia="Arial" w:hAnsi="Arial"/>
          <w:color w:val="344054"/>
          <w:sz w:val="22"/>
          <w:szCs w:val="22"/>
        </w:rPr>
        <w:t xml:space="preserve">Cependant, cette richesse d'outils génère également une complexité croissante. Une équipe type doit aujourd'hui maîtriser et maintenir des solutions distinctes pour chaque phase du pipeline : Jenkins ou GitHub Actions pour l'intégration continue, ArgoCD pour le déploiement, Datadog ou Grafana pour le monitoring, PagerDuty pour les alertes, et ELK Stack pour la gestion des logs. Cette fragmentation représente un obstacle majeur, particulièrement pour les petites structures qui ne disposent pas d'équipes DevOps dédiées.</w:t>
      </w:r>
    </w:p>
    <w:p>
      <w:pPr>
        <w:spacing w:after="0" w:before="200"/>
      </w:pPr>
    </w:p>
    <w:p>
      <w:pPr>
        <w:pStyle w:val="Heading2"/>
        <w:spacing w:after="160" w:before="300"/>
      </w:pPr>
      <w:r>
        <w:rPr>
          <w:rFonts w:ascii="Arial" w:cs="Arial" w:eastAsia="Arial" w:hAnsi="Arial"/>
          <w:b/>
          <w:bCs/>
          <w:color w:val="16A34A"/>
          <w:sz w:val="26"/>
          <w:szCs w:val="26"/>
        </w:rPr>
        <w:t xml:space="preserve">1.2  Problématique</w:t>
      </w:r>
    </w:p>
    <w:p>
      <w:pPr>
        <w:spacing w:after="80" w:before="80" w:line="360"/>
        <w:jc w:val="both"/>
      </w:pPr>
      <w:r>
        <w:rPr>
          <w:rFonts w:ascii="Arial" w:cs="Arial" w:eastAsia="Arial" w:hAnsi="Arial"/>
          <w:color w:val="344054"/>
          <w:sz w:val="22"/>
          <w:szCs w:val="22"/>
        </w:rPr>
        <w:t xml:space="preserve">La gestion d'une infrastructure DevOps complète soulève plusieurs défis fondamentaux que ce projet cherche à adresser :</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Problème</w:t>
            </w:r>
          </w:p>
        </w:tc>
        <w:tc>
          <w:tcPr>
            <w:tcW w:type="dxa" w:w="3263"/>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Impact</w:t>
            </w:r>
          </w:p>
        </w:tc>
        <w:tc>
          <w:tcPr>
            <w:tcW w:type="dxa" w:w="3263"/>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Cibles concernées</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Fragmentation des outils</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Multiplication des abonnements, courbe d'apprentissage élevée, difficultés d'intégration</w:t>
            </w:r>
          </w:p>
        </w:tc>
        <w:tc>
          <w:tcPr>
            <w:tcW w:type="dxa" w:w="3263"/>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A34A"/>
                <w:sz w:val="20"/>
                <w:szCs w:val="20"/>
              </w:rPr>
              <w:t xml:space="preserve">Startups, PME, équipes &lt; 10 devs</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Complexité de configuration</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Semaines nécessaires pour monter une infra CI/CD complète, expertise rare et coûteuse</w:t>
            </w:r>
          </w:p>
        </w:tc>
        <w:tc>
          <w:tcPr>
            <w:tcW w:type="dxa" w:w="3263"/>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A34A"/>
                <w:sz w:val="20"/>
                <w:szCs w:val="20"/>
              </w:rPr>
              <w:t xml:space="preserve">Toutes entreprises sans DevOps dédié</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Déploiements manuels</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Source principale d'incidents en production, erreurs humaines fréquentes</w:t>
            </w:r>
          </w:p>
        </w:tc>
        <w:tc>
          <w:tcPr>
            <w:tcW w:type="dxa" w:w="3263"/>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A34A"/>
                <w:sz w:val="20"/>
                <w:szCs w:val="20"/>
              </w:rPr>
              <w:t xml:space="preserve">Équipes sans automatisation</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Absence de monitoring intégré</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Détection tardive des incidents, MTTR élevé, impact sur la disponibilité</w:t>
            </w:r>
          </w:p>
        </w:tc>
        <w:tc>
          <w:tcPr>
            <w:tcW w:type="dxa" w:w="3263"/>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A34A"/>
                <w:sz w:val="20"/>
                <w:szCs w:val="20"/>
              </w:rPr>
              <w:t xml:space="preserve">Applications en production</w:t>
            </w:r>
          </w:p>
        </w:tc>
      </w:tr>
      <w:tr>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Time-to-market allongé</w:t>
            </w:r>
          </w:p>
        </w:tc>
        <w:tc>
          <w:tcPr>
            <w:tcW w:type="dxa" w:w="326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Perte de compétitivité, impossibilité de livrer rapidement de la valeur</w:t>
            </w:r>
          </w:p>
        </w:tc>
        <w:tc>
          <w:tcPr>
            <w:tcW w:type="dxa" w:w="3263"/>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A34A"/>
                <w:sz w:val="20"/>
                <w:szCs w:val="20"/>
              </w:rPr>
              <w:t xml:space="preserve">Startups, produits en phase de croissance</w:t>
            </w:r>
          </w:p>
        </w:tc>
      </w:tr>
    </w:tbl>
    <w:p>
      <w:pPr>
        <w:spacing w:after="0" w:before="200"/>
      </w:pPr>
    </w:p>
    <w:p>
      <w:pPr>
        <w:spacing w:after="80" w:before="80" w:line="360"/>
        <w:jc w:val="both"/>
      </w:pPr>
      <w:r>
        <w:rPr>
          <w:rFonts w:ascii="Arial" w:cs="Arial" w:eastAsia="Arial" w:hAnsi="Arial"/>
          <w:color w:val="344054"/>
          <w:sz w:val="22"/>
          <w:szCs w:val="22"/>
        </w:rPr>
        <w:t xml:space="preserve">Face à ces constats, la question centrale de ce projet est la suivante : comment concevoir et implémenter une plateforme DevOps unifiée qui réduise la friction entre le code source et la mise en production, tout en restant accessible aux équipes sans expertise DevOps approfondie ?</w:t>
      </w:r>
    </w:p>
    <w:p>
      <w:pPr>
        <w:spacing w:after="0" w:before="200"/>
      </w:pPr>
    </w:p>
    <w:p>
      <w:pPr>
        <w:pStyle w:val="Heading2"/>
        <w:spacing w:after="160" w:before="300"/>
      </w:pPr>
      <w:r>
        <w:rPr>
          <w:rFonts w:ascii="Arial" w:cs="Arial" w:eastAsia="Arial" w:hAnsi="Arial"/>
          <w:b/>
          <w:bCs/>
          <w:color w:val="16A34A"/>
          <w:sz w:val="26"/>
          <w:szCs w:val="26"/>
        </w:rPr>
        <w:t xml:space="preserve">1.3  Objectifs du Projet</w:t>
      </w:r>
    </w:p>
    <w:p>
      <w:pPr>
        <w:pStyle w:val="Heading3"/>
        <w:spacing w:after="120" w:before="240"/>
      </w:pPr>
      <w:r>
        <w:rPr>
          <w:rFonts w:ascii="Arial" w:cs="Arial" w:eastAsia="Arial" w:hAnsi="Arial"/>
          <w:b/>
          <w:bCs/>
          <w:color w:val="344054"/>
          <w:sz w:val="22"/>
          <w:szCs w:val="22"/>
        </w:rPr>
        <w:t xml:space="preserve">1.3.1  Objectif Principal</w:t>
      </w:r>
    </w:p>
    <w:p>
      <w:pPr>
        <w:spacing w:after="80" w:before="80" w:line="360"/>
        <w:jc w:val="both"/>
      </w:pPr>
      <w:r>
        <w:rPr>
          <w:rFonts w:ascii="Arial" w:cs="Arial" w:eastAsia="Arial" w:hAnsi="Arial"/>
          <w:color w:val="344054"/>
          <w:sz w:val="22"/>
          <w:szCs w:val="22"/>
        </w:rPr>
        <w:t xml:space="preserve">Concevoir, développer et déployer InnoDeploy, une plateforme DevOps SaaS complète permettant d'automatiser le cycle de vie complet d'une application web : de l'intégration du code source jusqu'au monitoring de production, en passant par le build, les tests automatisés et le déploiement.</w:t>
      </w:r>
    </w:p>
    <w:p>
      <w:pPr>
        <w:spacing w:after="0" w:before="100"/>
      </w:pPr>
    </w:p>
    <w:p>
      <w:pPr>
        <w:pStyle w:val="Heading3"/>
        <w:spacing w:after="120" w:before="240"/>
      </w:pPr>
      <w:r>
        <w:rPr>
          <w:rFonts w:ascii="Arial" w:cs="Arial" w:eastAsia="Arial" w:hAnsi="Arial"/>
          <w:b/>
          <w:bCs/>
          <w:color w:val="344054"/>
          <w:sz w:val="22"/>
          <w:szCs w:val="22"/>
        </w:rPr>
        <w:t xml:space="preserve">1.3.2  Objectifs Spécifiques</w:t>
      </w:r>
    </w:p>
    <w:p>
      <w:pPr>
        <w:pStyle w:val="ListParagraph"/>
        <w:numPr>
          <w:ilvl w:val="0"/>
          <w:numId w:val="2"/>
        </w:numPr>
        <w:spacing w:after="60" w:before="60"/>
      </w:pPr>
      <w:r>
        <w:rPr>
          <w:rFonts w:ascii="Arial" w:cs="Arial" w:eastAsia="Arial" w:hAnsi="Arial"/>
          <w:color w:val="344054"/>
          <w:sz w:val="22"/>
          <w:szCs w:val="22"/>
        </w:rPr>
        <w:t xml:space="preserve">Implémenter un moteur de pipelines CI/CD déclenché automatiquement par les webhooks GitHub/GitLab</w:t>
      </w:r>
    </w:p>
    <w:p>
      <w:pPr>
        <w:pStyle w:val="ListParagraph"/>
        <w:numPr>
          <w:ilvl w:val="0"/>
          <w:numId w:val="2"/>
        </w:numPr>
        <w:spacing w:after="60" w:before="60"/>
      </w:pPr>
      <w:r>
        <w:rPr>
          <w:rFonts w:ascii="Arial" w:cs="Arial" w:eastAsia="Arial" w:hAnsi="Arial"/>
          <w:color w:val="344054"/>
          <w:sz w:val="22"/>
          <w:szCs w:val="22"/>
        </w:rPr>
        <w:t xml:space="preserve">Développer un système de déploiement automatisé supportant Docker et Kubernetes</w:t>
      </w:r>
    </w:p>
    <w:p>
      <w:pPr>
        <w:pStyle w:val="ListParagraph"/>
        <w:numPr>
          <w:ilvl w:val="0"/>
          <w:numId w:val="2"/>
        </w:numPr>
        <w:spacing w:after="60" w:before="60"/>
      </w:pPr>
      <w:r>
        <w:rPr>
          <w:rFonts w:ascii="Arial" w:cs="Arial" w:eastAsia="Arial" w:hAnsi="Arial"/>
          <w:color w:val="344054"/>
          <w:sz w:val="22"/>
          <w:szCs w:val="22"/>
        </w:rPr>
        <w:t xml:space="preserve">Créer un module de monitoring en temps réel collectant métriques et logs applicatifs</w:t>
      </w:r>
    </w:p>
    <w:p>
      <w:pPr>
        <w:pStyle w:val="ListParagraph"/>
        <w:numPr>
          <w:ilvl w:val="0"/>
          <w:numId w:val="2"/>
        </w:numPr>
        <w:spacing w:after="60" w:before="60"/>
      </w:pPr>
      <w:r>
        <w:rPr>
          <w:rFonts w:ascii="Arial" w:cs="Arial" w:eastAsia="Arial" w:hAnsi="Arial"/>
          <w:color w:val="344054"/>
          <w:sz w:val="22"/>
          <w:szCs w:val="22"/>
        </w:rPr>
        <w:t xml:space="preserve">Concevoir un moteur d'alertes configurable avec notifications multi-canaux (Email, Slack)</w:t>
      </w:r>
    </w:p>
    <w:p>
      <w:pPr>
        <w:pStyle w:val="ListParagraph"/>
        <w:numPr>
          <w:ilvl w:val="0"/>
          <w:numId w:val="2"/>
        </w:numPr>
        <w:spacing w:after="60" w:before="60"/>
      </w:pPr>
      <w:r>
        <w:rPr>
          <w:rFonts w:ascii="Arial" w:cs="Arial" w:eastAsia="Arial" w:hAnsi="Arial"/>
          <w:color w:val="344054"/>
          <w:sz w:val="22"/>
          <w:szCs w:val="22"/>
        </w:rPr>
        <w:t xml:space="preserve">Fournir un dashboard web intuitif permettant une visibilité complète sur tous les projets</w:t>
      </w:r>
    </w:p>
    <w:p>
      <w:pPr>
        <w:pStyle w:val="ListParagraph"/>
        <w:numPr>
          <w:ilvl w:val="0"/>
          <w:numId w:val="2"/>
        </w:numPr>
        <w:spacing w:after="60" w:before="60"/>
      </w:pPr>
      <w:r>
        <w:rPr>
          <w:rFonts w:ascii="Arial" w:cs="Arial" w:eastAsia="Arial" w:hAnsi="Arial"/>
          <w:color w:val="344054"/>
          <w:sz w:val="22"/>
          <w:szCs w:val="22"/>
        </w:rPr>
        <w:t xml:space="preserve">Assurer la sécurité par une authentification JWT et un contrôle d'accès granulaire</w:t>
      </w:r>
    </w:p>
    <w:p>
      <w:pPr>
        <w:pStyle w:val="ListParagraph"/>
        <w:numPr>
          <w:ilvl w:val="0"/>
          <w:numId w:val="2"/>
        </w:numPr>
        <w:spacing w:after="60" w:before="60"/>
      </w:pPr>
      <w:r>
        <w:rPr>
          <w:rFonts w:ascii="Arial" w:cs="Arial" w:eastAsia="Arial" w:hAnsi="Arial"/>
          <w:color w:val="344054"/>
          <w:sz w:val="22"/>
          <w:szCs w:val="22"/>
        </w:rPr>
        <w:t xml:space="preserve">Valider la solution sur des projets pilotes réels avec des métriques de performance mesurables</w:t>
      </w:r>
    </w:p>
    <w:p>
      <w:pPr>
        <w:spacing w:after="0" w:before="200"/>
      </w:pPr>
    </w:p>
    <w:p>
      <w:pPr>
        <w:pStyle w:val="Heading2"/>
        <w:spacing w:after="160" w:before="300"/>
      </w:pPr>
      <w:r>
        <w:rPr>
          <w:rFonts w:ascii="Arial" w:cs="Arial" w:eastAsia="Arial" w:hAnsi="Arial"/>
          <w:b/>
          <w:bCs/>
          <w:color w:val="16A34A"/>
          <w:sz w:val="26"/>
          <w:szCs w:val="26"/>
        </w:rPr>
        <w:t xml:space="preserve">1.4  Solution Proposée : InnoDeploy</w:t>
      </w:r>
    </w:p>
    <w:p>
      <w:pPr>
        <w:spacing w:after="80" w:before="80" w:line="360"/>
        <w:jc w:val="both"/>
      </w:pPr>
      <w:r>
        <w:rPr>
          <w:rFonts w:ascii="Arial" w:cs="Arial" w:eastAsia="Arial" w:hAnsi="Arial"/>
          <w:color w:val="344054"/>
          <w:sz w:val="22"/>
          <w:szCs w:val="22"/>
        </w:rPr>
        <w:t xml:space="preserve">InnoDeploy est une plateforme DevOps SaaS tout-en-un qui se positionne comme la couche d'automatisation entre les dépôts de code source et l'infrastructure de production. Sa proposition de valeur centrale se résume en une phrase : le développeur pousse son code, InnoDeploy s'occupe du reste.</w:t>
      </w:r>
    </w:p>
    <w:p>
      <w:pPr>
        <w:spacing w:after="0" w:before="100"/>
      </w:pPr>
    </w:p>
    <w:p>
      <w:pPr>
        <w:spacing w:after="80" w:before="80" w:line="360"/>
        <w:jc w:val="both"/>
      </w:pPr>
      <w:r>
        <w:rPr>
          <w:rFonts w:ascii="Arial" w:cs="Arial" w:eastAsia="Arial" w:hAnsi="Arial"/>
          <w:color w:val="344054"/>
          <w:sz w:val="22"/>
          <w:szCs w:val="22"/>
        </w:rPr>
        <w:t xml:space="preserve">La plateforme adresse simultanément les quatre piliers d'une infrastructure DevOps moderne :</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c>
          <w:tcPr>
            <w:tcW w:type="dxa" w:w="1800"/>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Pilier</w:t>
            </w:r>
          </w:p>
        </w:tc>
        <w:tc>
          <w:tcPr>
            <w:tcW w:type="dxa" w:w="2000"/>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Module</w:t>
            </w:r>
          </w:p>
        </w:tc>
        <w:tc>
          <w:tcPr>
            <w:tcW w:type="dxa" w:w="5226"/>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Fonctionnalités</w:t>
            </w:r>
          </w:p>
        </w:tc>
      </w:tr>
      <w:tr>
        <w:tc>
          <w:tcPr>
            <w:tcW w:type="dxa" w:w="18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0"/>
                <w:szCs w:val="20"/>
              </w:rPr>
              <w:t xml:space="preserve">CI/CD</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Pipeline Engine</w:t>
            </w:r>
          </w:p>
        </w:tc>
        <w:tc>
          <w:tcPr>
            <w:tcW w:type="dxa" w:w="5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Détection automatique du framework, configuration déclarative (innodeploy.yml), exécution isolée dans des containers Docker éphémères</w:t>
            </w:r>
          </w:p>
        </w:tc>
      </w:tr>
      <w:tr>
        <w:tc>
          <w:tcPr>
            <w:tcW w:type="dxa" w:w="18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0"/>
                <w:szCs w:val="20"/>
              </w:rPr>
              <w:t xml:space="preserve">Déploiement</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Deploy Service</w:t>
            </w:r>
          </w:p>
        </w:tc>
        <w:tc>
          <w:tcPr>
            <w:tcW w:type="dxa" w:w="5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Support VPS, Docker, Kubernetes ; stratégies blue/green, canary, rolling ; rollback en un clic</w:t>
            </w:r>
          </w:p>
        </w:tc>
      </w:tr>
      <w:tr>
        <w:tc>
          <w:tcPr>
            <w:tcW w:type="dxa" w:w="18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0"/>
                <w:szCs w:val="20"/>
              </w:rPr>
              <w:t xml:space="preserve">Monitoring</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Monitor Service</w:t>
            </w:r>
          </w:p>
        </w:tc>
        <w:tc>
          <w:tcPr>
            <w:tcW w:type="dxa" w:w="5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Healthchecks automatiques, collecte de métriques (CPU, RAM, RPS, latence), agrégation des logs</w:t>
            </w:r>
          </w:p>
        </w:tc>
      </w:tr>
      <w:tr>
        <w:tc>
          <w:tcPr>
            <w:tcW w:type="dxa" w:w="18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0"/>
                <w:szCs w:val="20"/>
              </w:rPr>
              <w:t xml:space="preserve">Alertes</w:t>
            </w:r>
          </w:p>
        </w:tc>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Alert Engine</w:t>
            </w:r>
          </w:p>
        </w:tc>
        <w:tc>
          <w:tcPr>
            <w:tcW w:type="dxa" w:w="5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Règles configurables avec seuils personnalisés, détection d'anomalies, notifications Email et Slack</w:t>
            </w:r>
          </w:p>
        </w:tc>
      </w:tr>
    </w:tbl>
    <w:p>
      <w:pPr>
        <w:spacing w:after="0" w:before="200"/>
      </w:pPr>
    </w:p>
    <w:p>
      <w:pPr>
        <w:pStyle w:val="Heading2"/>
        <w:spacing w:after="160" w:before="300"/>
      </w:pPr>
      <w:r>
        <w:rPr>
          <w:rFonts w:ascii="Arial" w:cs="Arial" w:eastAsia="Arial" w:hAnsi="Arial"/>
          <w:b/>
          <w:bCs/>
          <w:color w:val="16A34A"/>
          <w:sz w:val="26"/>
          <w:szCs w:val="26"/>
        </w:rPr>
        <w:t xml:space="preserve">1.5  Architecture Générale</w:t>
      </w:r>
    </w:p>
    <w:p>
      <w:pPr>
        <w:spacing w:after="80" w:before="80" w:line="360"/>
        <w:jc w:val="both"/>
      </w:pPr>
      <w:r>
        <w:rPr>
          <w:rFonts w:ascii="Arial" w:cs="Arial" w:eastAsia="Arial" w:hAnsi="Arial"/>
          <w:color w:val="344054"/>
          <w:sz w:val="22"/>
          <w:szCs w:val="22"/>
        </w:rPr>
        <w:t xml:space="preserve">InnoDeploy repose sur une architecture orientée services, décomposée en couches fonctionnelles distinctes. Cette approche garantit la maintenabilité, la scalabilité et la testabilité de chaque composant.</w:t>
      </w:r>
    </w:p>
    <w:p>
      <w:pPr>
        <w:spacing w:after="0" w:before="100"/>
      </w:pPr>
    </w:p>
    <w:p>
      <w:pPr>
        <w:pStyle w:val="Heading3"/>
        <w:spacing w:after="120" w:before="240"/>
      </w:pPr>
      <w:r>
        <w:rPr>
          <w:rFonts w:ascii="Arial" w:cs="Arial" w:eastAsia="Arial" w:hAnsi="Arial"/>
          <w:b/>
          <w:bCs/>
          <w:color w:val="344054"/>
          <w:sz w:val="22"/>
          <w:szCs w:val="22"/>
        </w:rPr>
        <w:t xml:space="preserve">1.5.1  Stack Technologique</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Couche</w:t>
            </w:r>
          </w:p>
        </w:tc>
        <w:tc>
          <w:tcPr>
            <w:tcW w:type="dxa" w:w="2500"/>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Technologie</w:t>
            </w:r>
          </w:p>
        </w:tc>
        <w:tc>
          <w:tcPr>
            <w:tcW w:type="dxa" w:w="4526"/>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Justification</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Backend API</w:t>
            </w:r>
          </w:p>
        </w:tc>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6A34A"/>
                <w:sz w:val="20"/>
                <w:szCs w:val="20"/>
              </w:rPr>
              <w:t xml:space="preserve">Go 1.22 + net/http</w:t>
            </w:r>
          </w:p>
        </w:tc>
        <w:tc>
          <w:tcPr>
            <w:tcW w:type="dxa" w:w="45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color w:val="344054"/>
                <w:sz w:val="20"/>
                <w:szCs w:val="20"/>
              </w:rPr>
              <w:t xml:space="preserve">Performance native, gestion efficace des goroutines pour le parallélisme des pipelines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01828"/>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6A34A"/>
                <w:sz w:val="20"/>
                <w:szCs w:val="20"/>
              </w:rPr>
              <w:t xml:space="preserve">PostgreSQL 16 + pgxpool</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44054"/>
                <w:sz w:val="20"/>
                <w:szCs w:val="20"/>
              </w:rPr>
              <w:t xml:space="preserve">Robustesse des transactions, pool de connexions pour les accès concurrents</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Cache / Queue</w:t>
            </w:r>
          </w:p>
        </w:tc>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6A34A"/>
                <w:sz w:val="20"/>
                <w:szCs w:val="20"/>
              </w:rPr>
              <w:t xml:space="preserve">Redis 7</w:t>
            </w:r>
          </w:p>
        </w:tc>
        <w:tc>
          <w:tcPr>
            <w:tcW w:type="dxa" w:w="45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color w:val="344054"/>
                <w:sz w:val="20"/>
                <w:szCs w:val="20"/>
              </w:rPr>
              <w:t xml:space="preserve">File de messages pour l'orchestration des pipelines, cache des sessions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01828"/>
                <w:sz w:val="20"/>
                <w:szCs w:val="20"/>
              </w:rPr>
              <w:t xml:space="preserve">Authentification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6A34A"/>
                <w:sz w:val="20"/>
                <w:szCs w:val="20"/>
              </w:rPr>
              <w:t xml:space="preserve">JWT (HS256)</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44054"/>
                <w:sz w:val="20"/>
                <w:szCs w:val="20"/>
              </w:rPr>
              <w:t xml:space="preserve">Authentification stateless, refresh tokens pour la sécurité des sessions</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Containerisation</w:t>
            </w:r>
          </w:p>
        </w:tc>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6A34A"/>
                <w:sz w:val="20"/>
                <w:szCs w:val="20"/>
              </w:rPr>
              <w:t xml:space="preserve">Docker + Docker Compose</w:t>
            </w:r>
          </w:p>
        </w:tc>
        <w:tc>
          <w:tcPr>
            <w:tcW w:type="dxa" w:w="45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color w:val="344054"/>
                <w:sz w:val="20"/>
                <w:szCs w:val="20"/>
              </w:rPr>
              <w:t xml:space="preserve">Isolation des builds, reproductibilité des environnements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01828"/>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6A34A"/>
                <w:sz w:val="20"/>
                <w:szCs w:val="20"/>
              </w:rPr>
              <w:t xml:space="preserve">Next.js 14 + TypeScript</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44054"/>
                <w:sz w:val="20"/>
                <w:szCs w:val="20"/>
              </w:rPr>
              <w:t xml:space="preserve">App Router, SSR, typage fort pour la fiabilité du code</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01828"/>
                <w:sz w:val="20"/>
                <w:szCs w:val="20"/>
              </w:rPr>
              <w:t xml:space="preserve">Styling</w:t>
            </w:r>
          </w:p>
        </w:tc>
        <w:tc>
          <w:tcPr>
            <w:tcW w:type="dxa" w:w="25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bCs/>
                <w:color w:val="16A34A"/>
                <w:sz w:val="20"/>
                <w:szCs w:val="20"/>
              </w:rPr>
              <w:t xml:space="preserve">Tailwind CSS</w:t>
            </w:r>
          </w:p>
        </w:tc>
        <w:tc>
          <w:tcPr>
            <w:tcW w:type="dxa" w:w="45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color w:val="344054"/>
                <w:sz w:val="20"/>
                <w:szCs w:val="20"/>
              </w:rPr>
              <w:t xml:space="preserve">Prototypage rapide, cohérence du design system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01828"/>
                <w:sz w:val="20"/>
                <w:szCs w:val="20"/>
              </w:rPr>
              <w:t xml:space="preserve">Orchestration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6A34A"/>
                <w:sz w:val="20"/>
                <w:szCs w:val="20"/>
              </w:rPr>
              <w:t xml:space="preserve">Kubernetes (Sprint 5+)</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44054"/>
                <w:sz w:val="20"/>
                <w:szCs w:val="20"/>
              </w:rPr>
              <w:t xml:space="preserve">Scalabilité horizontale, déploiements zero-downtime</w:t>
            </w:r>
          </w:p>
        </w:tc>
      </w:tr>
    </w:tbl>
    <w:p>
      <w:pPr>
        <w:spacing w:after="0" w:before="200"/>
      </w:pPr>
    </w:p>
    <w:p>
      <w:pPr>
        <w:pStyle w:val="Heading3"/>
        <w:spacing w:after="120" w:before="240"/>
      </w:pPr>
      <w:r>
        <w:rPr>
          <w:rFonts w:ascii="Arial" w:cs="Arial" w:eastAsia="Arial" w:hAnsi="Arial"/>
          <w:b/>
          <w:bCs/>
          <w:color w:val="344054"/>
          <w:sz w:val="22"/>
          <w:szCs w:val="22"/>
        </w:rPr>
        <w:t xml:space="preserve">1.5.2  Flux de Fonctionnement</w:t>
      </w:r>
    </w:p>
    <w:p>
      <w:pPr>
        <w:spacing w:after="80" w:before="80" w:line="360"/>
        <w:jc w:val="both"/>
      </w:pPr>
      <w:r>
        <w:rPr>
          <w:rFonts w:ascii="Arial" w:cs="Arial" w:eastAsia="Arial" w:hAnsi="Arial"/>
          <w:color w:val="344054"/>
          <w:sz w:val="22"/>
          <w:szCs w:val="22"/>
        </w:rPr>
        <w:t xml:space="preserve">Le fonctionnement d'InnoDeploy suit un flux linéaire et automatisé en quatre étapes principales :</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c>
          <w:tcPr>
            <w:tcW w:type="dxa" w:w="800"/>
            <w:tcBorders>
              <w:top w:val="single" w:color="CCCCCC" w:sz="1"/>
              <w:left w:val="single" w:color="CCCCCC" w:sz="1"/>
              <w:bottom w:val="single" w:color="CCCCCC" w:sz="1"/>
              <w:right w:val="single" w:color="CCCCCC" w:sz="1"/>
            </w:tcBorders>
            <w:shd w:fill="16A34A" w:val="clear"/>
            <w:tcMar>
              <w:top w:type="dxa" w:w="100"/>
              <w:left w:type="dxa" w:w="150"/>
              <w:bottom w:type="dxa" w:w="100"/>
              <w:right w:type="dxa" w:w="150"/>
            </w:tcMar>
          </w:tcPr>
          <w:p>
            <w:pPr>
              <w:jc w:val="center"/>
            </w:pPr>
            <w:r>
              <w:rPr>
                <w:rFonts w:ascii="Arial" w:cs="Arial" w:eastAsia="Arial" w:hAnsi="Arial"/>
                <w:b/>
                <w:bCs/>
                <w:color w:val="FFFFFF"/>
                <w:sz w:val="28"/>
                <w:szCs w:val="28"/>
              </w:rPr>
              <w:t xml:space="preserve">01</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2"/>
                <w:szCs w:val="22"/>
              </w:rPr>
              <w:t xml:space="preserve">Push du code</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Le développeur effectue un git push sur sa branche. GitHub ou GitLab détecte l'événement et envoie un webhook HTTP POST vers l'endpoint /webhook/github d'InnoDeploy.</w:t>
            </w:r>
          </w:p>
        </w:tc>
      </w:tr>
      <w:tr>
        <w:tc>
          <w:tcPr>
            <w:tcW w:type="dxa" w:w="800"/>
            <w:tcBorders>
              <w:top w:val="single" w:color="CCCCCC" w:sz="1"/>
              <w:left w:val="single" w:color="CCCCCC" w:sz="1"/>
              <w:bottom w:val="single" w:color="CCCCCC" w:sz="1"/>
              <w:right w:val="single" w:color="CCCCCC" w:sz="1"/>
            </w:tcBorders>
            <w:shd w:fill="16A34A" w:val="clear"/>
            <w:tcMar>
              <w:top w:type="dxa" w:w="100"/>
              <w:left w:type="dxa" w:w="150"/>
              <w:bottom w:type="dxa" w:w="100"/>
              <w:right w:type="dxa" w:w="150"/>
            </w:tcMar>
          </w:tcPr>
          <w:p>
            <w:pPr>
              <w:jc w:val="center"/>
            </w:pPr>
            <w:r>
              <w:rPr>
                <w:rFonts w:ascii="Arial" w:cs="Arial" w:eastAsia="Arial" w:hAnsi="Arial"/>
                <w:b/>
                <w:bCs/>
                <w:color w:val="FFFFFF"/>
                <w:sz w:val="28"/>
                <w:szCs w:val="28"/>
              </w:rPr>
              <w:t xml:space="preserve">02</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2"/>
                <w:szCs w:val="22"/>
              </w:rPr>
              <w:t xml:space="preserve">Création du pipeline</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Le service webhook.go reçoit le payload JSON, extrait les métadonnées (repo, branche, commit SHA, message, auteur) et crée un pipeline en base de données avec le statut pending.</w:t>
            </w:r>
          </w:p>
        </w:tc>
      </w:tr>
      <w:tr>
        <w:tc>
          <w:tcPr>
            <w:tcW w:type="dxa" w:w="800"/>
            <w:tcBorders>
              <w:top w:val="single" w:color="CCCCCC" w:sz="1"/>
              <w:left w:val="single" w:color="CCCCCC" w:sz="1"/>
              <w:bottom w:val="single" w:color="CCCCCC" w:sz="1"/>
              <w:right w:val="single" w:color="CCCCCC" w:sz="1"/>
            </w:tcBorders>
            <w:shd w:fill="16A34A" w:val="clear"/>
            <w:tcMar>
              <w:top w:type="dxa" w:w="100"/>
              <w:left w:type="dxa" w:w="150"/>
              <w:bottom w:type="dxa" w:w="100"/>
              <w:right w:type="dxa" w:w="150"/>
            </w:tcMar>
          </w:tcPr>
          <w:p>
            <w:pPr>
              <w:jc w:val="center"/>
            </w:pPr>
            <w:r>
              <w:rPr>
                <w:rFonts w:ascii="Arial" w:cs="Arial" w:eastAsia="Arial" w:hAnsi="Arial"/>
                <w:b/>
                <w:bCs/>
                <w:color w:val="FFFFFF"/>
                <w:sz w:val="28"/>
                <w:szCs w:val="28"/>
              </w:rPr>
              <w:t xml:space="preserve">03</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2"/>
                <w:szCs w:val="22"/>
              </w:rPr>
              <w:t xml:space="preserve">Exécution CI/CD</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Le runner s'exécute en goroutine : clone le dépôt via git clone, construit l'image Docker, exécute les tests dans un container isolé, déploie le container en production.</w:t>
            </w:r>
          </w:p>
        </w:tc>
      </w:tr>
      <w:tr>
        <w:tc>
          <w:tcPr>
            <w:tcW w:type="dxa" w:w="800"/>
            <w:tcBorders>
              <w:top w:val="single" w:color="CCCCCC" w:sz="1"/>
              <w:left w:val="single" w:color="CCCCCC" w:sz="1"/>
              <w:bottom w:val="single" w:color="CCCCCC" w:sz="1"/>
              <w:right w:val="single" w:color="CCCCCC" w:sz="1"/>
            </w:tcBorders>
            <w:shd w:fill="16A34A" w:val="clear"/>
            <w:tcMar>
              <w:top w:type="dxa" w:w="100"/>
              <w:left w:type="dxa" w:w="150"/>
              <w:bottom w:type="dxa" w:w="100"/>
              <w:right w:type="dxa" w:w="150"/>
            </w:tcMar>
          </w:tcPr>
          <w:p>
            <w:pPr>
              <w:jc w:val="center"/>
            </w:pPr>
            <w:r>
              <w:rPr>
                <w:rFonts w:ascii="Arial" w:cs="Arial" w:eastAsia="Arial" w:hAnsi="Arial"/>
                <w:b/>
                <w:bCs/>
                <w:color w:val="FFFFFF"/>
                <w:sz w:val="28"/>
                <w:szCs w:val="28"/>
              </w:rPr>
              <w:t xml:space="preserve">04</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2"/>
                <w:szCs w:val="22"/>
              </w:rPr>
              <w:t xml:space="preserve">Monitoring</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44054"/>
                <w:sz w:val="20"/>
                <w:szCs w:val="20"/>
              </w:rPr>
              <w:t xml:space="preserve">Le healthcheck worker interroge l'endpoint /health de l'application toutes les 30 secondes. En cas d'anomalie, une alerte est créée en base et une notification est envoyée aux canaux configurés.</w:t>
            </w:r>
          </w:p>
        </w:tc>
      </w:tr>
    </w:tbl>
    <w:p>
      <w:pPr>
        <w:spacing w:after="0" w:before="200"/>
      </w:pPr>
    </w:p>
    <w:p>
      <w:pPr>
        <w:pStyle w:val="Heading2"/>
        <w:spacing w:after="160" w:before="300"/>
      </w:pPr>
      <w:r>
        <w:rPr>
          <w:rFonts w:ascii="Arial" w:cs="Arial" w:eastAsia="Arial" w:hAnsi="Arial"/>
          <w:b/>
          <w:bCs/>
          <w:color w:val="16A34A"/>
          <w:sz w:val="26"/>
          <w:szCs w:val="26"/>
        </w:rPr>
        <w:t xml:space="preserve">1.6  Positionnement par Rapport à l'Existant</w:t>
      </w:r>
    </w:p>
    <w:p>
      <w:pPr>
        <w:spacing w:after="80" w:before="80" w:line="360"/>
        <w:jc w:val="both"/>
      </w:pPr>
      <w:r>
        <w:rPr>
          <w:rFonts w:ascii="Arial" w:cs="Arial" w:eastAsia="Arial" w:hAnsi="Arial"/>
          <w:color w:val="344054"/>
          <w:sz w:val="22"/>
          <w:szCs w:val="22"/>
        </w:rPr>
        <w:t xml:space="preserve">Le marché DevOps est mature et compétitif. InnoDeploy se différencie par son approche d'intégration verticale et sa simplicité d'adoption :</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926"/>
      </w:tblGrid>
      <w:tr>
        <w:tc>
          <w:tcPr>
            <w:tcW w:type="dxa" w:w="2000"/>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Solution</w:t>
            </w:r>
          </w:p>
        </w:tc>
        <w:tc>
          <w:tcPr>
            <w:tcW w:type="dxa" w:w="1700"/>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CI/CD</w:t>
            </w:r>
          </w:p>
        </w:tc>
        <w:tc>
          <w:tcPr>
            <w:tcW w:type="dxa" w:w="1700"/>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Monitoring</w:t>
            </w:r>
          </w:p>
        </w:tc>
        <w:tc>
          <w:tcPr>
            <w:tcW w:type="dxa" w:w="1700"/>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Alertes</w:t>
            </w:r>
          </w:p>
        </w:tc>
        <w:tc>
          <w:tcPr>
            <w:tcW w:type="dxa" w:w="1926"/>
            <w:tcBorders>
              <w:top w:val="single" w:color="CCCCCC" w:sz="1"/>
              <w:left w:val="single" w:color="CCCCCC" w:sz="1"/>
              <w:bottom w:val="single" w:color="CCCCCC" w:sz="1"/>
              <w:right w:val="single" w:color="CCCCCC" w:sz="1"/>
            </w:tcBorders>
            <w:shd w:fill="101828" w:val="clear"/>
            <w:tcMar>
              <w:top w:type="dxa" w:w="100"/>
              <w:left w:type="dxa" w:w="150"/>
              <w:bottom w:type="dxa" w:w="100"/>
              <w:right w:type="dxa" w:w="150"/>
            </w:tcMar>
          </w:tcPr>
          <w:p>
            <w:r>
              <w:rPr>
                <w:rFonts w:ascii="Arial" w:cs="Arial" w:eastAsia="Arial" w:hAnsi="Arial"/>
                <w:b/>
                <w:bCs/>
                <w:color w:val="FFFFFF"/>
                <w:sz w:val="22"/>
                <w:szCs w:val="22"/>
              </w:rPr>
              <w:t xml:space="preserve">Simplicité</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color w:val="344054"/>
                <w:sz w:val="20"/>
                <w:szCs w:val="20"/>
              </w:rPr>
              <w:t xml:space="preserve">GitHub Actions</w:t>
            </w:r>
          </w:p>
        </w:tc>
        <w:tc>
          <w:tcPr>
            <w:tcW w:type="dxa" w:w="17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color w:val="344054"/>
                <w:sz w:val="20"/>
                <w:szCs w:val="20"/>
              </w:rPr>
              <w:t xml:space="preserve">✅ Natif</w:t>
            </w:r>
          </w:p>
        </w:tc>
        <w:tc>
          <w:tcPr>
            <w:tcW w:type="dxa" w:w="17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color w:val="344054"/>
                <w:sz w:val="20"/>
                <w:szCs w:val="20"/>
              </w:rPr>
              <w:t xml:space="preserve">❌ Externe</w:t>
            </w:r>
          </w:p>
        </w:tc>
        <w:tc>
          <w:tcPr>
            <w:tcW w:type="dxa" w:w="17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color w:val="344054"/>
                <w:sz w:val="20"/>
                <w:szCs w:val="20"/>
              </w:rPr>
              <w:t xml:space="preserve">❌ Externe</w:t>
            </w:r>
          </w:p>
        </w:tc>
        <w:tc>
          <w:tcPr>
            <w:tcW w:type="dxa" w:w="19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color w:val="344054"/>
                <w:sz w:val="20"/>
                <w:szCs w:val="20"/>
              </w:rPr>
              <w:t xml:space="preserve">⚠️ Moyen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44054"/>
                <w:sz w:val="20"/>
                <w:szCs w:val="20"/>
              </w:rPr>
              <w:t xml:space="preserve">GitLab CI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44054"/>
                <w:sz w:val="20"/>
                <w:szCs w:val="20"/>
              </w:rPr>
              <w:t xml:space="preserve">✅ Natif</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44054"/>
                <w:sz w:val="20"/>
                <w:szCs w:val="20"/>
              </w:rPr>
              <w:t xml:space="preserve">⚠️ Partiel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44054"/>
                <w:sz w:val="20"/>
                <w:szCs w:val="20"/>
              </w:rPr>
              <w:t xml:space="preserve">⚠️ Partiel</w:t>
            </w:r>
          </w:p>
        </w:tc>
        <w:tc>
          <w:tcPr>
            <w:tcW w:type="dxa" w:w="1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44054"/>
                <w:sz w:val="20"/>
                <w:szCs w:val="20"/>
              </w:rPr>
              <w:t xml:space="preserve">⚠️ Moyen</w:t>
            </w:r>
          </w:p>
        </w:tc>
      </w:tr>
      <w:tr>
        <w:tc>
          <w:tcPr>
            <w:tcW w:type="dxa" w:w="20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color w:val="344054"/>
                <w:sz w:val="20"/>
                <w:szCs w:val="20"/>
              </w:rPr>
              <w:t xml:space="preserve">Jenkins</w:t>
            </w:r>
          </w:p>
        </w:tc>
        <w:tc>
          <w:tcPr>
            <w:tcW w:type="dxa" w:w="17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color w:val="344054"/>
                <w:sz w:val="20"/>
                <w:szCs w:val="20"/>
              </w:rPr>
              <w:t xml:space="preserve">✅ Puissant</w:t>
            </w:r>
          </w:p>
        </w:tc>
        <w:tc>
          <w:tcPr>
            <w:tcW w:type="dxa" w:w="17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color w:val="344054"/>
                <w:sz w:val="20"/>
                <w:szCs w:val="20"/>
              </w:rPr>
              <w:t xml:space="preserve">❌ Externe</w:t>
            </w:r>
          </w:p>
        </w:tc>
        <w:tc>
          <w:tcPr>
            <w:tcW w:type="dxa" w:w="1700"/>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color w:val="344054"/>
                <w:sz w:val="20"/>
                <w:szCs w:val="20"/>
              </w:rPr>
              <w:t xml:space="preserve">❌ Externe</w:t>
            </w:r>
          </w:p>
        </w:tc>
        <w:tc>
          <w:tcPr>
            <w:tcW w:type="dxa" w:w="1926"/>
            <w:tcBorders>
              <w:top w:val="single" w:color="CCCCCC" w:sz="1"/>
              <w:left w:val="single" w:color="CCCCCC" w:sz="1"/>
              <w:bottom w:val="single" w:color="CCCCCC" w:sz="1"/>
              <w:right w:val="single" w:color="CCCCCC" w:sz="1"/>
            </w:tcBorders>
            <w:shd w:fill="F2F4F7" w:val="clear"/>
            <w:tcMar>
              <w:top w:type="dxa" w:w="100"/>
              <w:left w:type="dxa" w:w="150"/>
              <w:bottom w:type="dxa" w:w="100"/>
              <w:right w:type="dxa" w:w="150"/>
            </w:tcMar>
          </w:tcPr>
          <w:p>
            <w:r>
              <w:rPr>
                <w:rFonts w:ascii="Arial" w:cs="Arial" w:eastAsia="Arial" w:hAnsi="Arial"/>
                <w:b w:val="false"/>
                <w:bCs w:val="false"/>
                <w:color w:val="344054"/>
                <w:sz w:val="20"/>
                <w:szCs w:val="20"/>
              </w:rPr>
              <w:t xml:space="preserve">❌ Complexe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44054"/>
                <w:sz w:val="20"/>
                <w:szCs w:val="20"/>
              </w:rPr>
              <w:t xml:space="preserve">Vercel / Netlify</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44054"/>
                <w:sz w:val="20"/>
                <w:szCs w:val="20"/>
              </w:rPr>
              <w:t xml:space="preserve">✅ Simple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44054"/>
                <w:sz w:val="20"/>
                <w:szCs w:val="20"/>
              </w:rPr>
              <w:t xml:space="preserve">⚠️ Basique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44054"/>
                <w:sz w:val="20"/>
                <w:szCs w:val="20"/>
              </w:rPr>
              <w:t xml:space="preserve">⚠️ Basique</w:t>
            </w:r>
          </w:p>
        </w:tc>
        <w:tc>
          <w:tcPr>
            <w:tcW w:type="dxa" w:w="1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344054"/>
                <w:sz w:val="20"/>
                <w:szCs w:val="20"/>
              </w:rPr>
              <w:t xml:space="preserve">✅ Excellent</w:t>
            </w:r>
          </w:p>
        </w:tc>
      </w:tr>
      <w:tr>
        <w:tc>
          <w:tcPr>
            <w:tcW w:type="dxa" w:w="20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0"/>
                <w:szCs w:val="20"/>
              </w:rPr>
              <w:t xml:space="preserve">InnoDeploy</w:t>
            </w:r>
          </w:p>
        </w:tc>
        <w:tc>
          <w:tcPr>
            <w:tcW w:type="dxa" w:w="17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0"/>
                <w:szCs w:val="20"/>
              </w:rPr>
              <w:t xml:space="preserve">✅ Intégré</w:t>
            </w:r>
          </w:p>
        </w:tc>
        <w:tc>
          <w:tcPr>
            <w:tcW w:type="dxa" w:w="17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0"/>
                <w:szCs w:val="20"/>
              </w:rPr>
              <w:t xml:space="preserve">✅ Intégré</w:t>
            </w:r>
          </w:p>
        </w:tc>
        <w:tc>
          <w:tcPr>
            <w:tcW w:type="dxa" w:w="170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0"/>
                <w:szCs w:val="20"/>
              </w:rPr>
              <w:t xml:space="preserve">✅ Intégré</w:t>
            </w:r>
          </w:p>
        </w:tc>
        <w:tc>
          <w:tcPr>
            <w:tcW w:type="dxa" w:w="1926"/>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16A34A"/>
                <w:sz w:val="20"/>
                <w:szCs w:val="20"/>
              </w:rPr>
              <w:t xml:space="preserve">✅ Excellent</w:t>
            </w:r>
          </w:p>
        </w:tc>
      </w:tr>
    </w:tbl>
    <w:p>
      <w:pPr>
        <w:spacing w:after="0" w:before="200"/>
      </w:pPr>
    </w:p>
    <w:p>
      <w:pPr>
        <w:pStyle w:val="Heading2"/>
        <w:spacing w:after="160" w:before="300"/>
      </w:pPr>
      <w:r>
        <w:rPr>
          <w:rFonts w:ascii="Arial" w:cs="Arial" w:eastAsia="Arial" w:hAnsi="Arial"/>
          <w:b/>
          <w:bCs/>
          <w:color w:val="16A34A"/>
          <w:sz w:val="26"/>
          <w:szCs w:val="26"/>
        </w:rPr>
        <w:t xml:space="preserve">1.7  Organisation du Rapport</w:t>
      </w:r>
    </w:p>
    <w:p>
      <w:pPr>
        <w:spacing w:after="80" w:before="80" w:line="360"/>
        <w:jc w:val="both"/>
      </w:pPr>
      <w:r>
        <w:rPr>
          <w:rFonts w:ascii="Arial" w:cs="Arial" w:eastAsia="Arial" w:hAnsi="Arial"/>
          <w:color w:val="344054"/>
          <w:sz w:val="22"/>
          <w:szCs w:val="22"/>
        </w:rPr>
        <w:t xml:space="preserve">Ce rapport est structuré en six chapitres complémentaires :</w:t>
      </w:r>
    </w:p>
    <w:p>
      <w:pPr>
        <w:spacing w:after="0" w:before="100"/>
      </w:pPr>
    </w:p>
    <w:p>
      <w:pPr>
        <w:pStyle w:val="ListParagraph"/>
        <w:numPr>
          <w:ilvl w:val="0"/>
          <w:numId w:val="2"/>
        </w:numPr>
        <w:spacing w:after="80" w:before="80"/>
      </w:pPr>
      <w:r>
        <w:rPr>
          <w:rFonts w:ascii="Arial" w:cs="Arial" w:eastAsia="Arial" w:hAnsi="Arial"/>
          <w:b/>
          <w:bCs/>
          <w:color w:val="101828"/>
          <w:sz w:val="22"/>
          <w:szCs w:val="22"/>
        </w:rPr>
        <w:t xml:space="preserve">Chapitre 1 — Introduction Générale : </w:t>
      </w:r>
      <w:r>
        <w:rPr>
          <w:rFonts w:ascii="Arial" w:cs="Arial" w:eastAsia="Arial" w:hAnsi="Arial"/>
          <w:color w:val="667085"/>
          <w:sz w:val="22"/>
          <w:szCs w:val="22"/>
        </w:rPr>
        <w:t xml:space="preserve">Contexte, problématique, objectifs et présentation de la solution InnoDeploy.</w:t>
      </w:r>
    </w:p>
    <w:p>
      <w:pPr>
        <w:pStyle w:val="ListParagraph"/>
        <w:numPr>
          <w:ilvl w:val="0"/>
          <w:numId w:val="2"/>
        </w:numPr>
        <w:spacing w:after="80" w:before="80"/>
      </w:pPr>
      <w:r>
        <w:rPr>
          <w:rFonts w:ascii="Arial" w:cs="Arial" w:eastAsia="Arial" w:hAnsi="Arial"/>
          <w:b/>
          <w:bCs/>
          <w:color w:val="101828"/>
          <w:sz w:val="22"/>
          <w:szCs w:val="22"/>
        </w:rPr>
        <w:t xml:space="preserve">Chapitre 2 — Analyse et Spécification des Besoins : </w:t>
      </w:r>
      <w:r>
        <w:rPr>
          <w:rFonts w:ascii="Arial" w:cs="Arial" w:eastAsia="Arial" w:hAnsi="Arial"/>
          <w:color w:val="667085"/>
          <w:sz w:val="22"/>
          <w:szCs w:val="22"/>
        </w:rPr>
        <w:t xml:space="preserve">Identification des acteurs, cas d'utilisation, exigences fonctionnelles et non fonctionnelles.</w:t>
      </w:r>
    </w:p>
    <w:p>
      <w:pPr>
        <w:pStyle w:val="ListParagraph"/>
        <w:numPr>
          <w:ilvl w:val="0"/>
          <w:numId w:val="2"/>
        </w:numPr>
        <w:spacing w:after="80" w:before="80"/>
      </w:pPr>
      <w:r>
        <w:rPr>
          <w:rFonts w:ascii="Arial" w:cs="Arial" w:eastAsia="Arial" w:hAnsi="Arial"/>
          <w:b/>
          <w:bCs/>
          <w:color w:val="101828"/>
          <w:sz w:val="22"/>
          <w:szCs w:val="22"/>
        </w:rPr>
        <w:t xml:space="preserve">Chapitre 3 — Conception de l'Architecture : </w:t>
      </w:r>
      <w:r>
        <w:rPr>
          <w:rFonts w:ascii="Arial" w:cs="Arial" w:eastAsia="Arial" w:hAnsi="Arial"/>
          <w:color w:val="667085"/>
          <w:sz w:val="22"/>
          <w:szCs w:val="22"/>
        </w:rPr>
        <w:t xml:space="preserve">Architecture microservices, modèle de données, diagrammes UML et choix techniques.</w:t>
      </w:r>
    </w:p>
    <w:p>
      <w:pPr>
        <w:pStyle w:val="ListParagraph"/>
        <w:numPr>
          <w:ilvl w:val="0"/>
          <w:numId w:val="2"/>
        </w:numPr>
        <w:spacing w:after="80" w:before="80"/>
      </w:pPr>
      <w:r>
        <w:rPr>
          <w:rFonts w:ascii="Arial" w:cs="Arial" w:eastAsia="Arial" w:hAnsi="Arial"/>
          <w:b/>
          <w:bCs/>
          <w:color w:val="101828"/>
          <w:sz w:val="22"/>
          <w:szCs w:val="22"/>
        </w:rPr>
        <w:t xml:space="preserve">Chapitre 4 — Implémentation : </w:t>
      </w:r>
      <w:r>
        <w:rPr>
          <w:rFonts w:ascii="Arial" w:cs="Arial" w:eastAsia="Arial" w:hAnsi="Arial"/>
          <w:color w:val="667085"/>
          <w:sz w:val="22"/>
          <w:szCs w:val="22"/>
        </w:rPr>
        <w:t xml:space="preserve">Détail du développement : backend Go, pipeline engine, frontend Next.js et intégrations.</w:t>
      </w:r>
    </w:p>
    <w:p>
      <w:pPr>
        <w:pStyle w:val="ListParagraph"/>
        <w:numPr>
          <w:ilvl w:val="0"/>
          <w:numId w:val="2"/>
        </w:numPr>
        <w:spacing w:after="80" w:before="80"/>
      </w:pPr>
      <w:r>
        <w:rPr>
          <w:rFonts w:ascii="Arial" w:cs="Arial" w:eastAsia="Arial" w:hAnsi="Arial"/>
          <w:b/>
          <w:bCs/>
          <w:color w:val="101828"/>
          <w:sz w:val="22"/>
          <w:szCs w:val="22"/>
        </w:rPr>
        <w:t xml:space="preserve">Chapitre 5 — Tests et Validation : </w:t>
      </w:r>
      <w:r>
        <w:rPr>
          <w:rFonts w:ascii="Arial" w:cs="Arial" w:eastAsia="Arial" w:hAnsi="Arial"/>
          <w:color w:val="667085"/>
          <w:sz w:val="22"/>
          <w:szCs w:val="22"/>
        </w:rPr>
        <w:t xml:space="preserve">Stratégie de test, résultats des tests unitaires, d'intégration et de performance.</w:t>
      </w:r>
    </w:p>
    <w:p>
      <w:pPr>
        <w:pStyle w:val="ListParagraph"/>
        <w:numPr>
          <w:ilvl w:val="0"/>
          <w:numId w:val="2"/>
        </w:numPr>
        <w:spacing w:after="80" w:before="80"/>
      </w:pPr>
      <w:r>
        <w:rPr>
          <w:rFonts w:ascii="Arial" w:cs="Arial" w:eastAsia="Arial" w:hAnsi="Arial"/>
          <w:b/>
          <w:bCs/>
          <w:color w:val="101828"/>
          <w:sz w:val="22"/>
          <w:szCs w:val="22"/>
        </w:rPr>
        <w:t xml:space="preserve">Chapitre 6 — Conclusion et Perspectives : </w:t>
      </w:r>
      <w:r>
        <w:rPr>
          <w:rFonts w:ascii="Arial" w:cs="Arial" w:eastAsia="Arial" w:hAnsi="Arial"/>
          <w:color w:val="667085"/>
          <w:sz w:val="22"/>
          <w:szCs w:val="22"/>
        </w:rPr>
        <w:t xml:space="preserve">Bilan du projet, limitations identifiées et directions pour les travaux futurs.</w:t>
      </w:r>
    </w:p>
    <w:p>
      <w:pPr>
        <w:spacing w:after="0" w:before="200"/>
      </w:pPr>
    </w:p>
    <w:p>
      <w:pPr>
        <w:pStyle w:val="Heading2"/>
        <w:spacing w:after="160" w:before="300"/>
      </w:pPr>
      <w:r>
        <w:rPr>
          <w:rFonts w:ascii="Arial" w:cs="Arial" w:eastAsia="Arial" w:hAnsi="Arial"/>
          <w:b/>
          <w:bCs/>
          <w:color w:val="16A34A"/>
          <w:sz w:val="26"/>
          <w:szCs w:val="26"/>
        </w:rPr>
        <w:t xml:space="preserve">1.8  Conclusion du Chapitre</w:t>
      </w:r>
    </w:p>
    <w:p>
      <w:pPr>
        <w:spacing w:after="80" w:before="80" w:line="360"/>
        <w:jc w:val="both"/>
      </w:pPr>
      <w:r>
        <w:rPr>
          <w:rFonts w:ascii="Arial" w:cs="Arial" w:eastAsia="Arial" w:hAnsi="Arial"/>
          <w:color w:val="344054"/>
          <w:sz w:val="22"/>
          <w:szCs w:val="22"/>
        </w:rPr>
        <w:t xml:space="preserve">Ce premier chapitre a posé les bases du projet InnoDeploy en définissant le contexte, la problématique et les objectifs. Face à la fragmentation des outils DevOps et à la complexité d'adoption des solutions existantes, InnoDeploy propose une approche intégrée couvrant l'ensemble du cycle de vie applicatif.</w:t>
      </w:r>
    </w:p>
    <w:p>
      <w:pPr>
        <w:spacing w:after="0" w:before="100"/>
      </w:pPr>
    </w:p>
    <w:p>
      <w:pPr>
        <w:spacing w:after="80" w:before="80" w:line="360"/>
        <w:jc w:val="both"/>
      </w:pPr>
      <w:r>
        <w:rPr>
          <w:rFonts w:ascii="Arial" w:cs="Arial" w:eastAsia="Arial" w:hAnsi="Arial"/>
          <w:color w:val="344054"/>
          <w:sz w:val="22"/>
          <w:szCs w:val="22"/>
        </w:rPr>
        <w:t xml:space="preserve">L'architecture proposée, basée sur Go, PostgreSQL et Next.js, garantit performance, scalabilité et facilité d'utilisation. Les chapitres suivants détailleront la spécification des besoins, la conception architecturale et les choix d'implémentation qui ont guidé le développement de cette plateforme.</w:t>
      </w:r>
    </w:p>
    <w:p>
      <w:r>
        <w:br/>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4405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01828"/>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6A34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440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2026-04-29T10:43:01.819Z</dcterms:created>
  <dcterms:modified xsi:type="dcterms:W3CDTF">2026-04-29T10:43:01.820Z</dcterms:modified>
</cp:coreProperties>
</file>

<file path=docProps/custom.xml><?xml version="1.0" encoding="utf-8"?>
<Properties xmlns="http://schemas.openxmlformats.org/officeDocument/2006/custom-properties" xmlns:vt="http://schemas.openxmlformats.org/officeDocument/2006/docPropsVTypes"/>
</file>