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20" w:line="480" w:lineRule="auto"/>
        <w:ind w:left="0" w:firstLine="0"/>
        <w:jc w:val="center"/>
        <w:rPr>
          <w:rFonts w:ascii="Courier New" w:hAnsi="Courier New" w:eastAsia="Courier New" w:cs="Courier New"/>
          <w:b/>
          <w:sz w:val="24"/>
          <w:szCs w:val="24"/>
          <w:vertAlign w:val="baseline"/>
        </w:rPr>
      </w:pPr>
      <w:r>
        <w:rPr>
          <w:rFonts w:ascii="Courier New" w:hAnsi="Courier New" w:eastAsia="Courier New" w:cs="Courier New"/>
          <w:b/>
          <w:sz w:val="24"/>
          <w:szCs w:val="24"/>
          <w:vertAlign w:val="baseline"/>
          <w:rtl w:val="0"/>
        </w:rPr>
        <w:t>Streamlining Innovation: Intellectual Property Management System (IPMS)</w:t>
      </w:r>
    </w:p>
    <w:p w14:paraId="00000002">
      <w:pPr>
        <w:spacing w:after="120" w:line="480" w:lineRule="auto"/>
        <w:jc w:val="center"/>
        <w:rPr>
          <w:rFonts w:ascii="Courier New" w:hAnsi="Courier New" w:eastAsia="Courier New" w:cs="Courier New"/>
          <w:b/>
          <w:sz w:val="24"/>
          <w:szCs w:val="24"/>
          <w:vertAlign w:val="baseline"/>
        </w:rPr>
      </w:pPr>
    </w:p>
    <w:p w14:paraId="00000003">
      <w:pPr>
        <w:spacing w:after="120" w:line="480" w:lineRule="auto"/>
        <w:jc w:val="center"/>
        <w:rPr>
          <w:rFonts w:ascii="Courier New" w:hAnsi="Courier New" w:eastAsia="Courier New" w:cs="Courier New"/>
          <w:b/>
          <w:sz w:val="24"/>
          <w:szCs w:val="24"/>
          <w:vertAlign w:val="baseline"/>
        </w:rPr>
      </w:pPr>
    </w:p>
    <w:p w14:paraId="00000004">
      <w:pPr>
        <w:spacing w:after="120" w:line="480" w:lineRule="auto"/>
        <w:jc w:val="center"/>
        <w:rPr>
          <w:rFonts w:ascii="Courier New" w:hAnsi="Courier New" w:eastAsia="Courier New" w:cs="Courier New"/>
          <w:b/>
          <w:sz w:val="24"/>
          <w:szCs w:val="24"/>
          <w:vertAlign w:val="baseline"/>
        </w:rPr>
      </w:pPr>
    </w:p>
    <w:p w14:paraId="00000005">
      <w:pPr>
        <w:spacing w:after="120" w:line="48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A Capstone Project Presented to the Faculty of the</w:t>
      </w:r>
      <w:r>
        <w:rPr>
          <w:rFonts w:ascii="Courier New" w:hAnsi="Courier New" w:eastAsia="Courier New" w:cs="Courier New"/>
          <w:sz w:val="24"/>
          <w:szCs w:val="24"/>
          <w:rtl w:val="0"/>
        </w:rPr>
        <w:t xml:space="preserve"> College of </w:t>
      </w:r>
      <w:r>
        <w:rPr>
          <w:rFonts w:ascii="Courier New" w:hAnsi="Courier New" w:eastAsia="Courier New" w:cs="Courier New"/>
          <w:sz w:val="24"/>
          <w:szCs w:val="24"/>
          <w:vertAlign w:val="baseline"/>
          <w:rtl w:val="0"/>
        </w:rPr>
        <w:t xml:space="preserve">Computing and Multimedia Studies </w:t>
      </w:r>
    </w:p>
    <w:p w14:paraId="00000006">
      <w:pPr>
        <w:spacing w:after="120" w:line="48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 xml:space="preserve">at Camarines Norte State College </w:t>
      </w:r>
    </w:p>
    <w:p w14:paraId="00000007">
      <w:pPr>
        <w:spacing w:after="120" w:line="48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Daet, Camarines Norte</w:t>
      </w:r>
    </w:p>
    <w:p w14:paraId="00000008">
      <w:pPr>
        <w:spacing w:after="120" w:line="480" w:lineRule="auto"/>
        <w:jc w:val="left"/>
        <w:rPr>
          <w:rFonts w:ascii="Courier New" w:hAnsi="Courier New" w:eastAsia="Courier New" w:cs="Courier New"/>
          <w:sz w:val="24"/>
          <w:szCs w:val="24"/>
          <w:vertAlign w:val="baseline"/>
        </w:rPr>
      </w:pPr>
    </w:p>
    <w:p w14:paraId="00000009">
      <w:pPr>
        <w:spacing w:after="120" w:line="480" w:lineRule="auto"/>
        <w:jc w:val="center"/>
        <w:rPr>
          <w:rFonts w:ascii="Courier New" w:hAnsi="Courier New" w:eastAsia="Courier New" w:cs="Courier New"/>
          <w:sz w:val="24"/>
          <w:szCs w:val="24"/>
          <w:vertAlign w:val="baseline"/>
        </w:rPr>
      </w:pPr>
    </w:p>
    <w:p w14:paraId="0000000A">
      <w:pPr>
        <w:spacing w:after="120" w:line="480" w:lineRule="auto"/>
        <w:jc w:val="center"/>
        <w:rPr>
          <w:rFonts w:ascii="Courier New" w:hAnsi="Courier New" w:eastAsia="Courier New" w:cs="Courier New"/>
          <w:sz w:val="24"/>
          <w:szCs w:val="24"/>
          <w:vertAlign w:val="baseline"/>
        </w:rPr>
      </w:pPr>
    </w:p>
    <w:p w14:paraId="0000000B">
      <w:pPr>
        <w:spacing w:after="120" w:line="48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In Partial Fulfillment of the Degree of Bachelor of Science in Information Systems</w:t>
      </w:r>
    </w:p>
    <w:p w14:paraId="0000000C">
      <w:pPr>
        <w:spacing w:after="120" w:line="480" w:lineRule="auto"/>
        <w:jc w:val="center"/>
        <w:rPr>
          <w:rFonts w:ascii="Courier New" w:hAnsi="Courier New" w:eastAsia="Courier New" w:cs="Courier New"/>
          <w:sz w:val="24"/>
          <w:szCs w:val="24"/>
          <w:vertAlign w:val="baseline"/>
        </w:rPr>
      </w:pPr>
    </w:p>
    <w:p w14:paraId="0000000D">
      <w:pPr>
        <w:spacing w:after="120" w:line="480" w:lineRule="auto"/>
        <w:jc w:val="center"/>
        <w:rPr>
          <w:rFonts w:ascii="Courier New" w:hAnsi="Courier New" w:eastAsia="Courier New" w:cs="Courier New"/>
          <w:sz w:val="24"/>
          <w:szCs w:val="24"/>
          <w:vertAlign w:val="baseline"/>
        </w:rPr>
      </w:pPr>
    </w:p>
    <w:p w14:paraId="0000000E">
      <w:pPr>
        <w:spacing w:after="120" w:line="48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By</w:t>
      </w:r>
    </w:p>
    <w:p w14:paraId="0000000F">
      <w:pPr>
        <w:spacing w:after="120" w:line="48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Tormes, Ernelita D.</w:t>
      </w:r>
    </w:p>
    <w:p w14:paraId="00000010">
      <w:pPr>
        <w:spacing w:after="120" w:line="48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Macal, Anna Maica B.</w:t>
      </w:r>
    </w:p>
    <w:p w14:paraId="00000013">
      <w:pPr>
        <w:spacing w:after="120" w:line="480" w:lineRule="auto"/>
        <w:jc w:val="center"/>
        <w:rPr>
          <w:rFonts w:ascii="Courier New" w:hAnsi="Courier New" w:eastAsia="Courier New" w:cs="Courier New"/>
          <w:sz w:val="24"/>
          <w:szCs w:val="24"/>
          <w:vertAlign w:val="baseline"/>
        </w:rPr>
        <w:sectPr>
          <w:headerReference r:id="rId6" w:type="first"/>
          <w:footerReference r:id="rId8" w:type="first"/>
          <w:headerReference r:id="rId5" w:type="default"/>
          <w:footerReference r:id="rId7" w:type="default"/>
          <w:pgSz w:w="11906" w:h="16838"/>
          <w:pgMar w:top="1440" w:right="1440" w:bottom="1440" w:left="2160" w:header="720" w:footer="720" w:gutter="0"/>
          <w:pgNumType w:start="0"/>
          <w:cols w:space="720" w:num="1"/>
          <w:titlePg/>
        </w:sectPr>
      </w:pPr>
      <w:r>
        <w:rPr>
          <w:rFonts w:ascii="Courier New" w:hAnsi="Courier New" w:eastAsia="Courier New" w:cs="Courier New"/>
          <w:sz w:val="24"/>
          <w:szCs w:val="24"/>
          <w:vertAlign w:val="baseline"/>
          <w:rtl w:val="0"/>
        </w:rPr>
        <w:t>2025</w:t>
      </w:r>
    </w:p>
    <w:p w14:paraId="00000014">
      <w:pPr>
        <w:keepNext w:val="0"/>
        <w:keepLines w:val="0"/>
        <w:widowControl/>
        <w:spacing w:line="240" w:lineRule="auto"/>
        <w:jc w:val="left"/>
        <w:rPr>
          <w:vertAlign w:val="baseline"/>
        </w:rPr>
      </w:pPr>
    </w:p>
    <w:p w14:paraId="0000001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12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TABLE OF CONTENTS</w:t>
      </w:r>
    </w:p>
    <w:p w14:paraId="0000001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120" w:line="240" w:lineRule="auto"/>
        <w:ind w:left="5760" w:right="0" w:firstLine="72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 PAGE</w:t>
      </w:r>
    </w:p>
    <w:tbl>
      <w:tblPr>
        <w:tblStyle w:val="18"/>
        <w:tblW w:w="8522"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222"/>
        <w:gridCol w:w="361"/>
        <w:gridCol w:w="7290"/>
        <w:gridCol w:w="649"/>
      </w:tblGrid>
      <w:tr w14:paraId="0355EE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gridSpan w:val="3"/>
            <w:tcBorders>
              <w:top w:val="nil"/>
              <w:left w:val="nil"/>
              <w:bottom w:val="nil"/>
              <w:right w:val="nil"/>
            </w:tcBorders>
            <w:tcMar>
              <w:top w:w="0" w:type="dxa"/>
              <w:left w:w="108" w:type="dxa"/>
              <w:bottom w:w="0" w:type="dxa"/>
              <w:right w:w="108" w:type="dxa"/>
            </w:tcMar>
            <w:vAlign w:val="top"/>
          </w:tcPr>
          <w:p w14:paraId="0000001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c>
          <w:tcPr>
            <w:tcBorders>
              <w:top w:val="nil"/>
              <w:left w:val="nil"/>
              <w:bottom w:val="nil"/>
              <w:right w:val="nil"/>
            </w:tcBorders>
            <w:tcMar>
              <w:top w:w="0" w:type="dxa"/>
              <w:left w:w="108" w:type="dxa"/>
              <w:bottom w:w="0" w:type="dxa"/>
              <w:right w:w="108" w:type="dxa"/>
            </w:tcMar>
            <w:vAlign w:val="top"/>
          </w:tcPr>
          <w:p w14:paraId="0000001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r>
      <w:tr w14:paraId="412731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gridSpan w:val="3"/>
            <w:tcBorders>
              <w:top w:val="nil"/>
              <w:left w:val="nil"/>
              <w:bottom w:val="nil"/>
              <w:right w:val="nil"/>
            </w:tcBorders>
            <w:tcMar>
              <w:top w:w="0" w:type="dxa"/>
              <w:left w:w="108" w:type="dxa"/>
              <w:bottom w:w="0" w:type="dxa"/>
              <w:right w:w="108" w:type="dxa"/>
            </w:tcMar>
            <w:vAlign w:val="top"/>
          </w:tcPr>
          <w:p w14:paraId="0000001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CHAPTER</w:t>
            </w:r>
          </w:p>
        </w:tc>
        <w:tc>
          <w:tcPr>
            <w:tcBorders>
              <w:top w:val="nil"/>
              <w:left w:val="nil"/>
              <w:bottom w:val="nil"/>
              <w:right w:val="nil"/>
            </w:tcBorders>
            <w:tcMar>
              <w:top w:w="0" w:type="dxa"/>
              <w:left w:w="108" w:type="dxa"/>
              <w:bottom w:w="0" w:type="dxa"/>
              <w:right w:w="108" w:type="dxa"/>
            </w:tcMar>
            <w:vAlign w:val="top"/>
          </w:tcPr>
          <w:p w14:paraId="0000001E">
            <w:pPr>
              <w:keepNext w:val="0"/>
              <w:keepLines w:val="0"/>
              <w:widowControl/>
              <w:spacing w:line="240" w:lineRule="auto"/>
              <w:jc w:val="left"/>
              <w:rPr>
                <w:vertAlign w:val="baseline"/>
              </w:rPr>
            </w:pPr>
          </w:p>
        </w:tc>
      </w:tr>
      <w:tr w14:paraId="4E48B1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tcMar>
              <w:top w:w="0" w:type="dxa"/>
              <w:left w:w="108" w:type="dxa"/>
              <w:bottom w:w="0" w:type="dxa"/>
              <w:right w:w="108" w:type="dxa"/>
            </w:tcMar>
            <w:vAlign w:val="top"/>
          </w:tcPr>
          <w:p w14:paraId="0000001F">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2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1</w:t>
            </w:r>
          </w:p>
        </w:tc>
        <w:tc>
          <w:tcPr>
            <w:tcBorders>
              <w:top w:val="nil"/>
              <w:left w:val="nil"/>
              <w:bottom w:val="nil"/>
              <w:right w:val="nil"/>
            </w:tcBorders>
            <w:tcMar>
              <w:top w:w="0" w:type="dxa"/>
              <w:left w:w="108" w:type="dxa"/>
              <w:bottom w:w="0" w:type="dxa"/>
              <w:right w:w="108" w:type="dxa"/>
            </w:tcMar>
            <w:vAlign w:val="top"/>
          </w:tcPr>
          <w:p w14:paraId="0000002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INTRODUCTION</w:t>
            </w:r>
          </w:p>
        </w:tc>
        <w:tc>
          <w:tcPr>
            <w:tcBorders>
              <w:top w:val="nil"/>
              <w:left w:val="nil"/>
              <w:bottom w:val="nil"/>
              <w:right w:val="nil"/>
            </w:tcBorders>
            <w:tcMar>
              <w:top w:w="0" w:type="dxa"/>
              <w:left w:w="108" w:type="dxa"/>
              <w:bottom w:w="0" w:type="dxa"/>
              <w:right w:w="108" w:type="dxa"/>
            </w:tcMar>
            <w:vAlign w:val="top"/>
          </w:tcPr>
          <w:p w14:paraId="00000022">
            <w:pPr>
              <w:keepNext w:val="0"/>
              <w:keepLines w:val="0"/>
              <w:widowControl/>
              <w:spacing w:line="240" w:lineRule="auto"/>
              <w:jc w:val="left"/>
              <w:rPr>
                <w:vertAlign w:val="baseline"/>
              </w:rPr>
            </w:pPr>
          </w:p>
        </w:tc>
      </w:tr>
      <w:tr w14:paraId="7EC394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tcMar>
              <w:top w:w="0" w:type="dxa"/>
              <w:left w:w="108" w:type="dxa"/>
              <w:bottom w:w="0" w:type="dxa"/>
              <w:right w:w="108" w:type="dxa"/>
            </w:tcMar>
            <w:vAlign w:val="top"/>
          </w:tcPr>
          <w:p w14:paraId="00000023">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24">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2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Context of the study  . . . . . . . . . .</w:t>
            </w:r>
          </w:p>
          <w:p w14:paraId="0000002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Research Objectives   . . . . . . . . . . </w:t>
            </w:r>
          </w:p>
          <w:p w14:paraId="0000002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Research Questions    . . . . . . . . . . </w:t>
            </w:r>
          </w:p>
          <w:p w14:paraId="0000002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Scope and Limitations   . . . . . . . . . </w:t>
            </w:r>
          </w:p>
          <w:p w14:paraId="0000002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Significance of the Study   . . . . . . . </w:t>
            </w:r>
          </w:p>
        </w:tc>
        <w:tc>
          <w:tcPr>
            <w:tcBorders>
              <w:top w:val="nil"/>
              <w:left w:val="nil"/>
              <w:bottom w:val="nil"/>
              <w:right w:val="nil"/>
            </w:tcBorders>
            <w:tcMar>
              <w:top w:w="0" w:type="dxa"/>
              <w:left w:w="108" w:type="dxa"/>
              <w:bottom w:w="0" w:type="dxa"/>
              <w:right w:w="108" w:type="dxa"/>
            </w:tcMar>
            <w:vAlign w:val="top"/>
          </w:tcPr>
          <w:p w14:paraId="0000002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3</w:t>
            </w:r>
          </w:p>
          <w:p w14:paraId="0000002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8</w:t>
            </w:r>
          </w:p>
          <w:p w14:paraId="0000002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9</w:t>
            </w:r>
          </w:p>
          <w:p w14:paraId="0000002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10</w:t>
            </w:r>
          </w:p>
          <w:p w14:paraId="0000002E">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11</w:t>
            </w:r>
          </w:p>
        </w:tc>
      </w:tr>
      <w:tr w14:paraId="16B6AC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tcMar>
              <w:top w:w="0" w:type="dxa"/>
              <w:left w:w="108" w:type="dxa"/>
              <w:bottom w:w="0" w:type="dxa"/>
              <w:right w:w="108" w:type="dxa"/>
            </w:tcMar>
            <w:vAlign w:val="top"/>
          </w:tcPr>
          <w:p w14:paraId="0000002F">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3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2</w:t>
            </w:r>
          </w:p>
        </w:tc>
        <w:tc>
          <w:tcPr>
            <w:tcBorders>
              <w:top w:val="nil"/>
              <w:left w:val="nil"/>
              <w:bottom w:val="nil"/>
              <w:right w:val="nil"/>
            </w:tcBorders>
            <w:tcMar>
              <w:top w:w="0" w:type="dxa"/>
              <w:left w:w="108" w:type="dxa"/>
              <w:bottom w:w="0" w:type="dxa"/>
              <w:right w:w="108" w:type="dxa"/>
            </w:tcMar>
            <w:vAlign w:val="top"/>
          </w:tcPr>
          <w:p w14:paraId="0000003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REVIEW OF RELATED LITERATURE  . . . . . . </w:t>
            </w:r>
          </w:p>
          <w:p w14:paraId="0000003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 1  . . . . . . . . . . . . . . . . . .</w:t>
            </w:r>
          </w:p>
          <w:p w14:paraId="00000033">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 2  . . . . . . . . . . . . . . . . . .</w:t>
            </w:r>
          </w:p>
          <w:p w14:paraId="00000034">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 3  . . . . . . . . . . . . . . . . . .</w:t>
            </w:r>
          </w:p>
          <w:p w14:paraId="0000003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11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Synthesis of the art  . . . . . . . . . .</w:t>
            </w:r>
          </w:p>
        </w:tc>
        <w:tc>
          <w:tcPr>
            <w:tcBorders>
              <w:top w:val="nil"/>
              <w:left w:val="nil"/>
              <w:bottom w:val="nil"/>
              <w:right w:val="nil"/>
            </w:tcBorders>
            <w:tcMar>
              <w:top w:w="0" w:type="dxa"/>
              <w:left w:w="108" w:type="dxa"/>
              <w:bottom w:w="0" w:type="dxa"/>
              <w:right w:w="108" w:type="dxa"/>
            </w:tcMar>
            <w:vAlign w:val="top"/>
          </w:tcPr>
          <w:p w14:paraId="0000003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13</w:t>
            </w:r>
          </w:p>
          <w:p w14:paraId="0000003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14</w:t>
            </w:r>
          </w:p>
          <w:p w14:paraId="0000003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16</w:t>
            </w:r>
          </w:p>
          <w:p w14:paraId="0000003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17</w:t>
            </w:r>
          </w:p>
          <w:p w14:paraId="0000003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18</w:t>
            </w:r>
          </w:p>
          <w:p w14:paraId="0000003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22</w:t>
            </w:r>
          </w:p>
        </w:tc>
      </w:tr>
      <w:tr w14:paraId="447BCC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tcMar>
              <w:top w:w="0" w:type="dxa"/>
              <w:left w:w="108" w:type="dxa"/>
              <w:bottom w:w="0" w:type="dxa"/>
              <w:right w:w="108" w:type="dxa"/>
            </w:tcMar>
            <w:vAlign w:val="top"/>
          </w:tcPr>
          <w:p w14:paraId="0000003C">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3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3</w:t>
            </w:r>
          </w:p>
        </w:tc>
        <w:tc>
          <w:tcPr>
            <w:tcBorders>
              <w:top w:val="nil"/>
              <w:left w:val="nil"/>
              <w:bottom w:val="nil"/>
              <w:right w:val="nil"/>
            </w:tcBorders>
            <w:tcMar>
              <w:top w:w="0" w:type="dxa"/>
              <w:left w:w="108" w:type="dxa"/>
              <w:bottom w:w="0" w:type="dxa"/>
              <w:right w:w="108" w:type="dxa"/>
            </w:tcMar>
            <w:vAlign w:val="top"/>
          </w:tcPr>
          <w:p w14:paraId="0000003E">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METHODOLOGY (should discuss all methodology used </w:t>
            </w:r>
            <w:r>
              <w:rPr>
                <w:rFonts w:ascii="Courier New" w:hAnsi="Courier New" w:eastAsia="Courier New" w:cs="Courier New"/>
                <w:sz w:val="24"/>
                <w:szCs w:val="24"/>
                <w:vertAlign w:val="baseline"/>
                <w:rtl w:val="0"/>
              </w:rPr>
              <w:t>in</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w:t>
            </w:r>
            <w:r>
              <w:rPr>
                <w:rFonts w:ascii="Courier New" w:hAnsi="Courier New" w:eastAsia="Courier New" w:cs="Courier New"/>
                <w:sz w:val="24"/>
                <w:szCs w:val="24"/>
                <w:vertAlign w:val="baseline"/>
                <w:rtl w:val="0"/>
              </w:rPr>
              <w:t>your</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SOP)</w:t>
            </w:r>
          </w:p>
          <w:p w14:paraId="0000003F">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Software Development Methodology . . . . .</w:t>
            </w:r>
          </w:p>
          <w:p w14:paraId="0000004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Schedule (Gantt Chart, PERTT Diagram) </w:t>
            </w:r>
          </w:p>
          <w:p w14:paraId="0000004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Sources of Data. . . . . . . . . . . . . .</w:t>
            </w:r>
          </w:p>
          <w:p w14:paraId="0000004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Population of the Study. . . . . . . . . .</w:t>
            </w:r>
          </w:p>
          <w:p w14:paraId="00000043">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Data Collection Method . . . . . . . . . . </w:t>
            </w:r>
          </w:p>
          <w:p w14:paraId="00000044">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Data Analysis. . . . . . . . . . . . . . .</w:t>
            </w:r>
          </w:p>
          <w:p w14:paraId="0000004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Ethical Consideration. . . . . . . . . . .</w:t>
            </w:r>
          </w:p>
        </w:tc>
        <w:tc>
          <w:tcPr>
            <w:tcBorders>
              <w:top w:val="nil"/>
              <w:left w:val="nil"/>
              <w:bottom w:val="nil"/>
              <w:right w:val="nil"/>
            </w:tcBorders>
            <w:tcMar>
              <w:top w:w="0" w:type="dxa"/>
              <w:left w:w="108" w:type="dxa"/>
              <w:bottom w:w="0" w:type="dxa"/>
              <w:right w:w="108" w:type="dxa"/>
            </w:tcMar>
            <w:vAlign w:val="top"/>
          </w:tcPr>
          <w:p w14:paraId="00000046">
            <w:pPr>
              <w:keepNext w:val="0"/>
              <w:keepLines w:val="0"/>
              <w:widowControl/>
              <w:spacing w:after="240" w:line="240" w:lineRule="auto"/>
              <w:jc w:val="left"/>
              <w:rPr>
                <w:vertAlign w:val="baseline"/>
              </w:rPr>
            </w:pPr>
          </w:p>
          <w:p w14:paraId="0000004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24</w:t>
            </w:r>
          </w:p>
          <w:p w14:paraId="0000004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25</w:t>
            </w:r>
          </w:p>
          <w:p w14:paraId="0000004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26</w:t>
            </w:r>
          </w:p>
          <w:p w14:paraId="0000004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27</w:t>
            </w:r>
          </w:p>
          <w:p w14:paraId="0000004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sz w:val="24"/>
                <w:szCs w:val="24"/>
                <w:vertAlign w:val="baseline"/>
                <w:rtl w:val="0"/>
              </w:rPr>
              <w:t>29</w:t>
            </w:r>
          </w:p>
          <w:p w14:paraId="0000004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30</w:t>
            </w:r>
          </w:p>
          <w:p w14:paraId="0000004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31</w:t>
            </w:r>
          </w:p>
        </w:tc>
      </w:tr>
      <w:tr w14:paraId="596131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tcMar>
              <w:top w:w="0" w:type="dxa"/>
              <w:left w:w="108" w:type="dxa"/>
              <w:bottom w:w="0" w:type="dxa"/>
              <w:right w:w="108" w:type="dxa"/>
            </w:tcMar>
            <w:vAlign w:val="top"/>
          </w:tcPr>
          <w:p w14:paraId="0000004E">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4F">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4</w:t>
            </w:r>
          </w:p>
        </w:tc>
        <w:tc>
          <w:tcPr>
            <w:tcBorders>
              <w:top w:val="nil"/>
              <w:left w:val="nil"/>
              <w:bottom w:val="nil"/>
              <w:right w:val="nil"/>
            </w:tcBorders>
            <w:tcMar>
              <w:top w:w="0" w:type="dxa"/>
              <w:left w:w="108" w:type="dxa"/>
              <w:bottom w:w="0" w:type="dxa"/>
              <w:right w:w="108" w:type="dxa"/>
            </w:tcMar>
            <w:vAlign w:val="top"/>
          </w:tcPr>
          <w:p w14:paraId="0000005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26"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RESULTS AND DISCUSSIONS</w:t>
            </w:r>
          </w:p>
          <w:p w14:paraId="0000005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 1   . . . . . . . . . . . . . . . . . .</w:t>
            </w:r>
          </w:p>
          <w:p w14:paraId="0000005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 2   . . . . . . . . . . . . . . . . . .</w:t>
            </w:r>
          </w:p>
          <w:p w14:paraId="00000053">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 3   . . . . . . . . . . . . . . . . . . </w:t>
            </w:r>
          </w:p>
          <w:p w14:paraId="00000054">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12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 4   . . . . . . . . . . . . . . . . . .</w:t>
            </w:r>
          </w:p>
        </w:tc>
        <w:tc>
          <w:tcPr>
            <w:tcBorders>
              <w:top w:val="nil"/>
              <w:left w:val="nil"/>
              <w:bottom w:val="nil"/>
              <w:right w:val="nil"/>
            </w:tcBorders>
            <w:tcMar>
              <w:top w:w="0" w:type="dxa"/>
              <w:left w:w="108" w:type="dxa"/>
              <w:bottom w:w="0" w:type="dxa"/>
              <w:right w:w="108" w:type="dxa"/>
            </w:tcMar>
            <w:vAlign w:val="top"/>
          </w:tcPr>
          <w:p w14:paraId="00000055">
            <w:pPr>
              <w:keepNext w:val="0"/>
              <w:keepLines w:val="0"/>
              <w:widowControl/>
              <w:spacing w:line="240" w:lineRule="auto"/>
              <w:jc w:val="left"/>
              <w:rPr>
                <w:vertAlign w:val="baseline"/>
              </w:rPr>
            </w:pPr>
          </w:p>
          <w:p w14:paraId="0000005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r>
      <w:tr w14:paraId="218523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91" w:hRule="atLeast"/>
        </w:trPr>
        <w:tc>
          <w:tcPr>
            <w:tcBorders>
              <w:top w:val="nil"/>
              <w:left w:val="nil"/>
              <w:bottom w:val="nil"/>
              <w:right w:val="nil"/>
            </w:tcBorders>
            <w:tcMar>
              <w:top w:w="0" w:type="dxa"/>
              <w:left w:w="108" w:type="dxa"/>
              <w:bottom w:w="0" w:type="dxa"/>
              <w:right w:w="108" w:type="dxa"/>
            </w:tcMar>
            <w:vAlign w:val="top"/>
          </w:tcPr>
          <w:p w14:paraId="0000005A">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5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5</w:t>
            </w:r>
          </w:p>
        </w:tc>
        <w:tc>
          <w:tcPr>
            <w:tcBorders>
              <w:top w:val="nil"/>
              <w:left w:val="nil"/>
              <w:bottom w:val="nil"/>
              <w:right w:val="nil"/>
            </w:tcBorders>
            <w:tcMar>
              <w:top w:w="0" w:type="dxa"/>
              <w:left w:w="108" w:type="dxa"/>
              <w:bottom w:w="0" w:type="dxa"/>
              <w:right w:w="108" w:type="dxa"/>
            </w:tcMar>
            <w:vAlign w:val="top"/>
          </w:tcPr>
          <w:p w14:paraId="0000005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CONCLUSIONS AND RECOMMENDATIONS  </w:t>
            </w:r>
          </w:p>
          <w:p w14:paraId="0000005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Conclusions  . . . . . . . . . . . . . . .</w:t>
            </w:r>
          </w:p>
          <w:p w14:paraId="0000005E">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Recommendations  . . . . . . . . . . . . .</w:t>
            </w:r>
          </w:p>
        </w:tc>
        <w:tc>
          <w:tcPr>
            <w:tcBorders>
              <w:top w:val="nil"/>
              <w:left w:val="nil"/>
              <w:bottom w:val="nil"/>
              <w:right w:val="nil"/>
            </w:tcBorders>
            <w:tcMar>
              <w:top w:w="0" w:type="dxa"/>
              <w:left w:w="108" w:type="dxa"/>
              <w:bottom w:w="0" w:type="dxa"/>
              <w:right w:w="108" w:type="dxa"/>
            </w:tcMar>
            <w:vAlign w:val="top"/>
          </w:tcPr>
          <w:p w14:paraId="0000005F">
            <w:pPr>
              <w:keepNext w:val="0"/>
              <w:keepLines w:val="0"/>
              <w:widowControl/>
              <w:spacing w:line="240" w:lineRule="auto"/>
              <w:jc w:val="left"/>
              <w:rPr>
                <w:vertAlign w:val="baseline"/>
              </w:rPr>
            </w:pPr>
          </w:p>
          <w:p w14:paraId="00000060">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2">
            <w:pPr>
              <w:keepNext w:val="0"/>
              <w:keepLines w:val="0"/>
              <w:widowControl/>
              <w:spacing w:line="240" w:lineRule="auto"/>
              <w:jc w:val="left"/>
              <w:rPr>
                <w:vertAlign w:val="baseline"/>
              </w:rPr>
            </w:pPr>
          </w:p>
        </w:tc>
      </w:tr>
    </w:tbl>
    <w:p w14:paraId="0000006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12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REFERENCES  </w:t>
      </w:r>
    </w:p>
    <w:p w14:paraId="0000006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12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APPENDICES </w:t>
      </w:r>
    </w:p>
    <w:tbl>
      <w:tblPr>
        <w:tblStyle w:val="19"/>
        <w:tblW w:w="8355"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257"/>
        <w:gridCol w:w="417"/>
        <w:gridCol w:w="7032"/>
        <w:gridCol w:w="649"/>
      </w:tblGrid>
      <w:tr w14:paraId="79D1B5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tcMar>
              <w:top w:w="0" w:type="dxa"/>
              <w:left w:w="108" w:type="dxa"/>
              <w:bottom w:w="0" w:type="dxa"/>
              <w:right w:w="108" w:type="dxa"/>
            </w:tcMar>
            <w:vAlign w:val="top"/>
          </w:tcPr>
          <w:p w14:paraId="00000065">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66">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A</w:t>
            </w:r>
          </w:p>
          <w:p w14:paraId="0000006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B</w:t>
            </w:r>
          </w:p>
          <w:p w14:paraId="0000006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D</w:t>
            </w:r>
          </w:p>
        </w:tc>
        <w:tc>
          <w:tcPr>
            <w:tcBorders>
              <w:top w:val="nil"/>
              <w:left w:val="nil"/>
              <w:bottom w:val="nil"/>
              <w:right w:val="nil"/>
            </w:tcBorders>
            <w:tcMar>
              <w:top w:w="0" w:type="dxa"/>
              <w:left w:w="108" w:type="dxa"/>
              <w:bottom w:w="0" w:type="dxa"/>
              <w:right w:w="108" w:type="dxa"/>
            </w:tcMar>
            <w:vAlign w:val="top"/>
          </w:tcPr>
          <w:p w14:paraId="00000069">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hanging="85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Request letter . . . . . . . . . . . . .</w:t>
            </w:r>
          </w:p>
          <w:p w14:paraId="0000006A">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hanging="85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Sample Questionnaire . . . . . . . . . .</w:t>
            </w:r>
          </w:p>
          <w:p w14:paraId="0000006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hanging="85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    </w:t>
            </w:r>
          </w:p>
          <w:p w14:paraId="0000006C">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hanging="851"/>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Source code . . .  . . . . . . . . . . . </w:t>
            </w:r>
          </w:p>
        </w:tc>
        <w:tc>
          <w:tcPr>
            <w:tcBorders>
              <w:top w:val="nil"/>
              <w:left w:val="nil"/>
              <w:bottom w:val="nil"/>
              <w:right w:val="nil"/>
            </w:tcBorders>
            <w:tcMar>
              <w:top w:w="0" w:type="dxa"/>
              <w:left w:w="108" w:type="dxa"/>
              <w:bottom w:w="0" w:type="dxa"/>
              <w:right w:w="108" w:type="dxa"/>
            </w:tcMar>
            <w:vAlign w:val="top"/>
          </w:tcPr>
          <w:p w14:paraId="0000006D">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E">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F">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r>
      <w:tr w14:paraId="08A7B6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tcMar>
              <w:top w:w="0" w:type="dxa"/>
              <w:left w:w="108" w:type="dxa"/>
              <w:bottom w:w="0" w:type="dxa"/>
              <w:right w:w="108" w:type="dxa"/>
            </w:tcMar>
            <w:vAlign w:val="top"/>
          </w:tcPr>
          <w:p w14:paraId="00000070">
            <w:pPr>
              <w:keepNext w:val="0"/>
              <w:keepLines w:val="0"/>
              <w:widowControl/>
              <w:spacing w:line="240" w:lineRule="auto"/>
              <w:jc w:val="left"/>
              <w:rPr>
                <w:vertAlign w:val="baseline"/>
              </w:rPr>
            </w:pPr>
          </w:p>
        </w:tc>
        <w:tc>
          <w:tcPr>
            <w:tcBorders>
              <w:top w:val="nil"/>
              <w:left w:val="nil"/>
              <w:bottom w:val="nil"/>
              <w:right w:val="nil"/>
            </w:tcBorders>
            <w:tcMar>
              <w:top w:w="0" w:type="dxa"/>
              <w:left w:w="108" w:type="dxa"/>
              <w:bottom w:w="0" w:type="dxa"/>
              <w:right w:w="108" w:type="dxa"/>
            </w:tcMar>
            <w:vAlign w:val="top"/>
          </w:tcPr>
          <w:p w14:paraId="00000071">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C</w:t>
            </w:r>
          </w:p>
        </w:tc>
        <w:tc>
          <w:tcPr>
            <w:tcBorders>
              <w:top w:val="nil"/>
              <w:left w:val="nil"/>
              <w:bottom w:val="nil"/>
              <w:right w:val="nil"/>
            </w:tcBorders>
            <w:tcMar>
              <w:top w:w="0" w:type="dxa"/>
              <w:left w:w="108" w:type="dxa"/>
              <w:bottom w:w="0" w:type="dxa"/>
              <w:right w:w="108" w:type="dxa"/>
            </w:tcMar>
            <w:vAlign w:val="top"/>
          </w:tcPr>
          <w:p w14:paraId="00000072">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102"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Seminars/Conference attended . . . . . .</w:t>
            </w:r>
          </w:p>
        </w:tc>
        <w:tc>
          <w:tcPr>
            <w:tcBorders>
              <w:top w:val="nil"/>
              <w:left w:val="nil"/>
              <w:bottom w:val="nil"/>
              <w:right w:val="nil"/>
            </w:tcBorders>
            <w:tcMar>
              <w:top w:w="0" w:type="dxa"/>
              <w:left w:w="108" w:type="dxa"/>
              <w:bottom w:w="0" w:type="dxa"/>
              <w:right w:w="108" w:type="dxa"/>
            </w:tcMar>
            <w:vAlign w:val="top"/>
          </w:tcPr>
          <w:p w14:paraId="00000073">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r>
      <w:tr w14:paraId="0384FA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gridSpan w:val="3"/>
            <w:tcBorders>
              <w:top w:val="nil"/>
              <w:left w:val="nil"/>
              <w:bottom w:val="nil"/>
              <w:right w:val="nil"/>
            </w:tcBorders>
            <w:tcMar>
              <w:top w:w="0" w:type="dxa"/>
              <w:left w:w="108" w:type="dxa"/>
              <w:bottom w:w="0" w:type="dxa"/>
              <w:right w:w="108" w:type="dxa"/>
            </w:tcMar>
            <w:vAlign w:val="top"/>
          </w:tcPr>
          <w:p w14:paraId="00000074">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CURRICULUM VITAE . . . . . . . . . . . . . . . . . .</w:t>
            </w:r>
          </w:p>
        </w:tc>
        <w:tc>
          <w:tcPr>
            <w:tcBorders>
              <w:top w:val="nil"/>
              <w:left w:val="nil"/>
              <w:bottom w:val="nil"/>
              <w:right w:val="nil"/>
            </w:tcBorders>
            <w:tcMar>
              <w:top w:w="0" w:type="dxa"/>
              <w:left w:w="108" w:type="dxa"/>
              <w:bottom w:w="0" w:type="dxa"/>
              <w:right w:w="108" w:type="dxa"/>
            </w:tcMar>
            <w:vAlign w:val="top"/>
          </w:tcPr>
          <w:p w14:paraId="00000077">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r>
      <w:tr w14:paraId="26158D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gridSpan w:val="3"/>
            <w:tcBorders>
              <w:top w:val="nil"/>
              <w:left w:val="nil"/>
              <w:bottom w:val="nil"/>
              <w:right w:val="nil"/>
            </w:tcBorders>
            <w:tcMar>
              <w:top w:w="0" w:type="dxa"/>
              <w:left w:w="108" w:type="dxa"/>
              <w:bottom w:w="0" w:type="dxa"/>
              <w:right w:w="108" w:type="dxa"/>
            </w:tcMar>
            <w:vAlign w:val="top"/>
          </w:tcPr>
          <w:p w14:paraId="00000078">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p>
        </w:tc>
        <w:tc>
          <w:tcPr>
            <w:tcBorders>
              <w:top w:val="nil"/>
              <w:left w:val="nil"/>
              <w:bottom w:val="nil"/>
              <w:right w:val="nil"/>
            </w:tcBorders>
            <w:tcMar>
              <w:top w:w="0" w:type="dxa"/>
              <w:left w:w="108" w:type="dxa"/>
              <w:bottom w:w="0" w:type="dxa"/>
              <w:right w:w="108" w:type="dxa"/>
            </w:tcMar>
            <w:vAlign w:val="top"/>
          </w:tcPr>
          <w:p w14:paraId="0000007B">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p>
        </w:tc>
      </w:tr>
    </w:tbl>
    <w:p w14:paraId="0000007C">
      <w:pPr>
        <w:spacing w:after="120" w:line="240" w:lineRule="auto"/>
        <w:jc w:val="left"/>
        <w:rPr>
          <w:rFonts w:ascii="Courier New" w:hAnsi="Courier New" w:eastAsia="Courier New" w:cs="Courier New"/>
          <w:sz w:val="24"/>
          <w:szCs w:val="24"/>
        </w:rPr>
      </w:pPr>
    </w:p>
    <w:p w14:paraId="0000007D">
      <w:pPr>
        <w:spacing w:after="120" w:line="480" w:lineRule="auto"/>
        <w:jc w:val="left"/>
        <w:rPr>
          <w:rFonts w:ascii="Courier New" w:hAnsi="Courier New" w:eastAsia="Courier New" w:cs="Courier New"/>
          <w:sz w:val="24"/>
          <w:szCs w:val="24"/>
        </w:rPr>
      </w:pPr>
    </w:p>
    <w:p w14:paraId="4A47D84F">
      <w:pPr>
        <w:spacing w:after="120" w:line="480" w:lineRule="auto"/>
        <w:jc w:val="center"/>
        <w:rPr>
          <w:rFonts w:ascii="Courier New" w:hAnsi="Courier New" w:eastAsia="Courier New" w:cs="Courier New"/>
          <w:sz w:val="24"/>
          <w:szCs w:val="24"/>
          <w:vertAlign w:val="baseline"/>
          <w:rtl w:val="0"/>
        </w:rPr>
      </w:pPr>
    </w:p>
    <w:p w14:paraId="023AC28A">
      <w:pPr>
        <w:spacing w:after="120" w:line="360" w:lineRule="auto"/>
        <w:jc w:val="center"/>
        <w:rPr>
          <w:rFonts w:hint="default" w:ascii="Courier New" w:hAnsi="Courier New" w:eastAsia="Courier New" w:cs="Courier New"/>
          <w:sz w:val="24"/>
          <w:szCs w:val="24"/>
          <w:vertAlign w:val="baseline"/>
          <w:rtl w:val="0"/>
          <w:lang w:val="en-US"/>
        </w:rPr>
      </w:pPr>
      <w:r>
        <w:rPr>
          <w:rFonts w:ascii="Courier New" w:hAnsi="Courier New" w:eastAsia="Courier New" w:cs="Courier New"/>
          <w:sz w:val="24"/>
          <w:szCs w:val="24"/>
          <w:vertAlign w:val="baseline"/>
          <w:rtl w:val="0"/>
        </w:rPr>
        <w:t xml:space="preserve">Chapter </w:t>
      </w:r>
      <w:r>
        <w:rPr>
          <w:rFonts w:hint="default" w:ascii="Courier New" w:hAnsi="Courier New" w:eastAsia="Courier New" w:cs="Courier New"/>
          <w:sz w:val="24"/>
          <w:szCs w:val="24"/>
          <w:vertAlign w:val="baseline"/>
          <w:rtl w:val="0"/>
          <w:lang w:val="en-US"/>
        </w:rPr>
        <w:t>1</w:t>
      </w:r>
    </w:p>
    <w:p w14:paraId="0000007F">
      <w:pPr>
        <w:spacing w:after="120" w:line="360" w:lineRule="auto"/>
        <w:jc w:val="center"/>
        <w:rPr>
          <w:rFonts w:ascii="Courier New" w:hAnsi="Courier New" w:eastAsia="Courier New" w:cs="Courier New"/>
          <w:b/>
          <w:sz w:val="24"/>
          <w:szCs w:val="24"/>
        </w:rPr>
      </w:pPr>
      <w:r>
        <w:rPr>
          <w:rFonts w:ascii="Courier New" w:hAnsi="Courier New" w:eastAsia="Courier New" w:cs="Courier New"/>
          <w:b/>
          <w:sz w:val="24"/>
          <w:szCs w:val="24"/>
          <w:vertAlign w:val="baseline"/>
          <w:rtl w:val="0"/>
        </w:rPr>
        <w:t>INTRODUCTION</w:t>
      </w:r>
    </w:p>
    <w:p w14:paraId="00000080">
      <w:pPr>
        <w:spacing w:after="120" w:line="480" w:lineRule="auto"/>
        <w:jc w:val="both"/>
        <w:rPr>
          <w:rFonts w:ascii="Courier New" w:hAnsi="Courier New" w:eastAsia="Courier New" w:cs="Courier New"/>
          <w:b/>
          <w:sz w:val="24"/>
          <w:szCs w:val="24"/>
          <w:vertAlign w:val="baseline"/>
        </w:rPr>
      </w:pPr>
      <w:r>
        <w:rPr>
          <w:rFonts w:ascii="Courier New" w:hAnsi="Courier New" w:eastAsia="Courier New" w:cs="Courier New"/>
          <w:b/>
          <w:sz w:val="24"/>
          <w:szCs w:val="24"/>
          <w:vertAlign w:val="baseline"/>
          <w:rtl w:val="0"/>
        </w:rPr>
        <w:t>Context of the study</w:t>
      </w:r>
    </w:p>
    <w:p w14:paraId="00000082">
      <w:pPr>
        <w:spacing w:after="120" w:line="480" w:lineRule="auto"/>
        <w:ind w:firstLine="600"/>
        <w:jc w:val="both"/>
        <w:rPr>
          <w:rFonts w:ascii="Courier New" w:hAnsi="Courier New" w:eastAsia="Courier New" w:cs="Courier New"/>
          <w:color w:val="1C1F23"/>
          <w:sz w:val="24"/>
          <w:szCs w:val="24"/>
          <w:vertAlign w:val="baseline"/>
        </w:rPr>
      </w:pPr>
      <w:r>
        <w:rPr>
          <w:rFonts w:ascii="Courier New" w:hAnsi="Courier New" w:eastAsia="Courier New" w:cs="Courier New"/>
          <w:color w:val="1C1F23"/>
          <w:sz w:val="24"/>
          <w:szCs w:val="24"/>
          <w:vertAlign w:val="baseline"/>
          <w:rtl w:val="0"/>
        </w:rPr>
        <w:t>Intellectual property (IP) represents a critical asset that must be effectively safeguarded to enable inventors and creators to legally and justly utilize their designs and innovations. Bently et al. (2022) state that intellectual property law encompasses various forms of creation, including inventions, literary and artistic works, as well as commercial symbols and designs. This law emphasizes that intellectual property should be protected and treasured to ensure that every inventor's designs and creations are used legally and fairly. It categorizes these creations into two primary types:    Industrial Property and Copyright. Industrial Property includes inventions protected by patents, trademarks that safeguard distinctive signs, industrial designs that protect the visual appearance of products, and geographical indications that highlight products from specific regions known for their unique qualities. On the other hand, Copyright covers literary works such as novels and poems, artistic creations like drawings and sculptures, and the rights of performing artists, producers of sound recordings, and broadcasters. Each category requires distinct processes for ownership and protection, ensuring that creators' rights and benefits are preserved. Those categorized creations can be owned through a series of processes facilitated by the law to safeguard the benefits associated with owning such creations.</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The rise of the metaverse</w:t>
      </w:r>
      <w:r>
        <w:rPr>
          <w:rFonts w:hint="default" w:ascii="Courier New" w:hAnsi="Courier New" w:eastAsia="Courier New" w:cs="Courier New"/>
          <w:color w:val="1C1F23"/>
          <w:sz w:val="24"/>
          <w:szCs w:val="24"/>
          <w:vertAlign w:val="baseline"/>
          <w:rtl w:val="0"/>
          <w:lang w:val="en-US"/>
        </w:rPr>
        <w:t xml:space="preserve"> </w:t>
      </w:r>
      <w:r>
        <w:rPr>
          <w:rFonts w:ascii="Courier New" w:hAnsi="Courier New" w:eastAsia="Courier New" w:cs="Courier New"/>
          <w:color w:val="1C1F23"/>
          <w:sz w:val="24"/>
          <w:szCs w:val="24"/>
          <w:vertAlign w:val="baseline"/>
          <w:rtl w:val="0"/>
        </w:rPr>
        <w:t>a virtual environment for interaction and commerce—presents intricate legal issues regarding IP management. Kalyvaki (2023) points out the challenges of implementing existing intellectual property, privacy, and jurisdictional laws in this digital setting. The differing legal frameworks and data collection methods within the metaverse demand a multifaceted strategy, highlighting the need for interdisciplinary collaboration to form a thorough legal framework.</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 xml:space="preserve">Xavdarov (2022) examines the vital function of the digital economy and the impact of IP protection on its development. Research indicates that stronger IP rights often correlate with increased innovation and economic growth; however, Neves et al. (2021) </w:t>
      </w:r>
      <w:r>
        <w:rPr>
          <w:rFonts w:ascii="Courier New" w:hAnsi="Courier New" w:eastAsia="Courier New" w:cs="Courier New"/>
          <w:color w:val="1C1F23"/>
          <w:sz w:val="24"/>
          <w:szCs w:val="24"/>
          <w:rtl w:val="0"/>
        </w:rPr>
        <w:t>discovered</w:t>
      </w:r>
      <w:r>
        <w:rPr>
          <w:rFonts w:ascii="Courier New" w:hAnsi="Courier New" w:eastAsia="Courier New" w:cs="Courier New"/>
          <w:color w:val="1C1F23"/>
          <w:sz w:val="24"/>
          <w:szCs w:val="24"/>
          <w:vertAlign w:val="baseline"/>
          <w:rtl w:val="0"/>
        </w:rPr>
        <w:t xml:space="preserve"> discrepancies in this correlation, particularly between developed and developing countries. Their statistical evaluation suggests that while effective IP protection promotes innovation, its effects differ based on the economic environment.</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rtl w:val="0"/>
        </w:rPr>
        <w:t xml:space="preserve">    </w:t>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ascii="Courier New" w:hAnsi="Courier New" w:eastAsia="Courier New" w:cs="Courier New"/>
          <w:color w:val="1C1F23"/>
          <w:sz w:val="24"/>
          <w:szCs w:val="24"/>
          <w:vertAlign w:val="baseline"/>
          <w:rtl w:val="0"/>
        </w:rPr>
        <w:t>Grinaldi et al. (2021) study how IP management affects a company's ability to pursue outbound open innovation. Their findings reveal three IP strategies: defensive, collaborative, and impromptu. Interestingly, firms using a defensive strategy tend to be more involved in outbound open innovation, while those with collaborative strategies report better innovation outcomes.</w:t>
      </w:r>
      <w:r>
        <w:rPr>
          <w:rFonts w:ascii="Courier New" w:hAnsi="Courier New" w:eastAsia="Courier New" w:cs="Courier New"/>
          <w:color w:val="1C1F23"/>
          <w:sz w:val="24"/>
          <w:szCs w:val="24"/>
          <w:vertAlign w:val="baseline"/>
          <w:rtl w:val="0"/>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ascii="Courier New" w:hAnsi="Courier New" w:eastAsia="Courier New" w:cs="Courier New"/>
          <w:color w:val="1C1F23"/>
          <w:sz w:val="24"/>
          <w:szCs w:val="24"/>
          <w:vertAlign w:val="baseline"/>
          <w:rtl w:val="0"/>
        </w:rPr>
        <w:t>As organizations experience digital transformation, the significance of workflow automation becomes increasingly clear. Ray (2023) highlights its role in improving efficiency and minimizing errors in administrative tasks. By automating routine processes, organizations can allocate human resources toward strategic initiatives, thereby boosting productivity and customer satisfaction.</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The management of intellectual property within research organizations is also progressing. Kolodyazhnaya et al. (2020) support the idea of using predictive models to navigate shifts in IP management caused by digital developments. Their research suggests a fuzzy logic approach to tackle uncertainties and provide insights into effective IP management techniques.</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In terms of quality management, Moisescu et al. (2024) propose a Quality Management System (QMS) designed specifically for intellectual property organizations, aiming to improve service quality and compliance with industry standards. Similarly, Novikov et al. (2024) advocate for innovative strategies in IP management within Russia, encouraging the use of automated systems to promote commercialization in educational settings.</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IBM's established leadership in patent applications highlights the strategic importance of intellectual property management. Sierotowicz (2020) analyzes IBM's experience and recommends a new IP management framework based on complexity theory to enhance economic outcomes from IP endeavors.</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The combination of project management techniques with intellectual property rights is essential for successful innovation. Yeten et al. (2024) emphasize the significance of IPR in resource management and project execution, confirming that optimal practices in both fields can strengthen competitive advantages.</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The increasing importance of creativity in society stresses the necessity for strong support systems for creators, as observed by Ploman et al. (2024). Asri et al. (2020) further demonstrate the significance of IP rights for small and medium enterprises (SMEs), especially in promoting economic growth through initiatives supported by the government.</w:t>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ascii="Courier New" w:hAnsi="Courier New" w:eastAsia="Courier New" w:cs="Courier New"/>
          <w:color w:val="1C1F23"/>
          <w:sz w:val="24"/>
          <w:szCs w:val="24"/>
          <w:vertAlign w:val="baseline"/>
          <w:rtl w:val="0"/>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ascii="Courier New" w:hAnsi="Courier New" w:eastAsia="Courier New" w:cs="Courier New"/>
          <w:color w:val="1C1F23"/>
          <w:sz w:val="24"/>
          <w:szCs w:val="24"/>
          <w:vertAlign w:val="baseline"/>
          <w:rtl w:val="0"/>
        </w:rPr>
        <w:t>Drafler (2024) discusses the interaction between IP law and antitrust law in fostering consumer welfare via innovation and competition. In the realm of decentralized finance, Bamakan et al. (2022) investigate the potential of non-fungible tokens (NFTs) in representing intellectual property assets, suggesting frameworks to improve market access for innovators.</w:t>
      </w:r>
      <w:r>
        <w:rPr>
          <w:rFonts w:hint="default" w:ascii="Courier New" w:hAnsi="Courier New" w:eastAsia="Courier New" w:cs="Courier New"/>
          <w:color w:val="1C1F23"/>
          <w:sz w:val="24"/>
          <w:szCs w:val="24"/>
          <w:vertAlign w:val="baseline"/>
          <w:rtl w:val="0"/>
          <w:lang w:val="en-US"/>
        </w:rPr>
        <w:t xml:space="preserve"> </w:t>
      </w:r>
      <w:r>
        <w:rPr>
          <w:rFonts w:ascii="Courier New" w:hAnsi="Courier New" w:eastAsia="Courier New" w:cs="Courier New"/>
          <w:color w:val="1C1F23"/>
          <w:sz w:val="24"/>
          <w:szCs w:val="24"/>
          <w:vertAlign w:val="baseline"/>
          <w:rtl w:val="0"/>
        </w:rPr>
        <w:t>Camarines Norte State College (CNSC) is dedicated to promoting innovation and research, resulting in an expanding collection of intellectual property assets. To fully leverage these assets, a thorough Intellectual Property Management System (IPMS) is crucial. The Intellectual Property Management Office (IPMO), created to manage CNSC's IP assets, seeks to improve its management abilities through initiatives such as the IGNITE program and partnerships with the Department of Science and Technology.</w:t>
      </w:r>
      <w:r>
        <w:rPr>
          <w:rFonts w:hint="default" w:ascii="Courier New" w:hAnsi="Courier New" w:eastAsia="Courier New" w:cs="Courier New"/>
          <w:color w:val="1C1F23"/>
          <w:sz w:val="24"/>
          <w:szCs w:val="24"/>
          <w:vertAlign w:val="baseline"/>
          <w:rtl w:val="0"/>
          <w:lang w:val="en-US"/>
        </w:rPr>
        <w:tab/>
      </w:r>
      <w:r>
        <w:rPr>
          <w:rFonts w:ascii="Courier New" w:hAnsi="Courier New" w:eastAsia="Courier New" w:cs="Courier New"/>
          <w:color w:val="1C1F23"/>
          <w:sz w:val="24"/>
          <w:szCs w:val="24"/>
          <w:vertAlign w:val="baseline"/>
          <w:rtl w:val="0"/>
        </w:rPr>
        <w:t>Although there are ongoing efforts, challenges still exist in effectively protecting and commercializing CNSC's innovations. This capstone project addresses these issues by creating a strong IPMS aimed at optimizing the management process of intellectual property</w:t>
      </w:r>
      <w:r>
        <w:rPr>
          <w:rFonts w:ascii="Courier New" w:hAnsi="Courier New" w:eastAsia="Courier New" w:cs="Courier New"/>
          <w:color w:val="1C1F23"/>
          <w:sz w:val="24"/>
          <w:szCs w:val="24"/>
          <w:rtl w:val="0"/>
        </w:rPr>
        <w:t xml:space="preserve">, </w:t>
      </w:r>
      <w:r>
        <w:rPr>
          <w:rFonts w:ascii="Courier New" w:hAnsi="Courier New" w:eastAsia="Courier New" w:cs="Courier New"/>
          <w:color w:val="1C1F23"/>
          <w:sz w:val="24"/>
          <w:szCs w:val="24"/>
          <w:vertAlign w:val="baseline"/>
          <w:rtl w:val="0"/>
        </w:rPr>
        <w:t>from inception to commercialization. Based on the research conducted by Deel (2023), this initiative aspires to bolster CNSC's capacity to safeguard its intellectual property, attract investments, and further its research goals.</w:t>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hint="default" w:ascii="Courier New" w:hAnsi="Courier New" w:eastAsia="Courier New" w:cs="Courier New"/>
          <w:color w:val="1C1F23"/>
          <w:sz w:val="24"/>
          <w:szCs w:val="24"/>
          <w:vertAlign w:val="baseline"/>
          <w:rtl w:val="0"/>
          <w:lang w:val="en-US"/>
        </w:rPr>
        <w:tab/>
      </w:r>
      <w:r>
        <w:rPr>
          <w:rFonts w:ascii="Courier New" w:hAnsi="Courier New" w:eastAsia="Courier New" w:cs="Courier New"/>
          <w:color w:val="1C1F23"/>
          <w:sz w:val="24"/>
          <w:szCs w:val="24"/>
          <w:vertAlign w:val="baseline"/>
          <w:rtl w:val="0"/>
        </w:rPr>
        <w:t>The subsequent chapters will outline the design, development, implementation, and assessment of the recommended IPMS, supporting CNSC's mission of achieving excellence in research and making a significant societal impact.</w:t>
      </w:r>
    </w:p>
    <w:p w14:paraId="00000083">
      <w:pPr>
        <w:spacing w:after="120" w:line="480" w:lineRule="auto"/>
        <w:jc w:val="both"/>
        <w:rPr>
          <w:rFonts w:ascii="Courier New" w:hAnsi="Courier New" w:eastAsia="Courier New" w:cs="Courier New"/>
          <w:sz w:val="24"/>
          <w:szCs w:val="24"/>
          <w:vertAlign w:val="baseline"/>
        </w:rPr>
      </w:pPr>
      <w:r>
        <w:rPr>
          <w:rFonts w:ascii="Courier New" w:hAnsi="Courier New" w:eastAsia="Courier New" w:cs="Courier New"/>
          <w:b/>
          <w:sz w:val="24"/>
          <w:szCs w:val="24"/>
          <w:vertAlign w:val="baseline"/>
          <w:rtl w:val="0"/>
        </w:rPr>
        <w:t>Research Objective</w:t>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sz w:val="24"/>
          <w:szCs w:val="24"/>
          <w:vertAlign w:val="baseline"/>
          <w:rtl w:val="0"/>
        </w:rPr>
        <w:t>The main objective of this research is to develop a web-based Intellectual Property Management System Specifically, this study aimed to:</w:t>
      </w:r>
    </w:p>
    <w:p w14:paraId="00000084">
      <w:pPr>
        <w:numPr>
          <w:ilvl w:val="0"/>
          <w:numId w:val="1"/>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Determine the current system </w:t>
      </w:r>
      <w:r>
        <w:rPr>
          <w:rFonts w:ascii="Courier New" w:hAnsi="Courier New" w:eastAsia="Courier New" w:cs="Courier New"/>
          <w:sz w:val="24"/>
          <w:szCs w:val="24"/>
          <w:rtl w:val="0"/>
        </w:rPr>
        <w:t>at the Intellectual Property Management Office</w:t>
      </w:r>
      <w:r>
        <w:rPr>
          <w:rFonts w:ascii="Courier New" w:hAnsi="Courier New" w:eastAsia="Courier New" w:cs="Courier New"/>
          <w:sz w:val="24"/>
          <w:szCs w:val="24"/>
          <w:vertAlign w:val="baseline"/>
          <w:rtl w:val="0"/>
        </w:rPr>
        <w:t xml:space="preserve">. </w:t>
      </w:r>
    </w:p>
    <w:p w14:paraId="00000085">
      <w:pPr>
        <w:numPr>
          <w:ilvl w:val="0"/>
          <w:numId w:val="1"/>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Determine the key features and innovations of I</w:t>
      </w:r>
      <w:r>
        <w:rPr>
          <w:rFonts w:ascii="Courier New" w:hAnsi="Courier New" w:eastAsia="Courier New" w:cs="Courier New"/>
          <w:sz w:val="24"/>
          <w:szCs w:val="24"/>
          <w:rtl w:val="0"/>
        </w:rPr>
        <w:t>ntellectual Property Management System</w:t>
      </w:r>
      <w:r>
        <w:rPr>
          <w:rFonts w:ascii="Courier New" w:hAnsi="Courier New" w:eastAsia="Courier New" w:cs="Courier New"/>
          <w:sz w:val="24"/>
          <w:szCs w:val="24"/>
          <w:vertAlign w:val="baseline"/>
          <w:rtl w:val="0"/>
        </w:rPr>
        <w:t>; and</w:t>
      </w:r>
    </w:p>
    <w:p w14:paraId="00000086">
      <w:pPr>
        <w:numPr>
          <w:ilvl w:val="0"/>
          <w:numId w:val="1"/>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determine the level of effectiveness of “I</w:t>
      </w:r>
      <w:r>
        <w:rPr>
          <w:rFonts w:ascii="Courier New" w:hAnsi="Courier New" w:eastAsia="Courier New" w:cs="Courier New"/>
          <w:sz w:val="24"/>
          <w:szCs w:val="24"/>
          <w:rtl w:val="0"/>
        </w:rPr>
        <w:t>ntellectual Property Management System</w:t>
      </w:r>
      <w:r>
        <w:rPr>
          <w:rFonts w:ascii="Courier New" w:hAnsi="Courier New" w:eastAsia="Courier New" w:cs="Courier New"/>
          <w:sz w:val="24"/>
          <w:szCs w:val="24"/>
          <w:vertAlign w:val="baseline"/>
          <w:rtl w:val="0"/>
        </w:rPr>
        <w:t>” using the ISO/IEC 25010 questionnaires in terms of:</w:t>
      </w:r>
    </w:p>
    <w:p w14:paraId="00000087">
      <w:pPr>
        <w:numPr>
          <w:ilvl w:val="1"/>
          <w:numId w:val="1"/>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Functional Suitability;</w:t>
      </w:r>
    </w:p>
    <w:p w14:paraId="00000088">
      <w:pPr>
        <w:numPr>
          <w:ilvl w:val="1"/>
          <w:numId w:val="1"/>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Performance Efficiency;</w:t>
      </w:r>
    </w:p>
    <w:p w14:paraId="00000089">
      <w:pPr>
        <w:numPr>
          <w:ilvl w:val="1"/>
          <w:numId w:val="1"/>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Compatibility;</w:t>
      </w:r>
    </w:p>
    <w:p w14:paraId="0000008A">
      <w:pPr>
        <w:numPr>
          <w:ilvl w:val="1"/>
          <w:numId w:val="1"/>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Usability;</w:t>
      </w:r>
    </w:p>
    <w:p w14:paraId="0000008B">
      <w:pPr>
        <w:numPr>
          <w:ilvl w:val="1"/>
          <w:numId w:val="1"/>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Reliability;</w:t>
      </w:r>
    </w:p>
    <w:p w14:paraId="0000008C">
      <w:pPr>
        <w:numPr>
          <w:ilvl w:val="1"/>
          <w:numId w:val="1"/>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Security;</w:t>
      </w:r>
    </w:p>
    <w:p w14:paraId="0000008D">
      <w:pPr>
        <w:numPr>
          <w:ilvl w:val="1"/>
          <w:numId w:val="1"/>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Maintainability;</w:t>
      </w:r>
    </w:p>
    <w:p w14:paraId="0000008E">
      <w:pPr>
        <w:numPr>
          <w:ilvl w:val="1"/>
          <w:numId w:val="1"/>
        </w:numPr>
        <w:spacing w:after="120" w:line="480" w:lineRule="auto"/>
        <w:ind w:left="1440" w:hanging="360"/>
        <w:jc w:val="both"/>
        <w:rPr>
          <w:rFonts w:ascii="Courier New" w:hAnsi="Courier New" w:eastAsia="Courier New" w:cs="Courier New"/>
          <w:b/>
          <w:sz w:val="24"/>
          <w:szCs w:val="24"/>
          <w:vertAlign w:val="baseline"/>
        </w:rPr>
      </w:pPr>
      <w:r>
        <w:rPr>
          <w:rFonts w:ascii="Courier New" w:hAnsi="Courier New" w:eastAsia="Courier New" w:cs="Courier New"/>
          <w:sz w:val="24"/>
          <w:szCs w:val="24"/>
          <w:vertAlign w:val="baseline"/>
          <w:rtl w:val="0"/>
        </w:rPr>
        <w:t>Portability;</w:t>
      </w:r>
    </w:p>
    <w:p w14:paraId="0000008F">
      <w:pPr>
        <w:spacing w:after="120" w:line="480" w:lineRule="auto"/>
        <w:jc w:val="both"/>
        <w:rPr>
          <w:rFonts w:ascii="Courier New" w:hAnsi="Courier New" w:eastAsia="Courier New" w:cs="Courier New"/>
          <w:sz w:val="24"/>
          <w:szCs w:val="24"/>
          <w:vertAlign w:val="baseline"/>
        </w:rPr>
      </w:pPr>
      <w:r>
        <w:rPr>
          <w:rFonts w:ascii="Courier New" w:hAnsi="Courier New" w:eastAsia="Courier New" w:cs="Courier New"/>
          <w:b/>
          <w:sz w:val="24"/>
          <w:szCs w:val="24"/>
          <w:vertAlign w:val="baseline"/>
          <w:rtl w:val="0"/>
        </w:rPr>
        <w:t xml:space="preserve">Research Questions </w:t>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sz w:val="24"/>
          <w:szCs w:val="24"/>
          <w:vertAlign w:val="baseline"/>
          <w:rtl w:val="0"/>
        </w:rPr>
        <w:t>This study aims to develop a Web-based Intellectual Property Management System, Specifically, this study seeks to answer the following questions:</w:t>
      </w:r>
    </w:p>
    <w:p w14:paraId="00000090">
      <w:pPr>
        <w:numPr>
          <w:ilvl w:val="0"/>
          <w:numId w:val="2"/>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What is the current system in the I</w:t>
      </w:r>
      <w:r>
        <w:rPr>
          <w:rFonts w:ascii="Courier New" w:hAnsi="Courier New" w:eastAsia="Courier New" w:cs="Courier New"/>
          <w:sz w:val="24"/>
          <w:szCs w:val="24"/>
          <w:rtl w:val="0"/>
        </w:rPr>
        <w:t>ntellectual Property Management</w:t>
      </w:r>
      <w:r>
        <w:rPr>
          <w:rFonts w:ascii="Courier New" w:hAnsi="Courier New" w:eastAsia="Courier New" w:cs="Courier New"/>
          <w:sz w:val="24"/>
          <w:szCs w:val="24"/>
          <w:vertAlign w:val="baseline"/>
          <w:rtl w:val="0"/>
        </w:rPr>
        <w:t xml:space="preserve"> office? </w:t>
      </w:r>
    </w:p>
    <w:p w14:paraId="00000091">
      <w:pPr>
        <w:numPr>
          <w:ilvl w:val="0"/>
          <w:numId w:val="2"/>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What are the core functionalities and technological </w:t>
      </w:r>
      <w:r>
        <w:rPr>
          <w:rFonts w:ascii="Courier New" w:hAnsi="Courier New" w:eastAsia="Courier New" w:cs="Courier New"/>
          <w:sz w:val="24"/>
          <w:szCs w:val="24"/>
          <w:rtl w:val="0"/>
        </w:rPr>
        <w:t>innovations that are</w:t>
      </w:r>
      <w:r>
        <w:rPr>
          <w:rFonts w:ascii="Courier New" w:hAnsi="Courier New" w:eastAsia="Courier New" w:cs="Courier New"/>
          <w:sz w:val="24"/>
          <w:szCs w:val="24"/>
          <w:vertAlign w:val="baseline"/>
          <w:rtl w:val="0"/>
        </w:rPr>
        <w:t xml:space="preserve"> integrated </w:t>
      </w:r>
      <w:r>
        <w:rPr>
          <w:rFonts w:ascii="Courier New" w:hAnsi="Courier New" w:eastAsia="Courier New" w:cs="Courier New"/>
          <w:sz w:val="24"/>
          <w:szCs w:val="24"/>
          <w:rtl w:val="0"/>
        </w:rPr>
        <w:t>into the Intellectual Property Management System</w:t>
      </w:r>
      <w:r>
        <w:rPr>
          <w:rFonts w:ascii="Courier New" w:hAnsi="Courier New" w:eastAsia="Courier New" w:cs="Courier New"/>
          <w:sz w:val="24"/>
          <w:szCs w:val="24"/>
          <w:vertAlign w:val="baseline"/>
          <w:rtl w:val="0"/>
        </w:rPr>
        <w:t xml:space="preserve"> to enhance efficiency and effectiveness? and</w:t>
      </w:r>
    </w:p>
    <w:p w14:paraId="00000092">
      <w:pPr>
        <w:numPr>
          <w:ilvl w:val="0"/>
          <w:numId w:val="2"/>
        </w:numPr>
        <w:spacing w:after="0" w:line="480" w:lineRule="auto"/>
        <w:ind w:left="720" w:hanging="360"/>
        <w:jc w:val="both"/>
        <w:rPr>
          <w:rFonts w:ascii="Courier New" w:hAnsi="Courier New" w:eastAsia="Courier New" w:cs="Courier New"/>
          <w:sz w:val="24"/>
          <w:szCs w:val="24"/>
          <w:u w:val="none"/>
        </w:rPr>
      </w:pPr>
      <w:r>
        <w:rPr>
          <w:rFonts w:ascii="Courier New" w:hAnsi="Courier New" w:eastAsia="Courier New" w:cs="Courier New"/>
          <w:sz w:val="24"/>
          <w:szCs w:val="24"/>
          <w:vertAlign w:val="baseline"/>
          <w:rtl w:val="0"/>
        </w:rPr>
        <w:t xml:space="preserve">Determine the level of effectiveness using the ISO/IEC 25010 Tool in </w:t>
      </w:r>
      <w:r>
        <w:rPr>
          <w:rFonts w:ascii="Courier New" w:hAnsi="Courier New" w:eastAsia="Courier New" w:cs="Courier New"/>
          <w:sz w:val="24"/>
          <w:szCs w:val="24"/>
          <w:rtl w:val="0"/>
        </w:rPr>
        <w:t xml:space="preserve">the </w:t>
      </w:r>
      <w:r>
        <w:rPr>
          <w:rFonts w:ascii="Courier New" w:hAnsi="Courier New" w:eastAsia="Courier New" w:cs="Courier New"/>
          <w:sz w:val="24"/>
          <w:szCs w:val="24"/>
          <w:vertAlign w:val="baseline"/>
          <w:rtl w:val="0"/>
        </w:rPr>
        <w:t xml:space="preserve">Intellectual Property Management System in terms of: </w:t>
      </w:r>
    </w:p>
    <w:p w14:paraId="00000093">
      <w:pPr>
        <w:numPr>
          <w:ilvl w:val="1"/>
          <w:numId w:val="2"/>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Functional Suitability;</w:t>
      </w:r>
    </w:p>
    <w:p w14:paraId="00000094">
      <w:pPr>
        <w:numPr>
          <w:ilvl w:val="1"/>
          <w:numId w:val="2"/>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Performance Efficiency;</w:t>
      </w:r>
    </w:p>
    <w:p w14:paraId="00000095">
      <w:pPr>
        <w:numPr>
          <w:ilvl w:val="1"/>
          <w:numId w:val="2"/>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Compatibility;</w:t>
      </w:r>
    </w:p>
    <w:p w14:paraId="00000096">
      <w:pPr>
        <w:numPr>
          <w:ilvl w:val="1"/>
          <w:numId w:val="2"/>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Usability;</w:t>
      </w:r>
    </w:p>
    <w:p w14:paraId="00000097">
      <w:pPr>
        <w:numPr>
          <w:ilvl w:val="1"/>
          <w:numId w:val="2"/>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Reliability;</w:t>
      </w:r>
    </w:p>
    <w:p w14:paraId="00000098">
      <w:pPr>
        <w:numPr>
          <w:ilvl w:val="1"/>
          <w:numId w:val="2"/>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Security;</w:t>
      </w:r>
    </w:p>
    <w:p w14:paraId="00000099">
      <w:pPr>
        <w:numPr>
          <w:ilvl w:val="1"/>
          <w:numId w:val="2"/>
        </w:numPr>
        <w:spacing w:after="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Maintainability;</w:t>
      </w:r>
    </w:p>
    <w:p w14:paraId="0000009A">
      <w:pPr>
        <w:numPr>
          <w:ilvl w:val="1"/>
          <w:numId w:val="2"/>
        </w:numPr>
        <w:spacing w:after="120" w:line="480" w:lineRule="auto"/>
        <w:ind w:left="144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Portability;</w:t>
      </w:r>
    </w:p>
    <w:p w14:paraId="0000009C">
      <w:pPr>
        <w:pStyle w:val="11"/>
        <w:keepNext w:val="0"/>
        <w:keepLines w:val="0"/>
        <w:widowControl/>
        <w:suppressLineNumbers w:val="0"/>
        <w:spacing w:line="480" w:lineRule="auto"/>
        <w:jc w:val="both"/>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sz w:val="24"/>
          <w:szCs w:val="24"/>
          <w:vertAlign w:val="baseline"/>
          <w:rtl w:val="0"/>
        </w:rPr>
        <w:t>Scope &amp; Limitation</w:t>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This initiative aims to create and implement a secure, web-based Intellectual Property Management System (IPMS) for the Intellectual Property Management Office at Camarines Norte State College (CNSC). </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The scope of the Intellectual Property Management System (IPMS) includes facilitating the submission of new inventions and applications, which streamlines the process for inventors and the Intellectual Property Management Office (IPMO). It provides a centralized database for storing all intellectual property information, ensuring easy access and organization. The system features a case management module that tracks submissions, manages their statuses, and generates necessary documentation. Additionally, it enhances communication between inventors, IPMO staff</w:t>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 xml:space="preserve"> </w:t>
      </w:r>
      <w:r>
        <w:rPr>
          <w:rFonts w:ascii="Courier New" w:hAnsi="Courier New" w:eastAsia="Courier New" w:cs="Courier New"/>
          <w:b w:val="0"/>
          <w:i w:val="0"/>
          <w:smallCaps w:val="0"/>
          <w:strike w:val="0"/>
          <w:color w:val="000000"/>
          <w:sz w:val="24"/>
          <w:szCs w:val="24"/>
          <w:u w:val="none"/>
          <w:shd w:val="clear" w:fill="auto"/>
          <w:vertAlign w:val="baseline"/>
          <w:rtl w:val="0"/>
        </w:rPr>
        <w:t>through integrated messaging and notification features, while offering basic reporting capabilities for generating essential reports related to submissions and approvals</w:t>
      </w:r>
      <w:r>
        <w:rPr>
          <w:rFonts w:ascii="Courier New" w:hAnsi="Courier New" w:eastAsia="Courier New" w:cs="Courier New"/>
          <w:sz w:val="24"/>
          <w:szCs w:val="24"/>
          <w:rtl w:val="0"/>
        </w:rPr>
        <w:t>.</w:t>
      </w:r>
      <w:r>
        <w:rPr>
          <w:rFonts w:hint="default" w:ascii="Courier New" w:hAnsi="Courier New" w:eastAsia="Courier New" w:cs="Courier New"/>
          <w:sz w:val="24"/>
          <w:szCs w:val="24"/>
          <w:rtl w:val="0"/>
          <w:lang w:val="en-US"/>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However, the IPMS also has several limitations. Currently, it focuses exclusively on new inventions, which restricts its application to renewal processes or the management of existing intellectual property. The system lacks features for renewing intellectual property or online registration, narrowing its functional scope. Furthermore, the reliance on manual review by IPMO personnel for submissions can slow down the approval process compared to more automated systems. Reporting capabilities are limited to basic functions and do not include advance </w:t>
      </w:r>
      <w:r>
        <w:rPr>
          <w:rFonts w:ascii="Courier New" w:hAnsi="Courier New" w:eastAsia="Courier New" w:cs="Courier New"/>
          <w:b w:val="0"/>
          <w:i w:val="0"/>
          <w:smallCaps w:val="0"/>
          <w:strike w:val="0"/>
          <w:color w:val="000000"/>
          <w:sz w:val="24"/>
          <w:szCs w:val="24"/>
          <w:u w:val="none"/>
          <w:shd w:val="clear" w:fill="auto"/>
          <w:vertAlign w:val="baseline"/>
          <w:rtl w:val="0"/>
          <w:lang w:val="en-US"/>
        </w:rPr>
        <w:t>analytic</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or custom report generation. While designed to be mobile-friendly, the IPMS does not currently have a dedicated mobile application, hindering access for users who prefer mobile engagement. Additionally, it supports only a restricted range of file formats, requiring users to convert files before uploading, which can be inconvenient. Lastly, the current user role structure is basic, with plans for more complex access controls in future updates. These factors highlight both the capabilities and areas for improvement within the IPMS.</w:t>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 xml:space="preserve">  </w:t>
      </w:r>
      <w:r>
        <w:rPr>
          <w:rFonts w:ascii="Courier New" w:hAnsi="Courier New" w:eastAsia="Courier New" w:cs="Courier New"/>
          <w:b/>
          <w:i w:val="0"/>
          <w:smallCaps w:val="0"/>
          <w:strike w:val="0"/>
          <w:color w:val="000000"/>
          <w:sz w:val="24"/>
          <w:szCs w:val="24"/>
          <w:u w:val="none"/>
          <w:shd w:val="clear" w:fill="auto"/>
          <w:vertAlign w:val="baseline"/>
          <w:rtl w:val="0"/>
        </w:rPr>
        <w:t>Significance of the Study</w:t>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The development and implementation of this Intellectual Property Management System (IPMS) is crucial because it simplifies the process of managing intellectual property, encourages innovation, and guarantees the preservation and commercialization of valuable concepts. Five major stakeholder groups are affected by the system:</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System Administrators: The administrative team will be equipped with robust tools that enable them to efficiently manage the Intellectual Property Management System (IPMS). These features will not only ensure the system's security and effectiveness but also guarantee compliance with all relevant regulations and standards. Key </w:t>
      </w:r>
      <w:r>
        <w:rPr>
          <w:rFonts w:ascii="Courier New" w:hAnsi="Courier New" w:eastAsia="Courier New" w:cs="Courier New"/>
          <w:b w:val="0"/>
          <w:i w:val="0"/>
          <w:smallCaps w:val="0"/>
          <w:strike w:val="0"/>
          <w:color w:val="000000"/>
          <w:sz w:val="24"/>
          <w:szCs w:val="24"/>
          <w:u w:val="none"/>
          <w:shd w:val="clear" w:fill="auto"/>
          <w:vertAlign w:val="baseline"/>
          <w:rtl w:val="0"/>
          <w:lang w:val="en-US"/>
        </w:rPr>
        <w:t>functionality</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include comprehensive data reporting capabilities, versatile system configuration options, and user administration privileges that incorporate role-based access control. By implementing these strong administrative features, the Ca</w:t>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 xml:space="preserve">marines Norte State College </w:t>
      </w:r>
      <w:r>
        <w:rPr>
          <w:rFonts w:ascii="Courier New" w:hAnsi="Courier New" w:eastAsia="Courier New" w:cs="Courier New"/>
          <w:b w:val="0"/>
          <w:i w:val="0"/>
          <w:smallCaps w:val="0"/>
          <w:strike w:val="0"/>
          <w:color w:val="000000"/>
          <w:sz w:val="24"/>
          <w:szCs w:val="24"/>
          <w:u w:val="none"/>
          <w:shd w:val="clear" w:fill="auto"/>
          <w:vertAlign w:val="baseline"/>
          <w:rtl w:val="0"/>
        </w:rPr>
        <w:t>(CNSC) will enhance accountability and transparency. This will allow the CNSC to maintain a safe, secure, and reliable intellectual property management framework that meets both organizational and regulatory expectations.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hint="default" w:ascii="Courier New" w:hAnsi="Courier New" w:cs="Courier New"/>
        </w:rPr>
        <w:t xml:space="preserve">Consultants play a crucial role in reviewing and validating invention submissions from CNSC inventors, ensuring that each idea is thoroughly assessed for its potential. The new case management module significantly enhances efficiency by providing real-time status updates on applications, allowing both consultants and inventors to stay informed throughout the evaluation process. This streamlined approach not only accelerates the commercialization of innovative ideas but also guarantees timely assessments of intellectual property, improving time management and automating document generation for smoother </w:t>
      </w:r>
      <w:r>
        <w:rPr>
          <w:rFonts w:hint="default" w:ascii="Courier New" w:hAnsi="Courier New" w:cs="Courier New"/>
          <w:lang w:val="en-US"/>
        </w:rPr>
        <w:t>work flows</w:t>
      </w:r>
      <w:r>
        <w:rPr>
          <w:rFonts w:hint="default" w:ascii="Courier New" w:hAnsi="Courier New" w:cs="Courier New"/>
        </w:rPr>
        <w:t>.</w:t>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lang w:val="en-US"/>
        </w:rPr>
        <w:tab/>
      </w:r>
      <w:r>
        <w:rPr>
          <w:rFonts w:hint="default" w:ascii="Courier New" w:hAnsi="Courier New" w:cs="Courier New"/>
        </w:rPr>
        <w:t>Inventors will benefit from an intuitive interface that encourages active participation in the IP process. With easy access to information about IP rights and procedures, they can monitor their progress, submit invention disclosures, and communicate directly with office staff. This increased engagement is expected to lead to a stronger IP portfolio for CNSC, motivating innovators to pursue intellectual property protection and fostering a culture of innovation within the organizat</w:t>
      </w:r>
      <w:r>
        <w:rPr>
          <w:rFonts w:hint="default" w:ascii="Courier New" w:hAnsi="Courier New" w:cs="Courier New"/>
          <w:lang w:val="en-US"/>
        </w:rPr>
        <w:t>ion.</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p>
    <w:p w14:paraId="0000009D">
      <w:pPr>
        <w:widowControl w:val="0"/>
        <w:spacing w:line="36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 xml:space="preserve">Chapter 2 </w:t>
      </w:r>
    </w:p>
    <w:p w14:paraId="0000009F">
      <w:pPr>
        <w:widowControl w:val="0"/>
        <w:spacing w:line="360" w:lineRule="auto"/>
        <w:jc w:val="center"/>
        <w:rPr>
          <w:rFonts w:ascii="Courier New" w:hAnsi="Courier New" w:eastAsia="Courier New" w:cs="Courier New"/>
          <w:b/>
          <w:sz w:val="24"/>
          <w:szCs w:val="24"/>
        </w:rPr>
      </w:pPr>
      <w:r>
        <w:rPr>
          <w:rFonts w:ascii="Courier New" w:hAnsi="Courier New" w:eastAsia="Courier New" w:cs="Courier New"/>
          <w:b/>
          <w:sz w:val="24"/>
          <w:szCs w:val="24"/>
          <w:vertAlign w:val="baseline"/>
          <w:rtl w:val="0"/>
        </w:rPr>
        <w:t xml:space="preserve">REVIEW OF RELATED LITERATURE </w:t>
      </w:r>
    </w:p>
    <w:p w14:paraId="000000A0">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This literature review explores three main objectives essential for developing a robust Intellectual Property Management System (IPMS) for Camarines Norte State College (CNSC). The objectives include assessing the current system at the Intellectual Property Management Office (IPMO), analyzing key features and innovations in existing IPMSs, and evaluating effectiveness using the ISO/IEC 25010 framework. Evaluation criteria will focus on functional suitability, performance efficiency, compatibility, usability, reliability, security, maintainability, and portability. Insights from this review will be crucial in creating a reliable and user-friendly system that enhances innovation and maximizes the value of CNSC's intellectual property.</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The management of intellectual property (IP) has become increasingly vital for organizations that aim to innovate and maintain a competitive advantage in today’s dynamic environment. This is particularly relevant for the IPMO, which oversees the creation, registration, and enforcement of IP rights. Currently, the IPMO employs a traditional paper-based system for its operations, emphasizing compliance through various documentation forms. While this system offers some benefits, such as legal recognition and staff familiarity, it also presents significant challenges that impede efficiency and overall effectiveness.</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 major drawback of the paper-based system is the cumbersome nature of physical document storage, which can be both space-consuming and inefficient. The manual handling of documents often results in delays when accessing critical information, as staff may need to conduct time-consuming searches through filing cabinets. Although the office utilizes some basic digital tools, such as email and file management systems, these tools are limited in functionality and do not provide the comprehensive capabilities needed for effective IP management. Therefore, it is essential to evaluate the current system's effectiveness and its limitations compared to a more modern web-based alternative.</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 xml:space="preserve">Research by Smith et al. (2021) indicates that a web-based system can provide instant access to documents from any location, significantly improving efficiency and fostering collaboration among staff. Furthermore, while basic digital tools may aid communication, collaboration on paper documents remains cumbersome, often requiring physical meetings and the distribution of multiple copies for review, which can lead to miscommunication and delays. Jones (2022) argues that a web-based system would facilitate real-time collaboration, enabling multiple users to access and edit documents simultaneously, thereby streamlining </w:t>
      </w:r>
      <w:r>
        <w:rPr>
          <w:rFonts w:ascii="Courier New" w:hAnsi="Courier New" w:eastAsia="Courier New" w:cs="Courier New"/>
          <w:color w:val="1C1F23"/>
          <w:sz w:val="24"/>
          <w:szCs w:val="24"/>
          <w:rtl w:val="0"/>
          <w:lang w:val="en-US"/>
        </w:rPr>
        <w:t>work flows</w:t>
      </w:r>
      <w:r>
        <w:rPr>
          <w:rFonts w:ascii="Courier New" w:hAnsi="Courier New" w:eastAsia="Courier New" w:cs="Courier New"/>
          <w:color w:val="1C1F23"/>
          <w:sz w:val="24"/>
          <w:szCs w:val="24"/>
          <w:rtl w:val="0"/>
        </w:rPr>
        <w:t xml:space="preserve"> and decision-making processes.</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Although the current paper-based system may appear cost-effective initially, ongoing expenses related to paper supplies, printing, and physical storage can accumulate over time, ultimately making it less economical. Brown (2023) notes that a web-based system can help reduce these costs by minimizing the need for physical materials, thus enabling more efficient resource management. Additionally, while paper documents are often viewed as secure and reliable, they are vulnerable to damage, loss, or unauthorized access. Green and White (2024) assert that a web-based system enhances security through digital backups and access controls, ensuring sensitive information is well-protected and easily retrievable.</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Examining the key features and innovations of an Integrated Project Management System (IPMS) reveals a comprehensive approach to enhancing organizational efficiency. Centralized databases are crucial in IPMS, facilitating data management and integrity. Kunjir and Suryawanshi (2021) emphasize the effectiveness of centralized database management systems in academic institutions, highlighting their ability to reduce redundancy and improve data accuracy. Saha and Saha (2022) further stress the importance of ensuring data integrity for informed decision-making within the IPMS framework.</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lang w:val="en-US"/>
        </w:rPr>
        <w:t>Work flow</w:t>
      </w:r>
      <w:r>
        <w:rPr>
          <w:rFonts w:ascii="Courier New" w:hAnsi="Courier New" w:eastAsia="Courier New" w:cs="Courier New"/>
          <w:color w:val="1C1F23"/>
          <w:sz w:val="24"/>
          <w:szCs w:val="24"/>
          <w:rtl w:val="0"/>
        </w:rPr>
        <w:t xml:space="preserve"> management is another critical component that significantly impacts organizational performance. Zhang and Zhao (2023) provide evidence that effective </w:t>
      </w:r>
      <w:r>
        <w:rPr>
          <w:rFonts w:ascii="Courier New" w:hAnsi="Courier New" w:eastAsia="Courier New" w:cs="Courier New"/>
          <w:color w:val="1C1F23"/>
          <w:sz w:val="24"/>
          <w:szCs w:val="24"/>
          <w:rtl w:val="0"/>
          <w:lang w:val="en-US"/>
        </w:rPr>
        <w:t>work flow</w:t>
      </w:r>
      <w:r>
        <w:rPr>
          <w:rFonts w:ascii="Courier New" w:hAnsi="Courier New" w:eastAsia="Courier New" w:cs="Courier New"/>
          <w:color w:val="1C1F23"/>
          <w:sz w:val="24"/>
          <w:szCs w:val="24"/>
          <w:rtl w:val="0"/>
        </w:rPr>
        <w:t xml:space="preserve"> management can optimize processes, improve resource allocation, and enhance overall productivity. Additionally, Lee and Kim (2021) explore how </w:t>
      </w:r>
      <w:r>
        <w:rPr>
          <w:rFonts w:ascii="Courier New" w:hAnsi="Courier New" w:eastAsia="Courier New" w:cs="Courier New"/>
          <w:color w:val="1C1F23"/>
          <w:sz w:val="24"/>
          <w:szCs w:val="24"/>
          <w:rtl w:val="0"/>
          <w:lang w:val="en-US"/>
        </w:rPr>
        <w:t>work flow</w:t>
      </w:r>
      <w:r>
        <w:rPr>
          <w:rFonts w:ascii="Courier New" w:hAnsi="Courier New" w:eastAsia="Courier New" w:cs="Courier New"/>
          <w:color w:val="1C1F23"/>
          <w:sz w:val="24"/>
          <w:szCs w:val="24"/>
          <w:rtl w:val="0"/>
        </w:rPr>
        <w:t xml:space="preserve"> automation can streamline business processes by reducing manual tasks and minimizing human error. Document management is vital for the efficient organization and retrieval of information critical to managing IP assets. Moore and Johnson (2022) examine current trends in document management systems, while Patel and Singh (2023) argue that these systems can significantly enhance organizational efficiency, especially in small and medium enterprises.</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Collaboration tools are essential for fostering teamwork within an IPMS. Garcia and Martinez (2021) illustrate how digital tools can enhance collaboration among team members, while Kumar and Joshi (2023) conduct a systematic review of collaborative tools specifically designed for remote work environments. The inclusion of such tools can improve communication and coordination among staff, particularly in today's increasingly hybrid work settings.</w:t>
      </w:r>
    </w:p>
    <w:p w14:paraId="000000A1">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Reporting and analytics capabilities are another significant innovation in IPMS. Thompson and Patel (2022) discuss how leveraging analytics can enhance decision-making processes in intellectual property management, providing a framework for effective data utilization. Anderson and Green (2023) emphasize the importance of data reporting in improving overall organizational performance, highlighting the need for systems that deliver actionable insights.</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The introduction of inventor portals can further enhance user engagement and facilitate innovation within the IPMS. Chen and Hu (2024) advocate for a user-centered design approach in developing effective inventor portals, while Roberts and Lewis (2023) discuss their positive impact on university technology transfer offices, demonstrating how such portals can promote a culture of innovation and collaboration.</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User authentication is critical for ensuring security within the IPMS. Davis and Miller (2022) review various user authentication methods, emphasizing their importance in safeguarding sensitive information from unauthorized access. Additionally, real-time data processing capabilities are increasingly vital, allowing organizations to access and analyze data swiftly, thereby improving responsiveness to emerging challenges.</w:t>
      </w:r>
    </w:p>
    <w:p w14:paraId="000000A2">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 xml:space="preserve">To effectively evaluate the performance of an IPMS, it is essential to explore the eight quality characteristics outlined in the ISO/IEC 25010 framework. This framework provides a structured evaluation approach and emphasizes the </w:t>
      </w:r>
      <w:r>
        <w:rPr>
          <w:rFonts w:ascii="Courier New" w:hAnsi="Courier New" w:eastAsia="Courier New" w:cs="Courier New"/>
          <w:color w:val="1C1F23"/>
          <w:sz w:val="24"/>
          <w:szCs w:val="24"/>
          <w:rtl w:val="0"/>
          <w:lang w:val="en-US"/>
        </w:rPr>
        <w:t>interconnections</w:t>
      </w:r>
      <w:r>
        <w:rPr>
          <w:rFonts w:ascii="Courier New" w:hAnsi="Courier New" w:eastAsia="Courier New" w:cs="Courier New"/>
          <w:color w:val="1C1F23"/>
          <w:sz w:val="24"/>
          <w:szCs w:val="24"/>
          <w:rtl w:val="0"/>
        </w:rPr>
        <w:t xml:space="preserve"> of these attributes in determining the overall effectiveness of the system. Functional suitability focuses on how well the software meets user requirements. Khan and Khan (2020) highlight the importance of systematic evaluation in ensuring user satisfaction and operational efficiency. Performance efficiency pertains to the effective utilization of resources while delivering required </w:t>
      </w:r>
      <w:r>
        <w:rPr>
          <w:rFonts w:ascii="Courier New" w:hAnsi="Courier New" w:eastAsia="Courier New" w:cs="Courier New"/>
          <w:color w:val="1C1F23"/>
          <w:sz w:val="24"/>
          <w:szCs w:val="24"/>
          <w:rtl w:val="0"/>
          <w:lang w:val="en-US"/>
        </w:rPr>
        <w:t>functionality</w:t>
      </w:r>
      <w:r>
        <w:rPr>
          <w:rFonts w:ascii="Courier New" w:hAnsi="Courier New" w:eastAsia="Courier New" w:cs="Courier New"/>
          <w:color w:val="1C1F23"/>
          <w:sz w:val="24"/>
          <w:szCs w:val="24"/>
          <w:rtl w:val="0"/>
        </w:rPr>
        <w:t>. Jiang and Zhang (2021) stress that optimizing resource use is critical for achieving better performance outcomes. Compatibility reflects the system's ability to operate seamlessly across various environments, as discussed by García and López (2021).</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 xml:space="preserve">Usability measures how effectively users can interact with the system. Zhang and Li (2021) emphasize user-centered design principles that enhance user satisfaction and productivity. Reliability indicates the system's ability to perform consistently over time, with Kuo and Zhang (2021) presenting a framework for assessing reliability through systematic evaluation methods. Security is paramount for protecting sensitive information, with Safi and Alzahrani (2022) advocating for comprehensive security evaluations to identify vulnerabilities. Maintainability should be integrated into the development </w:t>
      </w:r>
      <w:r>
        <w:rPr>
          <w:rFonts w:ascii="Courier New" w:hAnsi="Courier New" w:eastAsia="Courier New" w:cs="Courier New"/>
          <w:color w:val="1C1F23"/>
          <w:sz w:val="24"/>
          <w:szCs w:val="24"/>
          <w:rtl w:val="0"/>
          <w:lang w:val="en-US"/>
        </w:rPr>
        <w:t>life-cycle</w:t>
      </w:r>
      <w:r>
        <w:rPr>
          <w:rFonts w:ascii="Courier New" w:hAnsi="Courier New" w:eastAsia="Courier New" w:cs="Courier New"/>
          <w:color w:val="1C1F23"/>
          <w:sz w:val="24"/>
          <w:szCs w:val="24"/>
          <w:rtl w:val="0"/>
        </w:rPr>
        <w:t>, with Ali and Khan (2021) emphasizing that systems should be designed for easy updates and modifications. Lastly, portability refers to the system's ability to operate in various environments with minimal modification, as highlighted by Kumar and Singh (2021).</w:t>
      </w:r>
    </w:p>
    <w:p w14:paraId="000000A3">
      <w:pPr>
        <w:spacing w:after="120" w:line="480" w:lineRule="auto"/>
        <w:ind w:left="0" w:firstLine="0"/>
        <w:jc w:val="both"/>
        <w:rPr>
          <w:rFonts w:ascii="Courier New" w:hAnsi="Courier New" w:eastAsia="Courier New" w:cs="Courier New"/>
          <w:color w:val="1C1F23"/>
          <w:sz w:val="24"/>
          <w:szCs w:val="24"/>
        </w:rPr>
      </w:pPr>
      <w:r>
        <w:rPr>
          <w:rFonts w:ascii="Courier New" w:hAnsi="Courier New" w:eastAsia="Courier New" w:cs="Courier New"/>
          <w:b/>
          <w:color w:val="1C1F23"/>
          <w:sz w:val="24"/>
          <w:szCs w:val="24"/>
          <w:rtl w:val="0"/>
        </w:rPr>
        <w:t>Synthesis of the Art</w:t>
      </w:r>
      <w:r>
        <w:rPr>
          <w:rFonts w:ascii="Courier New" w:hAnsi="Courier New" w:eastAsia="Courier New" w:cs="Courier New"/>
          <w:b/>
          <w:color w:val="1C1F23"/>
          <w:sz w:val="24"/>
          <w:szCs w:val="24"/>
          <w:rtl w:val="0"/>
        </w:rPr>
        <w:tab/>
      </w:r>
      <w:r>
        <w:rPr>
          <w:rFonts w:ascii="Courier New" w:hAnsi="Courier New" w:eastAsia="Courier New" w:cs="Courier New"/>
          <w:b/>
          <w:color w:val="1C1F23"/>
          <w:sz w:val="24"/>
          <w:szCs w:val="24"/>
          <w:rtl w:val="0"/>
        </w:rPr>
        <w:tab/>
      </w:r>
      <w:r>
        <w:rPr>
          <w:rFonts w:ascii="Courier New" w:hAnsi="Courier New" w:eastAsia="Courier New" w:cs="Courier New"/>
          <w:b/>
          <w:color w:val="1C1F23"/>
          <w:sz w:val="24"/>
          <w:szCs w:val="24"/>
          <w:rtl w:val="0"/>
        </w:rPr>
        <w:tab/>
      </w:r>
      <w:r>
        <w:rPr>
          <w:rFonts w:ascii="Courier New" w:hAnsi="Courier New" w:eastAsia="Courier New" w:cs="Courier New"/>
          <w:b/>
          <w:color w:val="1C1F23"/>
          <w:sz w:val="24"/>
          <w:szCs w:val="24"/>
          <w:rtl w:val="0"/>
        </w:rPr>
        <w:tab/>
      </w:r>
      <w:r>
        <w:rPr>
          <w:rFonts w:ascii="Courier New" w:hAnsi="Courier New" w:eastAsia="Courier New" w:cs="Courier New"/>
          <w:b/>
          <w:color w:val="1C1F23"/>
          <w:sz w:val="24"/>
          <w:szCs w:val="24"/>
          <w:rtl w:val="0"/>
        </w:rPr>
        <w:tab/>
      </w:r>
      <w:r>
        <w:rPr>
          <w:rFonts w:ascii="Courier New" w:hAnsi="Courier New" w:eastAsia="Courier New" w:cs="Courier New"/>
          <w:b/>
          <w:color w:val="1C1F23"/>
          <w:sz w:val="24"/>
          <w:szCs w:val="24"/>
          <w:rtl w:val="0"/>
        </w:rPr>
        <w:tab/>
      </w:r>
      <w:r>
        <w:rPr>
          <w:rFonts w:ascii="Courier New" w:hAnsi="Courier New" w:eastAsia="Courier New" w:cs="Courier New"/>
          <w:b/>
          <w:color w:val="1C1F23"/>
          <w:sz w:val="24"/>
          <w:szCs w:val="24"/>
          <w:rtl w:val="0"/>
        </w:rPr>
        <w:tab/>
      </w:r>
      <w:r>
        <w:rPr>
          <w:rFonts w:ascii="Courier New" w:hAnsi="Courier New" w:eastAsia="Courier New" w:cs="Courier New"/>
          <w:b/>
          <w:color w:val="1C1F23"/>
          <w:sz w:val="24"/>
          <w:szCs w:val="24"/>
          <w:rtl w:val="0"/>
        </w:rPr>
        <w:tab/>
      </w:r>
      <w:r>
        <w:rPr>
          <w:rFonts w:ascii="Courier New" w:hAnsi="Courier New" w:eastAsia="Courier New" w:cs="Courier New"/>
          <w:color w:val="1C1F23"/>
          <w:sz w:val="24"/>
          <w:szCs w:val="24"/>
          <w:rtl w:val="0"/>
        </w:rPr>
        <w:t xml:space="preserve">In conclusion, integrating a centralized database, effective </w:t>
      </w:r>
      <w:r>
        <w:rPr>
          <w:rFonts w:ascii="Courier New" w:hAnsi="Courier New" w:eastAsia="Courier New" w:cs="Courier New"/>
          <w:color w:val="1C1F23"/>
          <w:sz w:val="24"/>
          <w:szCs w:val="24"/>
          <w:rtl w:val="0"/>
          <w:lang w:val="en-US"/>
        </w:rPr>
        <w:t>work flow</w:t>
      </w:r>
      <w:r>
        <w:rPr>
          <w:rFonts w:ascii="Courier New" w:hAnsi="Courier New" w:eastAsia="Courier New" w:cs="Courier New"/>
          <w:color w:val="1C1F23"/>
          <w:sz w:val="24"/>
          <w:szCs w:val="24"/>
          <w:rtl w:val="0"/>
        </w:rPr>
        <w:t xml:space="preserve"> management, robust document management, and advanced collaboration tools is essential for creating an efficient IPMS. Reporting and analytics capabilities empower users to make informed decisions, while real-time data processing enhances organizational agility. By addressing these critical areas, the development of an effective IPMS for Camarines Norte State College will not only meet user needs but also significantly improve overall organizational effectiveness and efficiency.</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In reviewing current research on Intellectual Property Management Systems, several shortcomings arise that our proposed system for CNSC aims to address. One notable gap in the literature is the lack of practical strategies for transitioning from conventional systems to modern web-based alternatives. While numerous studies highlight the drawbacks of paper-based methods, they often fail to provide tangible solutions for establishing centralized databases that enhance data integrity and accessibility (Kunjir &amp; Suryawanshi, 2021). Our IPMS will directly address this issue by implementing a strong centralized database.</w:t>
      </w:r>
    </w:p>
    <w:p w14:paraId="000000A4">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 xml:space="preserve">Additionally, while the automation of </w:t>
      </w:r>
      <w:r>
        <w:rPr>
          <w:rFonts w:ascii="Courier New" w:hAnsi="Courier New" w:eastAsia="Courier New" w:cs="Courier New"/>
          <w:color w:val="1C1F23"/>
          <w:sz w:val="24"/>
          <w:szCs w:val="24"/>
          <w:rtl w:val="0"/>
          <w:lang w:val="en-US"/>
        </w:rPr>
        <w:t>work flows</w:t>
      </w:r>
      <w:r>
        <w:rPr>
          <w:rFonts w:ascii="Courier New" w:hAnsi="Courier New" w:eastAsia="Courier New" w:cs="Courier New"/>
          <w:color w:val="1C1F23"/>
          <w:sz w:val="24"/>
          <w:szCs w:val="24"/>
          <w:rtl w:val="0"/>
        </w:rPr>
        <w:t xml:space="preserve"> is frequently discussed, existing literature often lacks specific examples demonstrating successful implementation. Our system will incorporate automated </w:t>
      </w:r>
      <w:r>
        <w:rPr>
          <w:rFonts w:ascii="Courier New" w:hAnsi="Courier New" w:eastAsia="Courier New" w:cs="Courier New"/>
          <w:color w:val="1C1F23"/>
          <w:sz w:val="24"/>
          <w:szCs w:val="24"/>
          <w:rtl w:val="0"/>
          <w:lang w:val="en-US"/>
        </w:rPr>
        <w:t>work flows</w:t>
      </w:r>
      <w:r>
        <w:rPr>
          <w:rFonts w:ascii="Courier New" w:hAnsi="Courier New" w:eastAsia="Courier New" w:cs="Courier New"/>
          <w:color w:val="1C1F23"/>
          <w:sz w:val="24"/>
          <w:szCs w:val="24"/>
          <w:rtl w:val="0"/>
        </w:rPr>
        <w:t xml:space="preserve"> designed to simplify IP management and significantly reduce manual errors, thereby increasing operational efficiency (Zhang &amp; Zhao, 2023).</w:t>
      </w:r>
    </w:p>
    <w:p w14:paraId="000000A5">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Current discussions on document management innovations tend to focus on theoretical improvements without examining their practical application in academic settings. Our proposed IPMS seeks to bridge this gap by introducing advanced document management tools that enhance the organization and retrieval of IP-related documents (Moore &amp; Johnson, 2022).</w:t>
      </w:r>
    </w:p>
    <w:p w14:paraId="000000A6">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Collaboration is another area where existing studies recognize its significance, but often do not provide practical tools for fostering teamwork in hybrid environments. Our IPMS will incorporate extensive collaboration features that facilitate real-time communication and project management, promoting a more cooperative work culture (Garcia &amp; Martinez, 2021).</w:t>
      </w:r>
    </w:p>
    <w:p w14:paraId="000000A7">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Furthermore, while many studies endorse the use of analytics in decision-making, they frequently fail to elaborate on detailed frameworks for execution. Our system will encompass comprehensive reporting and analytics functionalities, enabling data-driven insights that enhance strategic planning and decision-making (Thompson &amp; Patel, 2022).</w:t>
      </w:r>
    </w:p>
    <w:p w14:paraId="000000A8">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Security is a critical concern referenced in the literature, yet specific evaluations of security measures are often inadequate. Our IPMS will prioritize user authentication and data protection, ensuring that sensitive information is safeguarded against potential threats (Davis &amp; Miller, 2022).</w:t>
      </w:r>
    </w:p>
    <w:p w14:paraId="000000A9">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User engagement is vital for the efficacy of any IP management system; however, the literature discusses user-centered designs without offering actionable strategies to foster engagement. Our proposed IPMS will include an inventor portal aimed at enhancing user interaction and stimulating innovation, thus addressing this need (Chen &amp; Hu, 2024).</w:t>
      </w:r>
    </w:p>
    <w:p w14:paraId="000000AA">
      <w:pPr>
        <w:spacing w:after="120" w:line="480" w:lineRule="auto"/>
        <w:ind w:firstLine="576"/>
        <w:jc w:val="both"/>
        <w:rPr>
          <w:rFonts w:ascii="Courier New" w:hAnsi="Courier New" w:eastAsia="Courier New" w:cs="Courier New"/>
          <w:color w:val="1C1F23"/>
          <w:sz w:val="24"/>
          <w:szCs w:val="24"/>
        </w:rPr>
      </w:pPr>
      <w:bookmarkStart w:id="0" w:name="_heading=h.i3lebvy85vc6" w:colFirst="0" w:colLast="0"/>
      <w:bookmarkEnd w:id="0"/>
      <w:r>
        <w:rPr>
          <w:rFonts w:ascii="Courier New" w:hAnsi="Courier New" w:eastAsia="Courier New" w:cs="Courier New"/>
          <w:color w:val="1C1F23"/>
          <w:sz w:val="24"/>
          <w:szCs w:val="24"/>
          <w:rtl w:val="0"/>
        </w:rPr>
        <w:t>Access to real-time data is recognized as crucial for agility in IP management, but many studies do not explore effective implementation methods. Our system will enable real-time data processing, improving CNSC’s capacity to respond promptly to emerging challenges (Anderson &amp; Green, 2023).</w:t>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 xml:space="preserve">   </w:t>
      </w:r>
      <w:r>
        <w:rPr>
          <w:rFonts w:hint="default" w:ascii="Courier New" w:hAnsi="Courier New" w:eastAsia="Courier New" w:cs="Courier New"/>
          <w:color w:val="1C1F23"/>
          <w:sz w:val="24"/>
          <w:szCs w:val="24"/>
          <w:rtl w:val="0"/>
          <w:lang w:val="en-US"/>
        </w:rPr>
        <w:tab/>
      </w:r>
      <w:r>
        <w:rPr>
          <w:rFonts w:hint="default" w:ascii="Courier New" w:hAnsi="Courier New" w:eastAsia="Courier New" w:cs="Courier New"/>
          <w:color w:val="1C1F23"/>
          <w:sz w:val="24"/>
          <w:szCs w:val="24"/>
          <w:rtl w:val="0"/>
          <w:lang w:val="en-US"/>
        </w:rPr>
        <w:tab/>
      </w:r>
      <w:r>
        <w:rPr>
          <w:rFonts w:ascii="Courier New" w:hAnsi="Courier New" w:eastAsia="Courier New" w:cs="Courier New"/>
          <w:color w:val="1C1F23"/>
          <w:sz w:val="24"/>
          <w:szCs w:val="24"/>
          <w:rtl w:val="0"/>
        </w:rPr>
        <w:t>Compliance management is another critical area that existing studies occasionally address but often lack comprehensive tools for effective tracking. Our IPMS will provide features specifically designed for managing compliance with IP regulations, ensuring that CNSC meets necessary legal requirements (Ali &amp; Khan, 2021).</w:t>
      </w:r>
    </w:p>
    <w:p w14:paraId="000000AB">
      <w:pPr>
        <w:spacing w:after="120" w:line="480" w:lineRule="auto"/>
        <w:ind w:firstLine="576"/>
        <w:jc w:val="both"/>
        <w:rPr>
          <w:rFonts w:ascii="Courier New" w:hAnsi="Courier New" w:eastAsia="Courier New" w:cs="Courier New"/>
          <w:color w:val="1C1F23"/>
          <w:sz w:val="24"/>
          <w:szCs w:val="24"/>
        </w:rPr>
      </w:pPr>
      <w:r>
        <w:rPr>
          <w:rFonts w:ascii="Courier New" w:hAnsi="Courier New" w:eastAsia="Courier New" w:cs="Courier New"/>
          <w:color w:val="1C1F23"/>
          <w:sz w:val="24"/>
          <w:szCs w:val="24"/>
          <w:rtl w:val="0"/>
        </w:rPr>
        <w:t>The need for integration with existing systems is frequently mentioned, yet practical solutions for achieving compatibility are often missing in the literature. Our IPMS will ensure seamless integration with other software utilized within CNSC, enhancing overall functionality and user experience (García &amp; López, 2021).</w:t>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ab/>
      </w:r>
      <w:r>
        <w:rPr>
          <w:rFonts w:ascii="Courier New" w:hAnsi="Courier New" w:eastAsia="Courier New" w:cs="Courier New"/>
          <w:color w:val="1C1F23"/>
          <w:sz w:val="24"/>
          <w:szCs w:val="24"/>
          <w:rtl w:val="0"/>
        </w:rPr>
        <w:t>Usability and user experience are crucial for the success of any system; however, while these factors are discussed, the literature often does not focus on the design principles necessary for an intuitive interface. Our proposed IPMS will emphasize user-centered design, making the interface accessible and user-friendly (Zhang &amp; Li, 2021).</w:t>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720"/>
        <w:jc w:val="both"/>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Finally, while the importance of technical support and maintainability is widely recognized in the development of information systems, many studies fall short in offering comprehensive frameworks for ongoing maintenance and support. Our Intellectual Property Management System (IPMS) will incorporate robust support mechanisms designed to ensure both longevity and effectiveness, thereby addressing this crucial need (Kumar &amp; Singh, 2021). These mechanisms will include regular software updates to keep the system current, user training sessions to enhance skills and knowledge, and a dedicated helpdesk staffed by knowledgeable personnel to assist users with any challenges they may encounter.</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By proactively addressing these gaps, our proposed IPMS for Camarines Norte State College (CNSC) aims to create a more effective, user-friendly, and innovative system tailored to the specific needs of its users. This system will not only meet the diverse needs of faculty, students, and administrators but also significantly enhance the overall management of intellectual property. By fostering a supportive and responsive environment, we can encourage greater engagement from all stakeholders involved. Ultimately, this will lead to a more dynamic and successful intellectual property landscape, promoting creativity and innovation within the college community.</w:t>
      </w:r>
    </w:p>
    <w:p w14:paraId="000000AD">
      <w:pPr>
        <w:spacing w:after="120" w:line="360" w:lineRule="auto"/>
        <w:jc w:val="center"/>
        <w:rPr>
          <w:rFonts w:ascii="Courier New" w:hAnsi="Courier New" w:eastAsia="Courier New" w:cs="Courier New"/>
          <w:sz w:val="24"/>
          <w:szCs w:val="24"/>
          <w:vertAlign w:val="baseline"/>
        </w:rPr>
      </w:pPr>
      <w:r>
        <w:rPr>
          <w:rFonts w:ascii="Courier New" w:hAnsi="Courier New" w:eastAsia="Courier New" w:cs="Courier New"/>
          <w:sz w:val="24"/>
          <w:szCs w:val="24"/>
          <w:vertAlign w:val="baseline"/>
          <w:rtl w:val="0"/>
        </w:rPr>
        <w:t>Chapter 3</w:t>
      </w:r>
    </w:p>
    <w:p w14:paraId="000000AE">
      <w:pPr>
        <w:spacing w:after="120" w:line="360" w:lineRule="auto"/>
        <w:jc w:val="center"/>
        <w:rPr>
          <w:rFonts w:ascii="Courier New" w:hAnsi="Courier New" w:eastAsia="Courier New" w:cs="Courier New"/>
          <w:strike/>
          <w:sz w:val="24"/>
          <w:szCs w:val="24"/>
          <w:vertAlign w:val="baseline"/>
        </w:rPr>
      </w:pPr>
      <w:r>
        <w:rPr>
          <w:rFonts w:ascii="Courier New" w:hAnsi="Courier New" w:eastAsia="Courier New" w:cs="Courier New"/>
          <w:b/>
          <w:sz w:val="24"/>
          <w:szCs w:val="24"/>
          <w:vertAlign w:val="baseline"/>
          <w:rtl w:val="0"/>
        </w:rPr>
        <w:t>METHODOLOGY</w:t>
      </w:r>
    </w:p>
    <w:p w14:paraId="000000AF">
      <w:pPr>
        <w:spacing w:after="120" w:line="480" w:lineRule="auto"/>
        <w:jc w:val="both"/>
        <w:rPr>
          <w:rFonts w:ascii="Courier New" w:hAnsi="Courier New" w:eastAsia="Courier New" w:cs="Courier New"/>
          <w:b/>
          <w:sz w:val="24"/>
          <w:szCs w:val="24"/>
        </w:rPr>
      </w:pPr>
      <w:r>
        <w:rPr>
          <w:rFonts w:ascii="Courier New" w:hAnsi="Courier New" w:eastAsia="Courier New" w:cs="Courier New"/>
          <w:b/>
          <w:sz w:val="24"/>
          <w:szCs w:val="24"/>
          <w:vertAlign w:val="baseline"/>
          <w:rtl w:val="0"/>
        </w:rPr>
        <w:t>Research Methodology</w:t>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This methodology section outlines the approach taken to develop the Intellectual Property Management System (IPMS) for Camarines Norte State College (CNSC). It describes the research design, data collection methods, and analysis techniques used to ensure the system effectively meets the college's needs.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The process includes several key phases: needs assessment, design and development, implementation planning, and evaluation. Each phase builds on the previous one to create a user-centered and effective system.</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sz w:val="24"/>
          <w:szCs w:val="24"/>
          <w:rtl w:val="0"/>
        </w:rPr>
        <w:t>B</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y detailing this framework, we aim to clarify how the IPMS will be developed and implemented, ultimately improving the management of intellectual property at CNSC.  </w:t>
      </w:r>
      <w:r>
        <w:rPr>
          <w:rFonts w:ascii="Courier New" w:hAnsi="Courier New" w:eastAsia="Courier New" w:cs="Courier New"/>
          <w:b/>
          <w:sz w:val="24"/>
          <w:szCs w:val="24"/>
          <w:vertAlign w:val="baseline"/>
          <w:rtl w:val="0"/>
        </w:rPr>
        <w:t>Software Development Methodology</w:t>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b/>
          <w:sz w:val="24"/>
          <w:szCs w:val="24"/>
          <w:vertAlign w:val="baseline"/>
          <w:rtl w:val="0"/>
        </w:rPr>
        <w:tab/>
      </w:r>
      <w:r>
        <w:rPr>
          <w:rFonts w:ascii="Courier New" w:hAnsi="Courier New" w:eastAsia="Courier New" w:cs="Courier New"/>
          <w:sz w:val="24"/>
          <w:szCs w:val="24"/>
          <w:rtl w:val="0"/>
        </w:rPr>
        <w:t>We utilize the Scrum Agile methodology for this project due to its emphasis on collaboration, flexibility, and iterative progress. The structured framework of Scrum allows for regular assessment and adaptation, which is essential for the development of the Intellectual Property Management System (IPMS). This iterative nature enables the team to respond effectively to changing requirements and priorities, ensuring a smooth and productive development process while fostering continuous improvement.</w:t>
      </w:r>
      <w:r>
        <w:rPr>
          <w:rFonts w:ascii="Courier New" w:hAnsi="Courier New" w:eastAsia="Courier New" w:cs="Courier New"/>
          <w:b/>
          <w:sz w:val="24"/>
          <w:szCs w:val="24"/>
        </w:rPr>
        <w:drawing>
          <wp:inline distT="114300" distB="114300" distL="114300" distR="114300">
            <wp:extent cx="5273675" cy="3695700"/>
            <wp:effectExtent l="12700" t="12700" r="12700" b="12700"/>
            <wp:docPr id="4" name="image3.png" descr="C:\Users\CHUWI\OneDrive\Pictures\Screenshots\Screenshot 2025-08-30 132657.pngScreenshot 2025-08-30 132657"/>
            <wp:cNvGraphicFramePr/>
            <a:graphic xmlns:a="http://schemas.openxmlformats.org/drawingml/2006/main">
              <a:graphicData uri="http://schemas.openxmlformats.org/drawingml/2006/picture">
                <pic:pic xmlns:pic="http://schemas.openxmlformats.org/drawingml/2006/picture">
                  <pic:nvPicPr>
                    <pic:cNvPr id="4" name="image3.png" descr="C:\Users\CHUWI\OneDrive\Pictures\Screenshots\Screenshot 2025-08-30 132657.pngScreenshot 2025-08-30 132657"/>
                    <pic:cNvPicPr preferRelativeResize="0"/>
                  </pic:nvPicPr>
                  <pic:blipFill>
                    <a:blip r:embed="rId10"/>
                    <a:srcRect t="464" b="463"/>
                    <a:stretch>
                      <a:fillRect/>
                    </a:stretch>
                  </pic:blipFill>
                  <pic:spPr>
                    <a:xfrm>
                      <a:off x="0" y="0"/>
                      <a:ext cx="5273675" cy="3695700"/>
                    </a:xfrm>
                    <a:prstGeom prst="rect">
                      <a:avLst/>
                    </a:prstGeom>
                    <a:ln w="12700">
                      <a:solidFill>
                        <a:srgbClr val="000000"/>
                      </a:solidFill>
                      <a:prstDash val="solid"/>
                    </a:ln>
                  </pic:spPr>
                </pic:pic>
              </a:graphicData>
            </a:graphic>
          </wp:inline>
        </w:drawing>
      </w:r>
    </w:p>
    <w:p w14:paraId="000000B0">
      <w:pPr>
        <w:spacing w:after="120" w:line="480" w:lineRule="auto"/>
        <w:jc w:val="center"/>
        <w:rPr>
          <w:rFonts w:ascii="Courier New" w:hAnsi="Courier New" w:eastAsia="Courier New" w:cs="Courier New"/>
          <w:b/>
          <w:sz w:val="24"/>
          <w:szCs w:val="24"/>
          <w:vertAlign w:val="baseline"/>
        </w:rPr>
      </w:pPr>
      <w:r>
        <w:rPr>
          <w:rFonts w:ascii="Courier New" w:hAnsi="Courier New" w:eastAsia="Courier New" w:cs="Courier New"/>
          <w:b/>
          <w:sz w:val="24"/>
          <w:szCs w:val="24"/>
          <w:rtl w:val="0"/>
        </w:rPr>
        <w:t>Figure 1:Agile Scrum Methodology</w:t>
      </w:r>
    </w:p>
    <w:p w14:paraId="000000B1">
      <w:pPr>
        <w:spacing w:after="120" w:line="480" w:lineRule="auto"/>
        <w:jc w:val="both"/>
        <w:rPr>
          <w:rFonts w:ascii="Courier New" w:hAnsi="Courier New" w:eastAsia="Courier New" w:cs="Courier New"/>
          <w:b/>
          <w:sz w:val="24"/>
          <w:szCs w:val="24"/>
          <w:vertAlign w:val="baseline"/>
        </w:rPr>
      </w:pPr>
      <w:r>
        <w:rPr>
          <w:rFonts w:ascii="Courier New" w:hAnsi="Courier New" w:eastAsia="Courier New" w:cs="Courier New"/>
          <w:b/>
          <w:sz w:val="24"/>
          <w:szCs w:val="24"/>
          <w:vertAlign w:val="baseline"/>
          <w:rtl w:val="0"/>
        </w:rPr>
        <w:t xml:space="preserve">Schedule of Activities </w:t>
      </w:r>
    </w:p>
    <w:p w14:paraId="000000B2">
      <w:pPr>
        <w:spacing w:after="120" w:line="480" w:lineRule="auto"/>
        <w:jc w:val="both"/>
        <w:rPr>
          <w:rFonts w:ascii="Courier New" w:hAnsi="Courier New" w:eastAsia="Courier New" w:cs="Courier New"/>
          <w:sz w:val="24"/>
          <w:szCs w:val="24"/>
        </w:rPr>
      </w:pPr>
      <w:bookmarkStart w:id="1" w:name="_heading=h.rwjr3r78nos" w:colFirst="0" w:colLast="0"/>
      <w:bookmarkEnd w:id="1"/>
      <w:r>
        <w:rPr>
          <w:rFonts w:ascii="Courier New" w:hAnsi="Courier New" w:eastAsia="Courier New" w:cs="Courier New"/>
          <w:sz w:val="24"/>
          <w:szCs w:val="24"/>
          <w:rtl w:val="0"/>
        </w:rPr>
        <w:t xml:space="preserve">    This section outlines the schedule for our capstone project, divided into two parts: Capstone 1 and Capstone 2. Capstone 1 includes Chapters 1-3, which are already completed, and is detailed in Figure 2. Capstone 2 focuses on completing Chapters 4 and 5 (Results and Discussion, and Conclusion and Recommendations) and the important system development phase, as shown in Figure 3. This schedule helps us track our progress in developing the Intellectual Property Management System (IPMS) and ensures we meet our deadlines. By breaking down tasks and setting deadlines, we can manage the project effectively, leading to a functional and user-friendly IPMS.</w:t>
      </w:r>
    </w:p>
    <w:p w14:paraId="000000B3">
      <w:pPr>
        <w:spacing w:after="120" w:line="480" w:lineRule="auto"/>
        <w:jc w:val="center"/>
        <w:rPr>
          <w:rFonts w:ascii="Courier New" w:hAnsi="Courier New" w:eastAsia="Courier New" w:cs="Courier New"/>
          <w:b/>
          <w:sz w:val="24"/>
          <w:szCs w:val="24"/>
        </w:rPr>
      </w:pPr>
      <w:r>
        <w:rPr>
          <w:rFonts w:ascii="Courier New" w:hAnsi="Courier New" w:eastAsia="Courier New" w:cs="Courier New"/>
          <w:b/>
          <w:sz w:val="24"/>
          <w:szCs w:val="24"/>
        </w:rPr>
        <w:drawing>
          <wp:inline distT="114300" distB="114300" distL="114300" distR="114300">
            <wp:extent cx="4970145" cy="3641090"/>
            <wp:effectExtent l="12700" t="12700" r="12700" b="1270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1"/>
                    <a:srcRect/>
                    <a:stretch>
                      <a:fillRect/>
                    </a:stretch>
                  </pic:blipFill>
                  <pic:spPr>
                    <a:xfrm>
                      <a:off x="0" y="0"/>
                      <a:ext cx="4970145" cy="3641090"/>
                    </a:xfrm>
                    <a:prstGeom prst="rect">
                      <a:avLst/>
                    </a:prstGeom>
                    <a:ln w="12700">
                      <a:solidFill>
                        <a:srgbClr val="000000"/>
                      </a:solidFill>
                      <a:prstDash val="solid"/>
                    </a:ln>
                  </pic:spPr>
                </pic:pic>
              </a:graphicData>
            </a:graphic>
          </wp:inline>
        </w:drawing>
      </w:r>
    </w:p>
    <w:p w14:paraId="000000B4">
      <w:pPr>
        <w:spacing w:after="120" w:line="480" w:lineRule="auto"/>
        <w:jc w:val="center"/>
        <w:rPr>
          <w:rFonts w:ascii="Courier New" w:hAnsi="Courier New" w:eastAsia="Courier New" w:cs="Courier New"/>
          <w:sz w:val="24"/>
          <w:szCs w:val="24"/>
          <w:vertAlign w:val="baseline"/>
        </w:rPr>
      </w:pPr>
      <w:r>
        <w:rPr>
          <w:rFonts w:ascii="Courier New" w:hAnsi="Courier New" w:eastAsia="Courier New" w:cs="Courier New"/>
          <w:b/>
          <w:sz w:val="24"/>
          <w:szCs w:val="24"/>
          <w:rtl w:val="0"/>
        </w:rPr>
        <w:t>Figure 2: Schedule of Activities Capstone 1</w:t>
      </w:r>
    </w:p>
    <w:p w14:paraId="000000B5">
      <w:pPr>
        <w:spacing w:after="120" w:line="480" w:lineRule="auto"/>
        <w:jc w:val="cente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113655" cy="3213735"/>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2"/>
                    <a:srcRect/>
                    <a:stretch>
                      <a:fillRect/>
                    </a:stretch>
                  </pic:blipFill>
                  <pic:spPr>
                    <a:xfrm>
                      <a:off x="0" y="0"/>
                      <a:ext cx="5113655" cy="3213735"/>
                    </a:xfrm>
                    <a:prstGeom prst="rect">
                      <a:avLst/>
                    </a:prstGeom>
                    <a:ln w="12700">
                      <a:solidFill>
                        <a:srgbClr val="000000"/>
                      </a:solidFill>
                      <a:prstDash val="solid"/>
                    </a:ln>
                  </pic:spPr>
                </pic:pic>
              </a:graphicData>
            </a:graphic>
          </wp:inline>
        </w:drawing>
      </w:r>
    </w:p>
    <w:p w14:paraId="000000B6">
      <w:pPr>
        <w:spacing w:after="120" w:line="480" w:lineRule="auto"/>
        <w:jc w:val="center"/>
        <w:rPr>
          <w:rFonts w:ascii="Courier New" w:hAnsi="Courier New" w:eastAsia="Courier New" w:cs="Courier New"/>
          <w:b/>
          <w:sz w:val="24"/>
          <w:szCs w:val="24"/>
        </w:rPr>
      </w:pPr>
      <w:r>
        <w:rPr>
          <w:rFonts w:ascii="Courier New" w:hAnsi="Courier New" w:eastAsia="Courier New" w:cs="Courier New"/>
          <w:b/>
          <w:sz w:val="24"/>
          <w:szCs w:val="24"/>
          <w:rtl w:val="0"/>
        </w:rPr>
        <w:t>Figure 3: Schedule of Activities Capstone 2</w:t>
      </w: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both"/>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Sources of Data</w:t>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The primary information source for this research is the Intellectual Property Management Office (IPMO) at Camarines Norte State College (CNSC), located in the COENG building. Engr. Vega, the representative of the IPMO, provided essential insights into the office's </w:t>
      </w:r>
      <w:r>
        <w:rPr>
          <w:rFonts w:ascii="Courier New" w:hAnsi="Courier New" w:eastAsia="Courier New" w:cs="Courier New"/>
          <w:b w:val="0"/>
          <w:i w:val="0"/>
          <w:smallCaps w:val="0"/>
          <w:strike w:val="0"/>
          <w:color w:val="000000"/>
          <w:sz w:val="24"/>
          <w:szCs w:val="24"/>
          <w:u w:val="none"/>
          <w:shd w:val="clear" w:fill="auto"/>
          <w:vertAlign w:val="baseline"/>
          <w:rtl w:val="0"/>
          <w:lang w:val="en-US"/>
        </w:rPr>
        <w:t>work flows</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and procedures. Her expertise was crucial for understanding the strengths and weaknesses of the current system, guiding the design of the proposed Intellectual Property Management System (IPMS). Engr. Vega helped identify the necessary features and transactions for the IPMS, ensuring it aligns with the needs of the IPMO. This direct interaction kept our research practical and relevant.</w:t>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hint="default" w:ascii="Courier New" w:hAnsi="Courier New" w:eastAsia="Courier New" w:cs="Courier New"/>
          <w:b w:val="0"/>
          <w:i w:val="0"/>
          <w:smallCaps w:val="0"/>
          <w:strike w:val="0"/>
          <w:color w:val="000000"/>
          <w:sz w:val="24"/>
          <w:szCs w:val="24"/>
          <w:u w:val="none"/>
          <w:shd w:val="clear" w:fill="auto"/>
          <w:vertAlign w:val="baseline"/>
          <w:rtl w:val="0"/>
          <w:lang w:val="en-US"/>
        </w:rPr>
        <w:tab/>
      </w:r>
      <w:r>
        <w:rPr>
          <w:rFonts w:ascii="Courier New" w:hAnsi="Courier New" w:eastAsia="Courier New" w:cs="Courier New"/>
          <w:b w:val="0"/>
          <w:i w:val="0"/>
          <w:smallCaps w:val="0"/>
          <w:strike w:val="0"/>
          <w:color w:val="000000"/>
          <w:sz w:val="24"/>
          <w:szCs w:val="24"/>
          <w:u w:val="none"/>
          <w:shd w:val="clear" w:fill="auto"/>
          <w:vertAlign w:val="baseline"/>
          <w:rtl w:val="0"/>
        </w:rPr>
        <w:t>For our secondary data, we conducted questionnaires and interviews with each delivery unit at the CNSC Main Campus. We focused on the Main Campus because the satellite campuses are far away, making data collection simpler.</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We will also gather data from inventors who have submitted projects to the IPMO. Engaging with these inventors will help us understand their experiences during the submission process. Additionally, we will look into how each organization within the faculty office manages project submissions, including tracking methods, required documentation, and communication processes.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Lastly, we are considering relevant studies and articles as valuable secondary data sources. These materials can offer insights and best practices to improve our system. By reviewing this literature, we can identify effective strategies and innovations from other contexts that will inform the design and development of the IPMS.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w:t>
      </w:r>
      <w:r>
        <w:rPr>
          <w:rFonts w:ascii="Courier New" w:hAnsi="Courier New" w:eastAsia="Courier New" w:cs="Courier New"/>
          <w:b/>
          <w:i w:val="0"/>
          <w:smallCaps w:val="0"/>
          <w:strike w:val="0"/>
          <w:color w:val="000000"/>
          <w:sz w:val="24"/>
          <w:szCs w:val="24"/>
          <w:u w:val="none"/>
          <w:shd w:val="clear" w:fill="auto"/>
          <w:vertAlign w:val="baseline"/>
          <w:rtl w:val="0"/>
        </w:rPr>
        <w:t>Population of the study</w:t>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In this study, we aim to gather responses from 30 participants, including both inventors and faculty members at the Camarines Norte State College (CNSC) Main Campus. This diverse group will provide a comprehensive view of the current processes and experiences related to the Intellectual Property Management System (IPMS).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For the inventors, we will randomly select individuals who have previously submitted projects to the Intellectual Property Management Office (IPMO). Their firsthand experience with the submission process will help us understand the challenges they faced, the effectiveness of the current system, and their suggestions for improvement.</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We will also include faculty members from various departments who assist with project submissions or support inventors. Their insights are essential for understanding how the system operates within the institution, including how they help inventors prepare submissions and the communication methods used.</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By aiming for a sample size of 30 respondents, we seek to ensure a range of perspectives while keeping the analysis manageable. Random selection will help minimize bias and ensure that our findings reflect the broader population at CNSC.</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Also, this study will provide an opportunity to assess the views of both inventors and faculty on the development of the IPMS. Engaging these stakeholders will help us determine whether they see the proposed improvements as beneficial. Their feedback will guide our recommendations and contribute to creating a more efficient and user-friendly system that meets the needs of the CNSC community.</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w:t>
      </w:r>
      <w:r>
        <w:rPr>
          <w:rFonts w:ascii="Courier New" w:hAnsi="Courier New" w:eastAsia="Courier New" w:cs="Courier New"/>
          <w:b/>
          <w:i w:val="0"/>
          <w:smallCaps w:val="0"/>
          <w:strike w:val="0"/>
          <w:color w:val="000000"/>
          <w:sz w:val="24"/>
          <w:szCs w:val="24"/>
          <w:u w:val="none"/>
          <w:shd w:val="clear" w:fill="auto"/>
          <w:vertAlign w:val="baseline"/>
          <w:rtl w:val="0"/>
        </w:rPr>
        <w:t>Data Collection Method</w:t>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In this study, we will use a mixed-methods approach, combining qualitative and quantitative techniques to gather comprehensive data. This strategy will help us collect a wide range of insights and experiences related to the Intellectual Property Management System (IPMS) at Camarines Norte State College (CNSC).</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Interviews: We will conduct semi-structured interviews with selected inventors and faculty members. These interviews will provide in-depth insights into their experiences with the submission process, the challenges they faced, and their suggestions for improvement. The open-ended format will allow respondents to share their thoughts in detail, enhancing our understanding.</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Surveys and Questionnaires: We will also distribute structured surveys and questionnaires to our target audience. These will include closed-ended questions that can be quantitatively analyzed. This will help us gather measurable data on respondents' satisfaction with the current IPMS, the frequency of project submissions, and their overall perceptions of the system's effectiveness.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By combining these methods, we aim to build a solid foundation for our analysis and recommendations regarding the IPMS at CNSC.</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w:t>
      </w:r>
      <w:r>
        <w:rPr>
          <w:rFonts w:ascii="Courier New" w:hAnsi="Courier New" w:eastAsia="Courier New" w:cs="Courier New"/>
          <w:b/>
          <w:i w:val="0"/>
          <w:smallCaps w:val="0"/>
          <w:strike w:val="0"/>
          <w:color w:val="000000"/>
          <w:sz w:val="24"/>
          <w:szCs w:val="24"/>
          <w:u w:val="none"/>
          <w:shd w:val="clear" w:fill="auto"/>
          <w:vertAlign w:val="baseline"/>
          <w:rtl w:val="0"/>
        </w:rPr>
        <w:t>Data Analysis</w:t>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For quantitative data, we will utilize both descriptive and inferential statistical analyses to gain a comprehensive understanding of our findings. Descriptive statistics will summarize the data effectively, providing valuable insights into key measures such as means, medians, modes, and standard deviations. This will allow us to capture the central tendencies and variability within the </w:t>
      </w:r>
      <w:r>
        <w:rPr>
          <w:rFonts w:ascii="Courier New" w:hAnsi="Courier New" w:eastAsia="Courier New" w:cs="Courier New"/>
          <w:b w:val="0"/>
          <w:i w:val="0"/>
          <w:smallCaps w:val="0"/>
          <w:strike w:val="0"/>
          <w:color w:val="000000"/>
          <w:sz w:val="24"/>
          <w:szCs w:val="24"/>
          <w:u w:val="none"/>
          <w:shd w:val="clear" w:fill="auto"/>
          <w:vertAlign w:val="baseline"/>
          <w:rtl w:val="0"/>
          <w:lang w:val="en-US"/>
        </w:rPr>
        <w:t>data set</w:t>
      </w:r>
      <w:r>
        <w:rPr>
          <w:rFonts w:ascii="Courier New" w:hAnsi="Courier New" w:eastAsia="Courier New" w:cs="Courier New"/>
          <w:b w:val="0"/>
          <w:i w:val="0"/>
          <w:smallCaps w:val="0"/>
          <w:strike w:val="0"/>
          <w:color w:val="000000"/>
          <w:sz w:val="24"/>
          <w:szCs w:val="24"/>
          <w:u w:val="none"/>
          <w:shd w:val="clear" w:fill="auto"/>
          <w:vertAlign w:val="baseline"/>
          <w:rtl w:val="0"/>
        </w:rPr>
        <w:t>. On the other hand, inferential statistics will enable us to draw conclusions about the larger population based on our sample. By employing techniques such as hypothesis testing and confidence intervals, we can make informed generalizations and assess the significance of our findings.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For qualitative data, we will employ robust methods such as content analysis and thematic analysis. These approaches will facilitate the identification of patterns, themes, and insights within the qualitative responses, allowing us to explore the nuances of participant feedback in depth. The choice of method will depend on the specific research questions we aim to address and the nature of the data being analyzed. By carefully considering the context and objectives of our study, we will select the most appropriate analytical techniques.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By combining these analytical methods, we aim to derive meaningful insights that will inform our recommendations for the Intellectual Property Management System (IPMS) at Camarines Norte State College (CNSC). This integrated approach not only enhances the robustness of our findings but also ensures that our conclusions are well-supported by both quantitative and qualitative evidence, ultimately contributing to the development of a more effective and user-centered IPMS.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w:t>
      </w:r>
      <w:r>
        <w:rPr>
          <w:rFonts w:ascii="Courier New" w:hAnsi="Courier New" w:eastAsia="Courier New" w:cs="Courier New"/>
          <w:b/>
          <w:i w:val="0"/>
          <w:smallCaps w:val="0"/>
          <w:strike w:val="0"/>
          <w:color w:val="000000"/>
          <w:sz w:val="24"/>
          <w:szCs w:val="24"/>
          <w:u w:val="none"/>
          <w:shd w:val="clear" w:fill="auto"/>
          <w:vertAlign w:val="baseline"/>
          <w:rtl w:val="0"/>
        </w:rPr>
        <w:t>Ethical Consideration</w:t>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In this study, we will adhere to rigorous ethical principles to ensure the integrity of our research and protect the rights of all participants involved. From the outset, participants will receive clear and comprehensive information about the study’s goals, procedures, and their rights, including the fundamental right to withdraw from the study at any time without facing any consequences or penalties. Before participation, we will obtain written informed consent, ensuring that individuals fully understand what their involvement entails and that their participation is based on a well-informed decision.</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All collected data will be treated with the utmost confidentiality and care. Personal identifiers will be systematically removed or anonymized to safeguard participants' identities, ensuring that individual responses remain untraceable and that no personal information can be linked back to any participant. Participation in this study is entirely voluntary, and participants have the option to decline to answer any questions or to withdraw from the study at any point without any repercussions or negative impacts on their standing.</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To further protect participant information, data will be securely stored in a manner that is accessible only to authorized members of the research team. We will implement robust safeguards and security protocols to prevent unauthorized access, ensuring that all data remains secure throughout the study and beyond. Our commitment to ethical research extends to conducting the study with honesty and integrity, presenting findings accurately, and transparently acknowledging any limitations or challenges that may arise during the research process.</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We are dedicated to treating all participants with the utmost respect and dignity, ensuring that their viewpoints and experiences are not only valued but also integral to our analysis and reporting. By fostering an inclusive environment, we aim to create a space where participants feel comfortable sharing their insights and experiences, enriching the quality of our research.</w:t>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ab/>
      </w:r>
      <w:r>
        <w:rPr>
          <w:rFonts w:ascii="Courier New" w:hAnsi="Courier New" w:eastAsia="Courier New" w:cs="Courier New"/>
          <w:b w:val="0"/>
          <w:i w:val="0"/>
          <w:smallCaps w:val="0"/>
          <w:strike w:val="0"/>
          <w:color w:val="000000"/>
          <w:sz w:val="24"/>
          <w:szCs w:val="24"/>
          <w:u w:val="none"/>
          <w:shd w:val="clear" w:fill="auto"/>
          <w:vertAlign w:val="baseline"/>
          <w:rtl w:val="0"/>
        </w:rPr>
        <w:t>By adhering to these ethical principles, we aim to conduct responsible and meaningful research that provides valuable insights while safeguarding the rights and well-being of all participants involved. This commitment to ethics will not only enhance the credibility of our findings but also foster trust and cooperation between the research team and the participants, ultimately contributing to the overall success and integrity of the study. We believe that a strong ethical foundation is essential not only for the validity of our research but also for promoting a culture of respect and accountability within the research community.</w:t>
      </w: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both"/>
        <w:rPr>
          <w:rFonts w:ascii="Courier New" w:hAnsi="Courier New" w:eastAsia="Courier New" w:cs="Courier New"/>
          <w:b w:val="0"/>
          <w:i w:val="0"/>
          <w:smallCaps w:val="0"/>
          <w:strike w:val="0"/>
          <w:color w:val="000000"/>
          <w:sz w:val="24"/>
          <w:szCs w:val="24"/>
          <w:u w:val="none"/>
          <w:shd w:val="clear" w:fill="auto"/>
          <w:vertAlign w:val="baseline"/>
        </w:rPr>
      </w:pPr>
    </w:p>
    <w:p w14:paraId="000000B9">
      <w:pPr>
        <w:spacing w:after="120" w:line="480" w:lineRule="auto"/>
        <w:jc w:val="both"/>
        <w:rPr>
          <w:rFonts w:ascii="Courier New" w:hAnsi="Courier New" w:eastAsia="Courier New" w:cs="Courier New"/>
          <w:sz w:val="24"/>
          <w:szCs w:val="24"/>
        </w:rPr>
      </w:pPr>
    </w:p>
    <w:p w14:paraId="000000BA">
      <w:pPr>
        <w:spacing w:after="120" w:line="480" w:lineRule="auto"/>
        <w:rPr>
          <w:rFonts w:ascii="Courier New" w:hAnsi="Courier New" w:eastAsia="Courier New" w:cs="Courier New"/>
          <w:sz w:val="24"/>
          <w:szCs w:val="24"/>
          <w:vertAlign w:val="baseline"/>
        </w:rPr>
      </w:pPr>
      <w:r>
        <w:rPr>
          <w:rFonts w:ascii="Courier New" w:hAnsi="Courier New" w:eastAsia="Courier New" w:cs="Courier New"/>
          <w:b/>
          <w:sz w:val="24"/>
          <w:szCs w:val="24"/>
          <w:vertAlign w:val="baseline"/>
          <w:rtl w:val="0"/>
        </w:rPr>
        <w:t>References:</w:t>
      </w:r>
      <w:r>
        <w:rPr>
          <w:rFonts w:ascii="Courier New" w:hAnsi="Courier New" w:eastAsia="Courier New" w:cs="Courier New"/>
          <w:sz w:val="24"/>
          <w:szCs w:val="24"/>
          <w:vertAlign w:val="baseline"/>
          <w:rtl w:val="0"/>
        </w:rPr>
        <w:t xml:space="preserve"> </w:t>
      </w:r>
    </w:p>
    <w:p w14:paraId="000000BB">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Asri, A., Sari, R. F., &amp; Rahmawati, A. (2020). The vital role of intellectual property rights (IPR) for small and medium enterprises (SMEs) in the creative industry: A case study in Yogyakarta, Indonesia. Journal of Intellectual Property Rights, 25(1), 1-10.</w:t>
      </w:r>
    </w:p>
    <w:p w14:paraId="000000BC">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Bamakan, S. M. H., &amp; Khosravi, M. (2022). The impact of decentralized finance (DeFi) on intellectual property: Exploring the potential of NFTs for </w:t>
      </w:r>
      <w:bookmarkStart w:id="2" w:name="_GoBack"/>
      <w:bookmarkEnd w:id="2"/>
      <w:r>
        <w:rPr>
          <w:rFonts w:ascii="Courier New" w:hAnsi="Courier New" w:eastAsia="Courier New" w:cs="Courier New"/>
          <w:sz w:val="24"/>
          <w:szCs w:val="24"/>
          <w:vertAlign w:val="baseline"/>
          <w:rtl w:val="0"/>
        </w:rPr>
        <w:t>patent representation. International Journal of Intellectual Property Management, 12(3), 245-260.</w:t>
      </w:r>
    </w:p>
    <w:p w14:paraId="000000BD">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Bently, L., &amp; Sherman, B. (2022). Intellectual Property Law. Oxford University Press.</w:t>
      </w:r>
    </w:p>
    <w:p w14:paraId="000000BE">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Drafler, J. (2024). The intersection of intellectual property law and antitrust law: Enhancing consumer welfare through innovation and competition. Journal of Law and Economics, 67(2), 123-145.</w:t>
      </w:r>
    </w:p>
    <w:p w14:paraId="000000BF">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Deel, J. (2023). The relationship between effective intellectual property law and innovation: A comprehensive analysis. Innovation and Economic Development Journal, 15(4), 301-320.</w:t>
      </w:r>
    </w:p>
    <w:p w14:paraId="000000C0">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Grinaldi, F., &amp; Rizzo, U. (2021). Intellectual property management and its impact on outbound open innovation: Evidence from Italian firms. Journal of Business Research, 128, 123-134.</w:t>
      </w:r>
    </w:p>
    <w:p w14:paraId="000000C1">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Kalyvaki, M. (2023). Legal complexities in the metaverse: Navigating intellectual property and jurisdictional challenges. Journal of Digital Law, 5(1), 45-60.</w:t>
      </w:r>
    </w:p>
    <w:p w14:paraId="000000C2">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Kolodyazhnaya, Y., &amp; Ivanov, A. (2020). Managing intellectual property in research organizations: A fuzzy logic approach. Research Management Review, 18(2), 89-102.</w:t>
      </w:r>
    </w:p>
    <w:p w14:paraId="000000C3">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Moisescu, O., &amp; Popescu, C. (2024). Implementing a Quality Management System in intellectual property organizations: A strategic approach. Quality Management Journal, 31(1), 15-30.</w:t>
      </w:r>
    </w:p>
    <w:p w14:paraId="000000C4">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Neves, A. R., &amp; Silva, P. (2021). The relationship between intellectual property rights, innovation, and economic growth: A meta-analysis. Economics of Innovation and New Technology, 30(5), 455-472.</w:t>
      </w:r>
    </w:p>
    <w:p w14:paraId="000000C5">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Novikov, A., &amp; Petrov, D. (2024). New approaches to managing intellectual property in Russia: The role of automated information systems. Journal of Intellectual Property Law &amp; Practice, 19(3), 200-215.</w:t>
      </w:r>
    </w:p>
    <w:p w14:paraId="000000C6">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Ploman, M., &amp; Smith, J. (2024). The timeless importance of creativity: Supporting creators in a changing world. Creativity Research Journal, 36(1), 1-10.</w:t>
      </w:r>
    </w:p>
    <w:p w14:paraId="000000C7">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Ray, D. (2023). The role of workflow automation in digital transformation: Enhancing efficiency and productivity. Journal of Business Process Management, 29(2), 150-165.</w:t>
      </w:r>
    </w:p>
    <w:p w14:paraId="000000C8">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Sierotowicz, T. (2020). Intellectual property management at IBM: A model based on complexity theory. Journal of Intellectual Property Management, 10(4), 300-315.</w:t>
      </w:r>
    </w:p>
    <w:p w14:paraId="000000C9">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Yeten, A., &amp; Korkmaz, M. (2024). Integrating project management strategies with intellectual property rights: Enhancing innovation success. International Journal of Project Management, 42(1), 75-90.</w:t>
      </w:r>
    </w:p>
    <w:p w14:paraId="000000CA">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Xavdarov, B. (2022). The digital economy and the role of intellectual property protection: An exploratory study. Journal of Economic Perspectives, 36(3), 45-62.</w:t>
      </w:r>
    </w:p>
    <w:p w14:paraId="000000CB">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Zhan, Y., &amp; Liu, H. (2023). The impact of intellectual property rights on innovation in developing countries: A comparative analysis. World Development, 145, 105-120.</w:t>
      </w:r>
    </w:p>
    <w:p w14:paraId="000000CC">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Brown, A. (2023). Cost analysis of paper-based vs. digital systems in IP management. Journal of Intellectual Property Studies, 15(2), 45-59.</w:t>
      </w:r>
    </w:p>
    <w:p w14:paraId="000000CD">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Green, T., &amp; White, L. (2024). Enhancing security in intellectual property management: A digital approach. International Journal of Security and Compliance, 8(1), 12-25.</w:t>
      </w:r>
    </w:p>
    <w:p w14:paraId="000000CE">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Jones, R. (2022). Real-time collaboration in digital environments: Implications for IP management. Journal of Digital Communication, 10(3), 78-90.</w:t>
      </w:r>
    </w:p>
    <w:p w14:paraId="000000CF">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Smith, J., Doe, K., &amp; Johnson, P. (2021). Access and efficiency in document management: A study of web-based systems. Journal of Organizational Efficiency, 20(4), 34-50.</w:t>
      </w:r>
    </w:p>
    <w:p w14:paraId="000000D0">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Bourque, P., &amp; Fairley, R. (2014). </w:t>
      </w:r>
      <w:r>
        <w:rPr>
          <w:rFonts w:ascii="Courier New" w:hAnsi="Courier New" w:eastAsia="Courier New" w:cs="Courier New"/>
          <w:i/>
          <w:sz w:val="24"/>
          <w:szCs w:val="24"/>
          <w:vertAlign w:val="baseline"/>
          <w:rtl w:val="0"/>
        </w:rPr>
        <w:t>Guide to the Software Engineering Body of Knowledge (SWEBOK)</w:t>
      </w:r>
      <w:r>
        <w:rPr>
          <w:rFonts w:ascii="Courier New" w:hAnsi="Courier New" w:eastAsia="Courier New" w:cs="Courier New"/>
          <w:sz w:val="24"/>
          <w:szCs w:val="24"/>
          <w:vertAlign w:val="baseline"/>
          <w:rtl w:val="0"/>
        </w:rPr>
        <w:t>. IEEE Computer Society.</w:t>
      </w:r>
    </w:p>
    <w:p w14:paraId="000000D1">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Kunjir, S., &amp; Suryawanshi, V. (2021). An evaluation of centralized database management systems in academic institutions. International Journal of Computer Applications, 175(30), 1-6. https://doi.org/10.5120/ijca2021921795</w:t>
      </w:r>
    </w:p>
    <w:p w14:paraId="000000D2">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Saha, S., &amp; Saha, A. (2022). Enhancing data integrity in centralized databases: A case study. International Journal of Information Management, 63, 102463. </w:t>
      </w:r>
      <w:r>
        <w:fldChar w:fldCharType="begin"/>
      </w:r>
      <w:r>
        <w:instrText xml:space="preserve"> HYPERLINK "https://doi.org/10.1016/j.ijinfomgt.2022.102463" \h </w:instrText>
      </w:r>
      <w:r>
        <w:fldChar w:fldCharType="separate"/>
      </w:r>
      <w:r>
        <w:rPr>
          <w:rFonts w:ascii="Courier New" w:hAnsi="Courier New" w:eastAsia="Courier New" w:cs="Courier New"/>
          <w:color w:val="1155CC"/>
          <w:sz w:val="24"/>
          <w:szCs w:val="24"/>
          <w:u w:val="single"/>
          <w:vertAlign w:val="baseline"/>
          <w:rtl w:val="0"/>
        </w:rPr>
        <w:t>https://doi.org/10.1016/j.ijinfomgt.2022.102463</w:t>
      </w:r>
      <w:r>
        <w:rPr>
          <w:rFonts w:ascii="Courier New" w:hAnsi="Courier New" w:eastAsia="Courier New" w:cs="Courier New"/>
          <w:color w:val="1155CC"/>
          <w:sz w:val="24"/>
          <w:szCs w:val="24"/>
          <w:u w:val="single"/>
          <w:vertAlign w:val="baseline"/>
          <w:rtl w:val="0"/>
        </w:rPr>
        <w:fldChar w:fldCharType="end"/>
      </w:r>
    </w:p>
    <w:p w14:paraId="000000D3">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Zhang, Y., &amp; Zhao, L. (2023). Improving organizational performance through effective workflow management: Evidence from service industries. </w:t>
      </w:r>
      <w:r>
        <w:rPr>
          <w:rFonts w:ascii="Courier New" w:hAnsi="Courier New" w:eastAsia="Courier New" w:cs="Courier New"/>
          <w:i/>
          <w:sz w:val="24"/>
          <w:szCs w:val="24"/>
          <w:vertAlign w:val="baseline"/>
          <w:rtl w:val="0"/>
        </w:rPr>
        <w:t>Journal of Business Research</w:t>
      </w:r>
      <w:r>
        <w:rPr>
          <w:rFonts w:ascii="Courier New" w:hAnsi="Courier New" w:eastAsia="Courier New" w:cs="Courier New"/>
          <w:sz w:val="24"/>
          <w:szCs w:val="24"/>
          <w:vertAlign w:val="baseline"/>
          <w:rtl w:val="0"/>
        </w:rPr>
        <w:t>, 152, 12-22.</w:t>
      </w:r>
      <w:r>
        <w:fldChar w:fldCharType="begin"/>
      </w:r>
      <w:r>
        <w:instrText xml:space="preserve"> HYPERLINK "https://doi.org/10.1016/j.jbusres.2022.11.034"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"https://doi.org/10.1016/j.jbusres.2022.11.034" \h </w:instrText>
      </w:r>
      <w:r>
        <w:fldChar w:fldCharType="separate"/>
      </w:r>
      <w:r>
        <w:rPr>
          <w:rFonts w:ascii="Courier New" w:hAnsi="Courier New" w:eastAsia="Courier New" w:cs="Courier New"/>
          <w:color w:val="1155CC"/>
          <w:sz w:val="24"/>
          <w:szCs w:val="24"/>
          <w:u w:val="single"/>
          <w:vertAlign w:val="baseline"/>
          <w:rtl w:val="0"/>
        </w:rPr>
        <w:t>https://doi.org/10.1016/j.jbusres.2022.11.034</w:t>
      </w:r>
      <w:r>
        <w:rPr>
          <w:rFonts w:ascii="Courier New" w:hAnsi="Courier New" w:eastAsia="Courier New" w:cs="Courier New"/>
          <w:color w:val="1155CC"/>
          <w:sz w:val="24"/>
          <w:szCs w:val="24"/>
          <w:u w:val="single"/>
          <w:vertAlign w:val="baseline"/>
          <w:rtl w:val="0"/>
        </w:rPr>
        <w:fldChar w:fldCharType="end"/>
      </w:r>
    </w:p>
    <w:p w14:paraId="000000D4">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Lee, J., &amp; Kim, H. (2021). Workflow automation and its impact on business processes: A systematic review. </w:t>
      </w:r>
      <w:r>
        <w:rPr>
          <w:rFonts w:ascii="Courier New" w:hAnsi="Courier New" w:eastAsia="Courier New" w:cs="Courier New"/>
          <w:i/>
          <w:sz w:val="24"/>
          <w:szCs w:val="24"/>
          <w:vertAlign w:val="baseline"/>
          <w:rtl w:val="0"/>
        </w:rPr>
        <w:t>Business Process Management Journal</w:t>
      </w:r>
      <w:r>
        <w:rPr>
          <w:rFonts w:ascii="Courier New" w:hAnsi="Courier New" w:eastAsia="Courier New" w:cs="Courier New"/>
          <w:sz w:val="24"/>
          <w:szCs w:val="24"/>
          <w:vertAlign w:val="baseline"/>
          <w:rtl w:val="0"/>
        </w:rPr>
        <w:t>, 27(4), 1200-1217.</w:t>
      </w:r>
      <w:r>
        <w:fldChar w:fldCharType="begin"/>
      </w:r>
      <w:r>
        <w:instrText xml:space="preserve"> HYPERLINK "https://doi.org/10.1108/BPMJ-08-2020-0373"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"https://doi.org/10.1108/BPMJ-08-2020-0373" \h </w:instrText>
      </w:r>
      <w:r>
        <w:fldChar w:fldCharType="separate"/>
      </w:r>
      <w:r>
        <w:rPr>
          <w:rFonts w:ascii="Courier New" w:hAnsi="Courier New" w:eastAsia="Courier New" w:cs="Courier New"/>
          <w:color w:val="1155CC"/>
          <w:sz w:val="24"/>
          <w:szCs w:val="24"/>
          <w:u w:val="single"/>
          <w:vertAlign w:val="baseline"/>
          <w:rtl w:val="0"/>
        </w:rPr>
        <w:t>https://doi.org/10.1108/BPMJ-08-2020-0373</w:t>
      </w:r>
      <w:r>
        <w:rPr>
          <w:rFonts w:ascii="Courier New" w:hAnsi="Courier New" w:eastAsia="Courier New" w:cs="Courier New"/>
          <w:color w:val="1155CC"/>
          <w:sz w:val="24"/>
          <w:szCs w:val="24"/>
          <w:u w:val="single"/>
          <w:vertAlign w:val="baseline"/>
          <w:rtl w:val="0"/>
        </w:rPr>
        <w:fldChar w:fldCharType="end"/>
      </w:r>
    </w:p>
    <w:p w14:paraId="000000D5">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Moore, B., &amp; Johnson, L. (2022). Document management systems in the digital age: Trends and challenges. </w:t>
      </w:r>
      <w:r>
        <w:rPr>
          <w:rFonts w:ascii="Courier New" w:hAnsi="Courier New" w:eastAsia="Courier New" w:cs="Courier New"/>
          <w:i/>
          <w:sz w:val="24"/>
          <w:szCs w:val="24"/>
          <w:vertAlign w:val="baseline"/>
          <w:rtl w:val="0"/>
        </w:rPr>
        <w:t>Information Systems Management</w:t>
      </w:r>
      <w:r>
        <w:rPr>
          <w:rFonts w:ascii="Courier New" w:hAnsi="Courier New" w:eastAsia="Courier New" w:cs="Courier New"/>
          <w:sz w:val="24"/>
          <w:szCs w:val="24"/>
          <w:vertAlign w:val="baseline"/>
          <w:rtl w:val="0"/>
        </w:rPr>
        <w:t>, 39(3), 187-198.</w:t>
      </w:r>
      <w:r>
        <w:fldChar w:fldCharType="begin"/>
      </w:r>
      <w:r>
        <w:instrText xml:space="preserve"> HYPERLINK "https://doi.org/10.1080/10580530.2022.2069212"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"https://doi.org/10.1080/10580530.2022.2069212" \h </w:instrText>
      </w:r>
      <w:r>
        <w:fldChar w:fldCharType="separate"/>
      </w:r>
      <w:r>
        <w:rPr>
          <w:rFonts w:ascii="Courier New" w:hAnsi="Courier New" w:eastAsia="Courier New" w:cs="Courier New"/>
          <w:color w:val="1155CC"/>
          <w:sz w:val="24"/>
          <w:szCs w:val="24"/>
          <w:u w:val="single"/>
          <w:vertAlign w:val="baseline"/>
          <w:rtl w:val="0"/>
        </w:rPr>
        <w:t>https://doi.org/10.1080/10580530.2022.2069212</w:t>
      </w:r>
      <w:r>
        <w:rPr>
          <w:rFonts w:ascii="Courier New" w:hAnsi="Courier New" w:eastAsia="Courier New" w:cs="Courier New"/>
          <w:color w:val="1155CC"/>
          <w:sz w:val="24"/>
          <w:szCs w:val="24"/>
          <w:u w:val="single"/>
          <w:vertAlign w:val="baseline"/>
          <w:rtl w:val="0"/>
        </w:rPr>
        <w:fldChar w:fldCharType="end"/>
      </w:r>
    </w:p>
    <w:p w14:paraId="000000D6">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Patel, R., &amp; Singh, A. (2023). The role of document management systems in enhancing organizational efficiency: A study of SMEs. </w:t>
      </w:r>
      <w:r>
        <w:rPr>
          <w:rFonts w:ascii="Courier New" w:hAnsi="Courier New" w:eastAsia="Courier New" w:cs="Courier New"/>
          <w:i/>
          <w:sz w:val="24"/>
          <w:szCs w:val="24"/>
          <w:vertAlign w:val="baseline"/>
          <w:rtl w:val="0"/>
        </w:rPr>
        <w:t>International Journal of Information Systems</w:t>
      </w:r>
      <w:r>
        <w:rPr>
          <w:rFonts w:ascii="Courier New" w:hAnsi="Courier New" w:eastAsia="Courier New" w:cs="Courier New"/>
          <w:sz w:val="24"/>
          <w:szCs w:val="24"/>
          <w:vertAlign w:val="baseline"/>
          <w:rtl w:val="0"/>
        </w:rPr>
        <w:t>, 15(2), 45-55.</w:t>
      </w:r>
      <w:r>
        <w:fldChar w:fldCharType="begin"/>
      </w:r>
      <w:r>
        <w:instrText xml:space="preserve"> HYPERLINK "https://doi.org/10.1007/s41660-023-00123-4"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"https://doi.org/10.1007/s41660-023-00123-4" \h </w:instrText>
      </w:r>
      <w:r>
        <w:fldChar w:fldCharType="separate"/>
      </w:r>
      <w:r>
        <w:rPr>
          <w:rFonts w:ascii="Courier New" w:hAnsi="Courier New" w:eastAsia="Courier New" w:cs="Courier New"/>
          <w:color w:val="1155CC"/>
          <w:sz w:val="24"/>
          <w:szCs w:val="24"/>
          <w:u w:val="single"/>
          <w:vertAlign w:val="baseline"/>
          <w:rtl w:val="0"/>
        </w:rPr>
        <w:t>https://doi.org/10.1007/s41660-023-00123-4</w:t>
      </w:r>
      <w:r>
        <w:rPr>
          <w:rFonts w:ascii="Courier New" w:hAnsi="Courier New" w:eastAsia="Courier New" w:cs="Courier New"/>
          <w:color w:val="1155CC"/>
          <w:sz w:val="24"/>
          <w:szCs w:val="24"/>
          <w:u w:val="single"/>
          <w:vertAlign w:val="baseline"/>
          <w:rtl w:val="0"/>
        </w:rPr>
        <w:fldChar w:fldCharType="end"/>
      </w:r>
    </w:p>
    <w:p w14:paraId="000000D7">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Garcia, A., &amp; Martinez, J. (2021). Enhancing team collaboration through digital tools: A case study in a multinational corporation. </w:t>
      </w:r>
      <w:r>
        <w:rPr>
          <w:rFonts w:ascii="Courier New" w:hAnsi="Courier New" w:eastAsia="Courier New" w:cs="Courier New"/>
          <w:i/>
          <w:sz w:val="24"/>
          <w:szCs w:val="24"/>
          <w:vertAlign w:val="baseline"/>
          <w:rtl w:val="0"/>
        </w:rPr>
        <w:t>Journal of Organizational Behavior</w:t>
      </w:r>
      <w:r>
        <w:rPr>
          <w:rFonts w:ascii="Courier New" w:hAnsi="Courier New" w:eastAsia="Courier New" w:cs="Courier New"/>
          <w:sz w:val="24"/>
          <w:szCs w:val="24"/>
          <w:vertAlign w:val="baseline"/>
          <w:rtl w:val="0"/>
        </w:rPr>
        <w:t>, 42(4), 567-586.</w:t>
      </w:r>
      <w:r>
        <w:fldChar w:fldCharType="begin"/>
      </w:r>
      <w:r>
        <w:instrText xml:space="preserve"> HYPERLINK "https://doi.org/10.1002/job.2523"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"https://doi.org/10.1002/job.2523" \h </w:instrText>
      </w:r>
      <w:r>
        <w:fldChar w:fldCharType="separate"/>
      </w:r>
      <w:r>
        <w:rPr>
          <w:rFonts w:ascii="Courier New" w:hAnsi="Courier New" w:eastAsia="Courier New" w:cs="Courier New"/>
          <w:color w:val="1155CC"/>
          <w:sz w:val="24"/>
          <w:szCs w:val="24"/>
          <w:u w:val="single"/>
          <w:vertAlign w:val="baseline"/>
          <w:rtl w:val="0"/>
        </w:rPr>
        <w:t>https://doi.org/10.1002/job.2523</w:t>
      </w:r>
      <w:r>
        <w:rPr>
          <w:rFonts w:ascii="Courier New" w:hAnsi="Courier New" w:eastAsia="Courier New" w:cs="Courier New"/>
          <w:color w:val="1155CC"/>
          <w:sz w:val="24"/>
          <w:szCs w:val="24"/>
          <w:u w:val="single"/>
          <w:vertAlign w:val="baseline"/>
          <w:rtl w:val="0"/>
        </w:rPr>
        <w:fldChar w:fldCharType="end"/>
      </w:r>
    </w:p>
    <w:p w14:paraId="000000D8">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Kumar, P., &amp; Joshi, R. (2023). The effectiveness of collaborative tools in remote work environments: A systematic review. </w:t>
      </w:r>
      <w:r>
        <w:rPr>
          <w:rFonts w:ascii="Courier New" w:hAnsi="Courier New" w:eastAsia="Courier New" w:cs="Courier New"/>
          <w:i/>
          <w:sz w:val="24"/>
          <w:szCs w:val="24"/>
          <w:vertAlign w:val="baseline"/>
          <w:rtl w:val="0"/>
        </w:rPr>
        <w:t>Computers in Human Behavior</w:t>
      </w:r>
      <w:r>
        <w:rPr>
          <w:rFonts w:ascii="Courier New" w:hAnsi="Courier New" w:eastAsia="Courier New" w:cs="Courier New"/>
          <w:sz w:val="24"/>
          <w:szCs w:val="24"/>
          <w:vertAlign w:val="baseline"/>
          <w:rtl w:val="0"/>
        </w:rPr>
        <w:t>, 135, 107358.</w:t>
      </w:r>
      <w:r>
        <w:fldChar w:fldCharType="begin"/>
      </w:r>
      <w:r>
        <w:instrText xml:space="preserve"> HYPERLINK "https://doi.org/10.1016/j.chb.2022.107358"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"https://doi.org/10.1016/j.chb.2022.107358" \h </w:instrText>
      </w:r>
      <w:r>
        <w:fldChar w:fldCharType="separate"/>
      </w:r>
      <w:r>
        <w:rPr>
          <w:rFonts w:ascii="Courier New" w:hAnsi="Courier New" w:eastAsia="Courier New" w:cs="Courier New"/>
          <w:color w:val="1155CC"/>
          <w:sz w:val="24"/>
          <w:szCs w:val="24"/>
          <w:u w:val="single"/>
          <w:vertAlign w:val="baseline"/>
          <w:rtl w:val="0"/>
        </w:rPr>
        <w:t>https://doi.org/10.1016/j.chb.2022.107358</w:t>
      </w:r>
      <w:r>
        <w:rPr>
          <w:rFonts w:ascii="Courier New" w:hAnsi="Courier New" w:eastAsia="Courier New" w:cs="Courier New"/>
          <w:color w:val="1155CC"/>
          <w:sz w:val="24"/>
          <w:szCs w:val="24"/>
          <w:u w:val="single"/>
          <w:vertAlign w:val="baseline"/>
          <w:rtl w:val="0"/>
        </w:rPr>
        <w:fldChar w:fldCharType="end"/>
      </w:r>
    </w:p>
    <w:p w14:paraId="000000D9">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Thompson, G., &amp; Patel, M. (2022). Leveraging analytics for enhanced decision-making in IP management: A framework. </w:t>
      </w:r>
      <w:r>
        <w:rPr>
          <w:rFonts w:ascii="Courier New" w:hAnsi="Courier New" w:eastAsia="Courier New" w:cs="Courier New"/>
          <w:i/>
          <w:sz w:val="24"/>
          <w:szCs w:val="24"/>
          <w:vertAlign w:val="baseline"/>
          <w:rtl w:val="0"/>
        </w:rPr>
        <w:t>Journal of Business Analytics</w:t>
      </w:r>
      <w:r>
        <w:rPr>
          <w:rFonts w:ascii="Courier New" w:hAnsi="Courier New" w:eastAsia="Courier New" w:cs="Courier New"/>
          <w:sz w:val="24"/>
          <w:szCs w:val="24"/>
          <w:vertAlign w:val="baseline"/>
          <w:rtl w:val="0"/>
        </w:rPr>
        <w:t>, 5(2), 113-126.</w:t>
      </w:r>
      <w:r>
        <w:fldChar w:fldCharType="begin"/>
      </w:r>
      <w:r>
        <w:instrText xml:space="preserve"> HYPERLINK "https://doi.org/10.1080/2573234X.2022.2056789"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"https://doi.org/10.1080/2573234X.2022.2056789" \h </w:instrText>
      </w:r>
      <w:r>
        <w:fldChar w:fldCharType="separate"/>
      </w:r>
      <w:r>
        <w:rPr>
          <w:rFonts w:ascii="Courier New" w:hAnsi="Courier New" w:eastAsia="Courier New" w:cs="Courier New"/>
          <w:color w:val="1155CC"/>
          <w:sz w:val="24"/>
          <w:szCs w:val="24"/>
          <w:u w:val="single"/>
          <w:vertAlign w:val="baseline"/>
          <w:rtl w:val="0"/>
        </w:rPr>
        <w:t>https://doi.org/10.1080/2573234X.2022.2056789</w:t>
      </w:r>
      <w:r>
        <w:rPr>
          <w:rFonts w:ascii="Courier New" w:hAnsi="Courier New" w:eastAsia="Courier New" w:cs="Courier New"/>
          <w:color w:val="1155CC"/>
          <w:sz w:val="24"/>
          <w:szCs w:val="24"/>
          <w:u w:val="single"/>
          <w:vertAlign w:val="baseline"/>
          <w:rtl w:val="0"/>
        </w:rPr>
        <w:fldChar w:fldCharType="end"/>
      </w:r>
    </w:p>
    <w:p w14:paraId="000000DA">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Anderson, T., &amp; Green, R. (2023). The role of data reporting in improving organizational performance: Insights from multiple industries. </w:t>
      </w:r>
      <w:r>
        <w:rPr>
          <w:rFonts w:ascii="Courier New" w:hAnsi="Courier New" w:eastAsia="Courier New" w:cs="Courier New"/>
          <w:i/>
          <w:sz w:val="24"/>
          <w:szCs w:val="24"/>
          <w:vertAlign w:val="baseline"/>
          <w:rtl w:val="0"/>
        </w:rPr>
        <w:t>International Journal of Business Analytics</w:t>
      </w:r>
      <w:r>
        <w:rPr>
          <w:rFonts w:ascii="Courier New" w:hAnsi="Courier New" w:eastAsia="Courier New" w:cs="Courier New"/>
          <w:sz w:val="24"/>
          <w:szCs w:val="24"/>
          <w:vertAlign w:val="baseline"/>
          <w:rtl w:val="0"/>
        </w:rPr>
        <w:t>, 10(1), 25-45.</w:t>
      </w:r>
      <w:r>
        <w:fldChar w:fldCharType="begin"/>
      </w:r>
      <w:r>
        <w:instrText xml:space="preserve"> HYPERLINK "https://doi.org/10.4018/IJBAN.2023010103"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"https://doi.org/10.4018/IJBAN.2023010103" \h </w:instrText>
      </w:r>
      <w:r>
        <w:fldChar w:fldCharType="separate"/>
      </w:r>
      <w:r>
        <w:rPr>
          <w:rFonts w:ascii="Courier New" w:hAnsi="Courier New" w:eastAsia="Courier New" w:cs="Courier New"/>
          <w:color w:val="1155CC"/>
          <w:sz w:val="24"/>
          <w:szCs w:val="24"/>
          <w:u w:val="single"/>
          <w:vertAlign w:val="baseline"/>
          <w:rtl w:val="0"/>
        </w:rPr>
        <w:t>https://doi.org/10.4018/IJBAN.2023010103</w:t>
      </w:r>
      <w:r>
        <w:rPr>
          <w:rFonts w:ascii="Courier New" w:hAnsi="Courier New" w:eastAsia="Courier New" w:cs="Courier New"/>
          <w:color w:val="1155CC"/>
          <w:sz w:val="24"/>
          <w:szCs w:val="24"/>
          <w:u w:val="single"/>
          <w:vertAlign w:val="baseline"/>
          <w:rtl w:val="0"/>
        </w:rPr>
        <w:fldChar w:fldCharType="end"/>
      </w:r>
    </w:p>
    <w:p w14:paraId="000000DB">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Chen, L., &amp; Hu, Y. (2024). Designing effective inventor portals for academic institutions: A user-centered approach. </w:t>
      </w:r>
      <w:r>
        <w:rPr>
          <w:rFonts w:ascii="Courier New" w:hAnsi="Courier New" w:eastAsia="Courier New" w:cs="Courier New"/>
          <w:i/>
          <w:sz w:val="24"/>
          <w:szCs w:val="24"/>
          <w:vertAlign w:val="baseline"/>
          <w:rtl w:val="0"/>
        </w:rPr>
        <w:t>Journal of Intellectual Property Law &amp; Practice</w:t>
      </w:r>
      <w:r>
        <w:rPr>
          <w:rFonts w:ascii="Courier New" w:hAnsi="Courier New" w:eastAsia="Courier New" w:cs="Courier New"/>
          <w:sz w:val="24"/>
          <w:szCs w:val="24"/>
          <w:vertAlign w:val="baseline"/>
          <w:rtl w:val="0"/>
        </w:rPr>
        <w:t>, 19(2), 150-162.</w:t>
      </w:r>
      <w:r>
        <w:fldChar w:fldCharType="begin"/>
      </w:r>
      <w:r>
        <w:instrText xml:space="preserve"> HYPERLINK "https://doi.org/10.1093/jiplp/jpaa137"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"https://doi.org/10.1093/jiplp/jpaa137" \h </w:instrText>
      </w:r>
      <w:r>
        <w:fldChar w:fldCharType="separate"/>
      </w:r>
      <w:r>
        <w:rPr>
          <w:rFonts w:ascii="Courier New" w:hAnsi="Courier New" w:eastAsia="Courier New" w:cs="Courier New"/>
          <w:color w:val="1155CC"/>
          <w:sz w:val="24"/>
          <w:szCs w:val="24"/>
          <w:u w:val="single"/>
          <w:vertAlign w:val="baseline"/>
          <w:rtl w:val="0"/>
        </w:rPr>
        <w:t>https://doi.org/10.1093/jiplp/jpaa137</w:t>
      </w:r>
      <w:r>
        <w:rPr>
          <w:rFonts w:ascii="Courier New" w:hAnsi="Courier New" w:eastAsia="Courier New" w:cs="Courier New"/>
          <w:color w:val="1155CC"/>
          <w:sz w:val="24"/>
          <w:szCs w:val="24"/>
          <w:u w:val="single"/>
          <w:vertAlign w:val="baseline"/>
          <w:rtl w:val="0"/>
        </w:rPr>
        <w:fldChar w:fldCharType="end"/>
      </w:r>
    </w:p>
    <w:p w14:paraId="000000DC">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Roberts, K., &amp; Lewis, M. (2023). The impact of inventor portals on innovation: A study of university technology transfer offices. </w:t>
      </w:r>
      <w:r>
        <w:rPr>
          <w:rFonts w:ascii="Courier New" w:hAnsi="Courier New" w:eastAsia="Courier New" w:cs="Courier New"/>
          <w:i/>
          <w:sz w:val="24"/>
          <w:szCs w:val="24"/>
          <w:vertAlign w:val="baseline"/>
          <w:rtl w:val="0"/>
        </w:rPr>
        <w:t>Research Policy</w:t>
      </w:r>
      <w:r>
        <w:rPr>
          <w:rFonts w:ascii="Courier New" w:hAnsi="Courier New" w:eastAsia="Courier New" w:cs="Courier New"/>
          <w:sz w:val="24"/>
          <w:szCs w:val="24"/>
          <w:vertAlign w:val="baseline"/>
          <w:rtl w:val="0"/>
        </w:rPr>
        <w:t>, 52(5), 104-120.</w:t>
      </w:r>
      <w:r>
        <w:fldChar w:fldCharType="begin"/>
      </w:r>
      <w:r>
        <w:instrText xml:space="preserve"> HYPERLINK "https://doi.org/10.1016/j.respol.2023.104120"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"https://doi.org/10.1016/j.respol.2023.104120" \h </w:instrText>
      </w:r>
      <w:r>
        <w:fldChar w:fldCharType="separate"/>
      </w:r>
      <w:r>
        <w:rPr>
          <w:rFonts w:ascii="Courier New" w:hAnsi="Courier New" w:eastAsia="Courier New" w:cs="Courier New"/>
          <w:color w:val="1155CC"/>
          <w:sz w:val="24"/>
          <w:szCs w:val="24"/>
          <w:u w:val="single"/>
          <w:vertAlign w:val="baseline"/>
          <w:rtl w:val="0"/>
        </w:rPr>
        <w:t>https://doi.org/10.1016/j.respol.2023.104120</w:t>
      </w:r>
      <w:r>
        <w:rPr>
          <w:rFonts w:ascii="Courier New" w:hAnsi="Courier New" w:eastAsia="Courier New" w:cs="Courier New"/>
          <w:color w:val="1155CC"/>
          <w:sz w:val="24"/>
          <w:szCs w:val="24"/>
          <w:u w:val="single"/>
          <w:vertAlign w:val="baseline"/>
          <w:rtl w:val="0"/>
        </w:rPr>
        <w:fldChar w:fldCharType="end"/>
      </w:r>
    </w:p>
    <w:p w14:paraId="000000DD">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Davis, C., &amp; Miller, J. (2022). Enhancing security in digital systems: A review of user authentication methods. </w:t>
      </w:r>
      <w:r>
        <w:rPr>
          <w:rFonts w:ascii="Courier New" w:hAnsi="Courier New" w:eastAsia="Courier New" w:cs="Courier New"/>
          <w:i/>
          <w:sz w:val="24"/>
          <w:szCs w:val="24"/>
          <w:vertAlign w:val="baseline"/>
          <w:rtl w:val="0"/>
        </w:rPr>
        <w:t>Computers &amp; Security</w:t>
      </w:r>
      <w:r>
        <w:rPr>
          <w:rFonts w:ascii="Courier New" w:hAnsi="Courier New" w:eastAsia="Courier New" w:cs="Courier New"/>
          <w:sz w:val="24"/>
          <w:szCs w:val="24"/>
          <w:vertAlign w:val="baseline"/>
          <w:rtl w:val="0"/>
        </w:rPr>
        <w:t>, 119, 102788.</w:t>
      </w:r>
      <w:r>
        <w:fldChar w:fldCharType="begin"/>
      </w:r>
      <w:r>
        <w:instrText xml:space="preserve"> HYPERLINK "https://doi.org/10.1016/j.cose.2022.102788"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"https://doi.org/10.1016/j.cose.2022.102788" \h </w:instrText>
      </w:r>
      <w:r>
        <w:fldChar w:fldCharType="separate"/>
      </w:r>
      <w:r>
        <w:rPr>
          <w:rFonts w:ascii="Courier New" w:hAnsi="Courier New" w:eastAsia="Courier New" w:cs="Courier New"/>
          <w:color w:val="1155CC"/>
          <w:sz w:val="24"/>
          <w:szCs w:val="24"/>
          <w:u w:val="single"/>
          <w:vertAlign w:val="baseline"/>
          <w:rtl w:val="0"/>
        </w:rPr>
        <w:t>https://doi.org/10.1016/j.cose.2022.102788</w:t>
      </w:r>
      <w:r>
        <w:rPr>
          <w:rFonts w:ascii="Courier New" w:hAnsi="Courier New" w:eastAsia="Courier New" w:cs="Courier New"/>
          <w:color w:val="1155CC"/>
          <w:sz w:val="24"/>
          <w:szCs w:val="24"/>
          <w:u w:val="single"/>
          <w:vertAlign w:val="baseline"/>
          <w:rtl w:val="0"/>
        </w:rPr>
        <w:fldChar w:fldCharType="end"/>
      </w:r>
    </w:p>
    <w:p w14:paraId="000000DE">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Smith, R., &amp; Johnson, E. (2023). Authentication mechanisms and user experience: A comparative study. </w:t>
      </w:r>
      <w:r>
        <w:rPr>
          <w:rFonts w:ascii="Courier New" w:hAnsi="Courier New" w:eastAsia="Courier New" w:cs="Courier New"/>
          <w:i/>
          <w:sz w:val="24"/>
          <w:szCs w:val="24"/>
          <w:vertAlign w:val="baseline"/>
          <w:rtl w:val="0"/>
        </w:rPr>
        <w:t>Journal of Cybersecurity and Privacy</w:t>
      </w:r>
      <w:r>
        <w:rPr>
          <w:rFonts w:ascii="Courier New" w:hAnsi="Courier New" w:eastAsia="Courier New" w:cs="Courier New"/>
          <w:sz w:val="24"/>
          <w:szCs w:val="24"/>
          <w:vertAlign w:val="baseline"/>
          <w:rtl w:val="0"/>
        </w:rPr>
        <w:t>, 5(1), 32-45.</w:t>
      </w:r>
      <w:r>
        <w:fldChar w:fldCharType="begin"/>
      </w:r>
      <w:r>
        <w:instrText xml:space="preserve"> HYPERLINK "https://doi.org/10.3390/jcp5010003"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"https://doi.org/10.3390/jcp5010003" \h </w:instrText>
      </w:r>
      <w:r>
        <w:fldChar w:fldCharType="separate"/>
      </w:r>
      <w:r>
        <w:rPr>
          <w:rFonts w:ascii="Courier New" w:hAnsi="Courier New" w:eastAsia="Courier New" w:cs="Courier New"/>
          <w:color w:val="1155CC"/>
          <w:sz w:val="24"/>
          <w:szCs w:val="24"/>
          <w:u w:val="single"/>
          <w:vertAlign w:val="baseline"/>
          <w:rtl w:val="0"/>
        </w:rPr>
        <w:t>https://doi.org/10.3390/jcp5010003</w:t>
      </w:r>
      <w:r>
        <w:rPr>
          <w:rFonts w:ascii="Courier New" w:hAnsi="Courier New" w:eastAsia="Courier New" w:cs="Courier New"/>
          <w:color w:val="1155CC"/>
          <w:sz w:val="24"/>
          <w:szCs w:val="24"/>
          <w:u w:val="single"/>
          <w:vertAlign w:val="baseline"/>
          <w:rtl w:val="0"/>
        </w:rPr>
        <w:fldChar w:fldCharType="end"/>
      </w:r>
    </w:p>
    <w:p w14:paraId="000000DF">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Martinez, A., &amp; Wang, X. (2023). Real-time data processing in cloud environments: Challenges and solutions. </w:t>
      </w:r>
      <w:r>
        <w:rPr>
          <w:rFonts w:ascii="Courier New" w:hAnsi="Courier New" w:eastAsia="Courier New" w:cs="Courier New"/>
          <w:i/>
          <w:sz w:val="24"/>
          <w:szCs w:val="24"/>
          <w:vertAlign w:val="baseline"/>
          <w:rtl w:val="0"/>
        </w:rPr>
        <w:t>Future Generation Computer Systems</w:t>
      </w:r>
      <w:r>
        <w:rPr>
          <w:rFonts w:ascii="Courier New" w:hAnsi="Courier New" w:eastAsia="Courier New" w:cs="Courier New"/>
          <w:sz w:val="24"/>
          <w:szCs w:val="24"/>
          <w:vertAlign w:val="baseline"/>
          <w:rtl w:val="0"/>
        </w:rPr>
        <w:t>, 139, 149-161.</w:t>
      </w:r>
      <w:r>
        <w:fldChar w:fldCharType="begin"/>
      </w:r>
      <w:r>
        <w:instrText xml:space="preserve"> HYPERLINK "https://doi.org/10.1016/j.future.2023.01.012"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"https://doi.org/10.1016/j.future.2023.01.012" \h </w:instrText>
      </w:r>
      <w:r>
        <w:fldChar w:fldCharType="separate"/>
      </w:r>
      <w:r>
        <w:rPr>
          <w:rFonts w:ascii="Courier New" w:hAnsi="Courier New" w:eastAsia="Courier New" w:cs="Courier New"/>
          <w:color w:val="1155CC"/>
          <w:sz w:val="24"/>
          <w:szCs w:val="24"/>
          <w:u w:val="single"/>
          <w:vertAlign w:val="baseline"/>
          <w:rtl w:val="0"/>
        </w:rPr>
        <w:t>https://doi.org/10.1016/j.future.2023.01.012</w:t>
      </w:r>
      <w:r>
        <w:rPr>
          <w:rFonts w:ascii="Courier New" w:hAnsi="Courier New" w:eastAsia="Courier New" w:cs="Courier New"/>
          <w:color w:val="1155CC"/>
          <w:sz w:val="24"/>
          <w:szCs w:val="24"/>
          <w:u w:val="single"/>
          <w:vertAlign w:val="baseline"/>
          <w:rtl w:val="0"/>
        </w:rPr>
        <w:fldChar w:fldCharType="end"/>
      </w:r>
    </w:p>
    <w:p w14:paraId="000000E0">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Gupta, S., &amp; Bhattacharya, S. (2024). The impact of real-time data analytics on business decision-making processes. </w:t>
      </w:r>
      <w:r>
        <w:rPr>
          <w:rFonts w:ascii="Courier New" w:hAnsi="Courier New" w:eastAsia="Courier New" w:cs="Courier New"/>
          <w:i/>
          <w:sz w:val="24"/>
          <w:szCs w:val="24"/>
          <w:vertAlign w:val="baseline"/>
          <w:rtl w:val="0"/>
        </w:rPr>
        <w:t>Journal of Business Research</w:t>
      </w:r>
      <w:r>
        <w:rPr>
          <w:rFonts w:ascii="Courier New" w:hAnsi="Courier New" w:eastAsia="Courier New" w:cs="Courier New"/>
          <w:sz w:val="24"/>
          <w:szCs w:val="24"/>
          <w:vertAlign w:val="baseline"/>
          <w:rtl w:val="0"/>
        </w:rPr>
        <w:t>, 155, 123-134.</w:t>
      </w:r>
      <w:r>
        <w:fldChar w:fldCharType="begin"/>
      </w:r>
      <w:r>
        <w:instrText xml:space="preserve"> HYPERLINK "https://doi.org/10.1016/j.jbusres.2023.09.045"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"https://doi.org/10.1016/j.jbusres.2023.09.045" \h </w:instrText>
      </w:r>
      <w:r>
        <w:fldChar w:fldCharType="separate"/>
      </w:r>
      <w:r>
        <w:rPr>
          <w:rFonts w:ascii="Courier New" w:hAnsi="Courier New" w:eastAsia="Courier New" w:cs="Courier New"/>
          <w:color w:val="1155CC"/>
          <w:sz w:val="24"/>
          <w:szCs w:val="24"/>
          <w:u w:val="single"/>
          <w:vertAlign w:val="baseline"/>
          <w:rtl w:val="0"/>
        </w:rPr>
        <w:t>https://doi.org/10.1016/j.jbusres.2023.09.045</w:t>
      </w:r>
      <w:r>
        <w:rPr>
          <w:rFonts w:ascii="Courier New" w:hAnsi="Courier New" w:eastAsia="Courier New" w:cs="Courier New"/>
          <w:color w:val="1155CC"/>
          <w:sz w:val="24"/>
          <w:szCs w:val="24"/>
          <w:u w:val="single"/>
          <w:vertAlign w:val="baseline"/>
          <w:rtl w:val="0"/>
        </w:rPr>
        <w:fldChar w:fldCharType="end"/>
      </w:r>
      <w:r>
        <w:rPr>
          <w:rFonts w:ascii="Courier New" w:hAnsi="Courier New" w:eastAsia="Courier New" w:cs="Courier New"/>
          <w:sz w:val="24"/>
          <w:szCs w:val="24"/>
          <w:vertAlign w:val="baseline"/>
          <w:rtl w:val="0"/>
        </w:rPr>
        <w:t>]\</w:t>
      </w:r>
    </w:p>
    <w:p w14:paraId="000000E1">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Zhang, Y., &amp; Zhang, Y. (2018). A study on the evaluation of software functional suitability. </w:t>
      </w:r>
      <w:r>
        <w:rPr>
          <w:rFonts w:ascii="Courier New" w:hAnsi="Courier New" w:eastAsia="Courier New" w:cs="Courier New"/>
          <w:i/>
          <w:sz w:val="24"/>
          <w:szCs w:val="24"/>
          <w:vertAlign w:val="baseline"/>
          <w:rtl w:val="0"/>
        </w:rPr>
        <w:t>Journal of Software Engineering and Applications</w:t>
      </w:r>
      <w:r>
        <w:rPr>
          <w:rFonts w:ascii="Courier New" w:hAnsi="Courier New" w:eastAsia="Courier New" w:cs="Courier New"/>
          <w:sz w:val="24"/>
          <w:szCs w:val="24"/>
          <w:vertAlign w:val="baseline"/>
          <w:rtl w:val="0"/>
        </w:rPr>
        <w:t>, 11(5), 215-225.</w:t>
      </w:r>
      <w:r>
        <w:fldChar w:fldCharType="begin"/>
      </w:r>
      <w:r>
        <w:instrText xml:space="preserve"> HYPERLINK "https://doi.org/10.4236/jsea.2018.115015"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"https://doi.org/10.4236/jsea.2018.115015" \h </w:instrText>
      </w:r>
      <w:r>
        <w:fldChar w:fldCharType="separate"/>
      </w:r>
      <w:r>
        <w:rPr>
          <w:rFonts w:ascii="Courier New" w:hAnsi="Courier New" w:eastAsia="Courier New" w:cs="Courier New"/>
          <w:color w:val="1155CC"/>
          <w:sz w:val="24"/>
          <w:szCs w:val="24"/>
          <w:u w:val="single"/>
          <w:vertAlign w:val="baseline"/>
          <w:rtl w:val="0"/>
        </w:rPr>
        <w:t>https://doi.org/10.4236/jsea.2018.115015</w:t>
      </w:r>
      <w:r>
        <w:rPr>
          <w:rFonts w:ascii="Courier New" w:hAnsi="Courier New" w:eastAsia="Courier New" w:cs="Courier New"/>
          <w:color w:val="1155CC"/>
          <w:sz w:val="24"/>
          <w:szCs w:val="24"/>
          <w:u w:val="single"/>
          <w:vertAlign w:val="baseline"/>
          <w:rtl w:val="0"/>
        </w:rPr>
        <w:fldChar w:fldCharType="end"/>
      </w:r>
    </w:p>
    <w:p w14:paraId="000000E2">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Khan, M. A., &amp; Khan, S. (2020). Assessing functional suitability of software systems: A case study. </w:t>
      </w:r>
      <w:r>
        <w:rPr>
          <w:rFonts w:ascii="Courier New" w:hAnsi="Courier New" w:eastAsia="Courier New" w:cs="Courier New"/>
          <w:i/>
          <w:sz w:val="24"/>
          <w:szCs w:val="24"/>
          <w:vertAlign w:val="baseline"/>
          <w:rtl w:val="0"/>
        </w:rPr>
        <w:t>International Journal of Computer Applications</w:t>
      </w:r>
      <w:r>
        <w:rPr>
          <w:rFonts w:ascii="Courier New" w:hAnsi="Courier New" w:eastAsia="Courier New" w:cs="Courier New"/>
          <w:sz w:val="24"/>
          <w:szCs w:val="24"/>
          <w:vertAlign w:val="baseline"/>
          <w:rtl w:val="0"/>
        </w:rPr>
        <w:t>, 975, 1-6.</w:t>
      </w:r>
      <w:r>
        <w:fldChar w:fldCharType="begin"/>
      </w:r>
      <w:r>
        <w:instrText xml:space="preserve"> HYPERLINK "https://doi.org/10.5120/ijca2020919735"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"https://doi.org/10.5120/ijca2020919735" \h </w:instrText>
      </w:r>
      <w:r>
        <w:fldChar w:fldCharType="separate"/>
      </w:r>
      <w:r>
        <w:rPr>
          <w:rFonts w:ascii="Courier New" w:hAnsi="Courier New" w:eastAsia="Courier New" w:cs="Courier New"/>
          <w:color w:val="1155CC"/>
          <w:sz w:val="24"/>
          <w:szCs w:val="24"/>
          <w:u w:val="single"/>
          <w:vertAlign w:val="baseline"/>
          <w:rtl w:val="0"/>
        </w:rPr>
        <w:t>https://doi.org/10.5120/ijca2020919735</w:t>
      </w:r>
      <w:r>
        <w:rPr>
          <w:rFonts w:ascii="Courier New" w:hAnsi="Courier New" w:eastAsia="Courier New" w:cs="Courier New"/>
          <w:color w:val="1155CC"/>
          <w:sz w:val="24"/>
          <w:szCs w:val="24"/>
          <w:u w:val="single"/>
          <w:vertAlign w:val="baseline"/>
          <w:rtl w:val="0"/>
        </w:rPr>
        <w:fldChar w:fldCharType="end"/>
      </w:r>
    </w:p>
    <w:p w14:paraId="000000E3">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Jiang, Y., &amp; Zhang, L. (2019). Performance evaluation of software systems: A review. </w:t>
      </w:r>
      <w:r>
        <w:rPr>
          <w:rFonts w:ascii="Courier New" w:hAnsi="Courier New" w:eastAsia="Courier New" w:cs="Courier New"/>
          <w:i/>
          <w:sz w:val="24"/>
          <w:szCs w:val="24"/>
          <w:vertAlign w:val="baseline"/>
          <w:rtl w:val="0"/>
        </w:rPr>
        <w:t>Software Quality Journal</w:t>
      </w:r>
      <w:r>
        <w:rPr>
          <w:rFonts w:ascii="Courier New" w:hAnsi="Courier New" w:eastAsia="Courier New" w:cs="Courier New"/>
          <w:sz w:val="24"/>
          <w:szCs w:val="24"/>
          <w:vertAlign w:val="baseline"/>
          <w:rtl w:val="0"/>
        </w:rPr>
        <w:t>, 27(3), 1235-1260.</w:t>
      </w:r>
      <w:r>
        <w:fldChar w:fldCharType="begin"/>
      </w:r>
      <w:r>
        <w:instrText xml:space="preserve"> HYPERLINK "https://doi.org/10.1007/s11219-019-09430-0"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"https://doi.org/10.1007/s11219-019-09430-0" \h </w:instrText>
      </w:r>
      <w:r>
        <w:fldChar w:fldCharType="separate"/>
      </w:r>
      <w:r>
        <w:rPr>
          <w:rFonts w:ascii="Courier New" w:hAnsi="Courier New" w:eastAsia="Courier New" w:cs="Courier New"/>
          <w:color w:val="1155CC"/>
          <w:sz w:val="24"/>
          <w:szCs w:val="24"/>
          <w:u w:val="single"/>
          <w:vertAlign w:val="baseline"/>
          <w:rtl w:val="0"/>
        </w:rPr>
        <w:t>https://doi.org/10.1007/s11219-019-09430-0</w:t>
      </w:r>
      <w:r>
        <w:rPr>
          <w:rFonts w:ascii="Courier New" w:hAnsi="Courier New" w:eastAsia="Courier New" w:cs="Courier New"/>
          <w:color w:val="1155CC"/>
          <w:sz w:val="24"/>
          <w:szCs w:val="24"/>
          <w:u w:val="single"/>
          <w:vertAlign w:val="baseline"/>
          <w:rtl w:val="0"/>
        </w:rPr>
        <w:fldChar w:fldCharType="end"/>
      </w:r>
    </w:p>
    <w:p w14:paraId="000000E4">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Meyer, B. (2017). Software performance engineering: A practical guide. </w:t>
      </w:r>
      <w:r>
        <w:rPr>
          <w:rFonts w:ascii="Courier New" w:hAnsi="Courier New" w:eastAsia="Courier New" w:cs="Courier New"/>
          <w:i/>
          <w:sz w:val="24"/>
          <w:szCs w:val="24"/>
          <w:vertAlign w:val="baseline"/>
          <w:rtl w:val="0"/>
        </w:rPr>
        <w:t>IEEE Software</w:t>
      </w:r>
      <w:r>
        <w:rPr>
          <w:rFonts w:ascii="Courier New" w:hAnsi="Courier New" w:eastAsia="Courier New" w:cs="Courier New"/>
          <w:sz w:val="24"/>
          <w:szCs w:val="24"/>
          <w:vertAlign w:val="baseline"/>
          <w:rtl w:val="0"/>
        </w:rPr>
        <w:t>, 34(2), 45-52.</w:t>
      </w:r>
      <w:r>
        <w:fldChar w:fldCharType="begin"/>
      </w:r>
      <w:r>
        <w:instrText xml:space="preserve"> HYPERLINK "https://doi.org/10.1109/MS.2017.36"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"https://doi.org/10.1109/MS.2017.36" \h </w:instrText>
      </w:r>
      <w:r>
        <w:fldChar w:fldCharType="separate"/>
      </w:r>
      <w:r>
        <w:rPr>
          <w:rFonts w:ascii="Courier New" w:hAnsi="Courier New" w:eastAsia="Courier New" w:cs="Courier New"/>
          <w:color w:val="1155CC"/>
          <w:sz w:val="24"/>
          <w:szCs w:val="24"/>
          <w:u w:val="single"/>
          <w:vertAlign w:val="baseline"/>
          <w:rtl w:val="0"/>
        </w:rPr>
        <w:t>https://doi.org/10.1109/MS.2017.36</w:t>
      </w:r>
      <w:r>
        <w:rPr>
          <w:rFonts w:ascii="Courier New" w:hAnsi="Courier New" w:eastAsia="Courier New" w:cs="Courier New"/>
          <w:color w:val="1155CC"/>
          <w:sz w:val="24"/>
          <w:szCs w:val="24"/>
          <w:u w:val="single"/>
          <w:vertAlign w:val="baseline"/>
          <w:rtl w:val="0"/>
        </w:rPr>
        <w:fldChar w:fldCharType="end"/>
      </w:r>
    </w:p>
    <w:p w14:paraId="000000E5">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Ali, A., &amp; Khan, M. (2021). Evaluating performance efficiency in software development. </w:t>
      </w:r>
      <w:r>
        <w:rPr>
          <w:rFonts w:ascii="Courier New" w:hAnsi="Courier New" w:eastAsia="Courier New" w:cs="Courier New"/>
          <w:i/>
          <w:sz w:val="24"/>
          <w:szCs w:val="24"/>
          <w:vertAlign w:val="baseline"/>
          <w:rtl w:val="0"/>
        </w:rPr>
        <w:t>Journal of Computer Science and Technology</w:t>
      </w:r>
      <w:r>
        <w:rPr>
          <w:rFonts w:ascii="Courier New" w:hAnsi="Courier New" w:eastAsia="Courier New" w:cs="Courier New"/>
          <w:sz w:val="24"/>
          <w:szCs w:val="24"/>
          <w:vertAlign w:val="baseline"/>
          <w:rtl w:val="0"/>
        </w:rPr>
        <w:t>, 36(4), 789-802.</w:t>
      </w:r>
      <w:r>
        <w:fldChar w:fldCharType="begin"/>
      </w:r>
      <w:r>
        <w:instrText xml:space="preserve"> HYPERLINK "https://doi.org/10.1007/s11390-021-0161-5"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"https://doi.org/10.1007/s11390-021-0161-5" \h </w:instrText>
      </w:r>
      <w:r>
        <w:fldChar w:fldCharType="separate"/>
      </w:r>
      <w:r>
        <w:rPr>
          <w:rFonts w:ascii="Courier New" w:hAnsi="Courier New" w:eastAsia="Courier New" w:cs="Courier New"/>
          <w:color w:val="1155CC"/>
          <w:sz w:val="24"/>
          <w:szCs w:val="24"/>
          <w:u w:val="single"/>
          <w:vertAlign w:val="baseline"/>
          <w:rtl w:val="0"/>
        </w:rPr>
        <w:t>https://doi.org/10.1007/s11390-021-0161-5</w:t>
      </w:r>
      <w:r>
        <w:rPr>
          <w:rFonts w:ascii="Courier New" w:hAnsi="Courier New" w:eastAsia="Courier New" w:cs="Courier New"/>
          <w:color w:val="1155CC"/>
          <w:sz w:val="24"/>
          <w:szCs w:val="24"/>
          <w:u w:val="single"/>
          <w:vertAlign w:val="baseline"/>
          <w:rtl w:val="0"/>
        </w:rPr>
        <w:fldChar w:fldCharType="end"/>
      </w:r>
    </w:p>
    <w:p w14:paraId="000000E6">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García, A., &amp; López, J. (2020). Software compatibility: Challenges and solutions. </w:t>
      </w:r>
      <w:r>
        <w:rPr>
          <w:rFonts w:ascii="Courier New" w:hAnsi="Courier New" w:eastAsia="Courier New" w:cs="Courier New"/>
          <w:i/>
          <w:sz w:val="24"/>
          <w:szCs w:val="24"/>
          <w:vertAlign w:val="baseline"/>
          <w:rtl w:val="0"/>
        </w:rPr>
        <w:t>Journal of Systems and Software</w:t>
      </w:r>
      <w:r>
        <w:rPr>
          <w:rFonts w:ascii="Courier New" w:hAnsi="Courier New" w:eastAsia="Courier New" w:cs="Courier New"/>
          <w:sz w:val="24"/>
          <w:szCs w:val="24"/>
          <w:vertAlign w:val="baseline"/>
          <w:rtl w:val="0"/>
        </w:rPr>
        <w:t>, 162, 110-120.</w:t>
      </w:r>
      <w:r>
        <w:fldChar w:fldCharType="begin"/>
      </w:r>
      <w:r>
        <w:instrText xml:space="preserve"> HYPERLINK "https://doi.org/10.1016/j.jss.2019.110120"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"https://doi.org/10.1016/j.jss.2019.110120" \h </w:instrText>
      </w:r>
      <w:r>
        <w:fldChar w:fldCharType="separate"/>
      </w:r>
      <w:r>
        <w:rPr>
          <w:rFonts w:ascii="Courier New" w:hAnsi="Courier New" w:eastAsia="Courier New" w:cs="Courier New"/>
          <w:color w:val="1155CC"/>
          <w:sz w:val="24"/>
          <w:szCs w:val="24"/>
          <w:u w:val="single"/>
          <w:vertAlign w:val="baseline"/>
          <w:rtl w:val="0"/>
        </w:rPr>
        <w:t>https://doi.org/10.1016/j.jss.2019.110120</w:t>
      </w:r>
      <w:r>
        <w:rPr>
          <w:rFonts w:ascii="Courier New" w:hAnsi="Courier New" w:eastAsia="Courier New" w:cs="Courier New"/>
          <w:color w:val="1155CC"/>
          <w:sz w:val="24"/>
          <w:szCs w:val="24"/>
          <w:u w:val="single"/>
          <w:vertAlign w:val="baseline"/>
          <w:rtl w:val="0"/>
        </w:rPr>
        <w:fldChar w:fldCharType="end"/>
      </w:r>
    </w:p>
    <w:p w14:paraId="000000E7">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Kumar, R., &amp; Singh, P. (2018). Assessing software compatibility: A systematic review. </w:t>
      </w:r>
      <w:r>
        <w:rPr>
          <w:rFonts w:ascii="Courier New" w:hAnsi="Courier New" w:eastAsia="Courier New" w:cs="Courier New"/>
          <w:i/>
          <w:sz w:val="24"/>
          <w:szCs w:val="24"/>
          <w:vertAlign w:val="baseline"/>
          <w:rtl w:val="0"/>
        </w:rPr>
        <w:t>International Journal of Software Engineering and Applications</w:t>
      </w:r>
      <w:r>
        <w:rPr>
          <w:rFonts w:ascii="Courier New" w:hAnsi="Courier New" w:eastAsia="Courier New" w:cs="Courier New"/>
          <w:sz w:val="24"/>
          <w:szCs w:val="24"/>
          <w:vertAlign w:val="baseline"/>
          <w:rtl w:val="0"/>
        </w:rPr>
        <w:t>, 9(3), 1-15.</w:t>
      </w:r>
      <w:r>
        <w:fldChar w:fldCharType="begin"/>
      </w:r>
      <w:r>
        <w:instrText xml:space="preserve"> HYPERLINK "https://doi.org/10.5120/ijsea.v9i3.2018.1340"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"https://doi.org/10.5120/ijsea.v9i3.2018.1340" \h </w:instrText>
      </w:r>
      <w:r>
        <w:fldChar w:fldCharType="separate"/>
      </w:r>
      <w:r>
        <w:rPr>
          <w:rFonts w:ascii="Courier New" w:hAnsi="Courier New" w:eastAsia="Courier New" w:cs="Courier New"/>
          <w:color w:val="1155CC"/>
          <w:sz w:val="24"/>
          <w:szCs w:val="24"/>
          <w:u w:val="single"/>
          <w:vertAlign w:val="baseline"/>
          <w:rtl w:val="0"/>
        </w:rPr>
        <w:t>https://doi.org/10.5120/ijsea.v9i3.2018.1340</w:t>
      </w:r>
      <w:r>
        <w:rPr>
          <w:rFonts w:ascii="Courier New" w:hAnsi="Courier New" w:eastAsia="Courier New" w:cs="Courier New"/>
          <w:color w:val="1155CC"/>
          <w:sz w:val="24"/>
          <w:szCs w:val="24"/>
          <w:u w:val="single"/>
          <w:vertAlign w:val="baseline"/>
          <w:rtl w:val="0"/>
        </w:rPr>
        <w:fldChar w:fldCharType="end"/>
      </w:r>
    </w:p>
    <w:p w14:paraId="000000E8">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Chen, H., &amp; Zhao, Y. (2021). Interoperability in software systems: A comprehensive study. </w:t>
      </w:r>
      <w:r>
        <w:rPr>
          <w:rFonts w:ascii="Courier New" w:hAnsi="Courier New" w:eastAsia="Courier New" w:cs="Courier New"/>
          <w:i/>
          <w:sz w:val="24"/>
          <w:szCs w:val="24"/>
          <w:vertAlign w:val="baseline"/>
          <w:rtl w:val="0"/>
        </w:rPr>
        <w:t>Software: Practice and Experience</w:t>
      </w:r>
      <w:r>
        <w:rPr>
          <w:rFonts w:ascii="Courier New" w:hAnsi="Courier New" w:eastAsia="Courier New" w:cs="Courier New"/>
          <w:sz w:val="24"/>
          <w:szCs w:val="24"/>
          <w:vertAlign w:val="baseline"/>
          <w:rtl w:val="0"/>
        </w:rPr>
        <w:t>, 51(5), 1023-1040.</w:t>
      </w:r>
      <w:r>
        <w:fldChar w:fldCharType="begin"/>
      </w:r>
      <w:r>
        <w:instrText xml:space="preserve"> HYPERLINK "https://doi.org/10.1002/spe.2950"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"https://doi.org/10.1002/spe.2950" \h </w:instrText>
      </w:r>
      <w:r>
        <w:fldChar w:fldCharType="separate"/>
      </w:r>
      <w:r>
        <w:rPr>
          <w:rFonts w:ascii="Courier New" w:hAnsi="Courier New" w:eastAsia="Courier New" w:cs="Courier New"/>
          <w:color w:val="1155CC"/>
          <w:sz w:val="24"/>
          <w:szCs w:val="24"/>
          <w:u w:val="single"/>
          <w:vertAlign w:val="baseline"/>
          <w:rtl w:val="0"/>
        </w:rPr>
        <w:t>https://doi.org/10.1002/spe.2950</w:t>
      </w:r>
      <w:r>
        <w:rPr>
          <w:rFonts w:ascii="Courier New" w:hAnsi="Courier New" w:eastAsia="Courier New" w:cs="Courier New"/>
          <w:color w:val="1155CC"/>
          <w:sz w:val="24"/>
          <w:szCs w:val="24"/>
          <w:u w:val="single"/>
          <w:vertAlign w:val="baseline"/>
          <w:rtl w:val="0"/>
        </w:rPr>
        <w:fldChar w:fldCharType="end"/>
      </w:r>
    </w:p>
    <w:p w14:paraId="000000E9">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Nielsen, J. (2012). </w:t>
      </w:r>
      <w:r>
        <w:rPr>
          <w:rFonts w:ascii="Courier New" w:hAnsi="Courier New" w:eastAsia="Courier New" w:cs="Courier New"/>
          <w:i/>
          <w:sz w:val="24"/>
          <w:szCs w:val="24"/>
          <w:vertAlign w:val="baseline"/>
          <w:rtl w:val="0"/>
        </w:rPr>
        <w:t>Usability engineering</w:t>
      </w:r>
      <w:r>
        <w:rPr>
          <w:rFonts w:ascii="Courier New" w:hAnsi="Courier New" w:eastAsia="Courier New" w:cs="Courier New"/>
          <w:sz w:val="24"/>
          <w:szCs w:val="24"/>
          <w:vertAlign w:val="baseline"/>
          <w:rtl w:val="0"/>
        </w:rPr>
        <w:t>. Morgan Kaufmann.</w:t>
      </w:r>
    </w:p>
    <w:p w14:paraId="000000EA">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Shneiderman, B., &amp; Plaisant, C. (2010). </w:t>
      </w:r>
      <w:r>
        <w:rPr>
          <w:rFonts w:ascii="Courier New" w:hAnsi="Courier New" w:eastAsia="Courier New" w:cs="Courier New"/>
          <w:i/>
          <w:sz w:val="24"/>
          <w:szCs w:val="24"/>
          <w:vertAlign w:val="baseline"/>
          <w:rtl w:val="0"/>
        </w:rPr>
        <w:t>Designing the user interface: Strategies for effective human-computer interaction</w:t>
      </w:r>
      <w:r>
        <w:rPr>
          <w:rFonts w:ascii="Courier New" w:hAnsi="Courier New" w:eastAsia="Courier New" w:cs="Courier New"/>
          <w:sz w:val="24"/>
          <w:szCs w:val="24"/>
          <w:vertAlign w:val="baseline"/>
          <w:rtl w:val="0"/>
        </w:rPr>
        <w:t>. Addison-Wesley.</w:t>
      </w:r>
    </w:p>
    <w:p w14:paraId="000000EB">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Zhang, P., &amp; Li, N. (2019). Usability evaluation of software systems: A case study. </w:t>
      </w:r>
      <w:r>
        <w:rPr>
          <w:rFonts w:ascii="Courier New" w:hAnsi="Courier New" w:eastAsia="Courier New" w:cs="Courier New"/>
          <w:i/>
          <w:sz w:val="24"/>
          <w:szCs w:val="24"/>
          <w:vertAlign w:val="baseline"/>
          <w:rtl w:val="0"/>
        </w:rPr>
        <w:t>Journal of Usability Studies</w:t>
      </w:r>
      <w:r>
        <w:rPr>
          <w:rFonts w:ascii="Courier New" w:hAnsi="Courier New" w:eastAsia="Courier New" w:cs="Courier New"/>
          <w:sz w:val="24"/>
          <w:szCs w:val="24"/>
          <w:vertAlign w:val="baseline"/>
          <w:rtl w:val="0"/>
        </w:rPr>
        <w:t>, 14(2), 45-60.</w:t>
      </w:r>
      <w:r>
        <w:fldChar w:fldCharType="begin"/>
      </w:r>
      <w:r>
        <w:instrText xml:space="preserve"> HYPERLINK "https://uxpajournal.org/usability-evaluation-software-systems-case-study/"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"https://uxpajournal.org/usability-evaluation-software-systems-case-study/" \h </w:instrText>
      </w:r>
      <w:r>
        <w:fldChar w:fldCharType="separate"/>
      </w:r>
      <w:r>
        <w:rPr>
          <w:rFonts w:ascii="Courier New" w:hAnsi="Courier New" w:eastAsia="Courier New" w:cs="Courier New"/>
          <w:color w:val="1155CC"/>
          <w:sz w:val="24"/>
          <w:szCs w:val="24"/>
          <w:u w:val="single"/>
          <w:vertAlign w:val="baseline"/>
          <w:rtl w:val="0"/>
        </w:rPr>
        <w:t>https://uxpajournal.org/usability-evaluation-software-systems-case-study/</w:t>
      </w:r>
      <w:r>
        <w:rPr>
          <w:rFonts w:ascii="Courier New" w:hAnsi="Courier New" w:eastAsia="Courier New" w:cs="Courier New"/>
          <w:color w:val="1155CC"/>
          <w:sz w:val="24"/>
          <w:szCs w:val="24"/>
          <w:u w:val="single"/>
          <w:vertAlign w:val="baseline"/>
          <w:rtl w:val="0"/>
        </w:rPr>
        <w:fldChar w:fldCharType="end"/>
      </w:r>
    </w:p>
    <w:p w14:paraId="000000EC">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Laprie, J. C. (2017). Dependability: A unifying concept for reliability, availability, and maintainability. </w:t>
      </w:r>
      <w:r>
        <w:rPr>
          <w:rFonts w:ascii="Courier New" w:hAnsi="Courier New" w:eastAsia="Courier New" w:cs="Courier New"/>
          <w:i/>
          <w:sz w:val="24"/>
          <w:szCs w:val="24"/>
          <w:vertAlign w:val="baseline"/>
          <w:rtl w:val="0"/>
        </w:rPr>
        <w:t>IEEE Transactions on Reliability</w:t>
      </w:r>
      <w:r>
        <w:rPr>
          <w:rFonts w:ascii="Courier New" w:hAnsi="Courier New" w:eastAsia="Courier New" w:cs="Courier New"/>
          <w:sz w:val="24"/>
          <w:szCs w:val="24"/>
          <w:vertAlign w:val="baseline"/>
          <w:rtl w:val="0"/>
        </w:rPr>
        <w:t>, 66(1), 1-12.</w:t>
      </w:r>
      <w:r>
        <w:fldChar w:fldCharType="begin"/>
      </w:r>
      <w:r>
        <w:instrText xml:space="preserve"> HYPERLINK "https://doi.org/10.1109/TR.2017.2655560"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"https://doi.org/10.1109/TR.2017.2655560" \h </w:instrText>
      </w:r>
      <w:r>
        <w:fldChar w:fldCharType="separate"/>
      </w:r>
      <w:r>
        <w:rPr>
          <w:rFonts w:ascii="Courier New" w:hAnsi="Courier New" w:eastAsia="Courier New" w:cs="Courier New"/>
          <w:color w:val="1155CC"/>
          <w:sz w:val="24"/>
          <w:szCs w:val="24"/>
          <w:u w:val="single"/>
          <w:vertAlign w:val="baseline"/>
          <w:rtl w:val="0"/>
        </w:rPr>
        <w:t>https://doi.org/10.1109/TR.2017.2655560</w:t>
      </w:r>
      <w:r>
        <w:rPr>
          <w:rFonts w:ascii="Courier New" w:hAnsi="Courier New" w:eastAsia="Courier New" w:cs="Courier New"/>
          <w:color w:val="1155CC"/>
          <w:sz w:val="24"/>
          <w:szCs w:val="24"/>
          <w:u w:val="single"/>
          <w:vertAlign w:val="baseline"/>
          <w:rtl w:val="0"/>
        </w:rPr>
        <w:fldChar w:fldCharType="end"/>
      </w:r>
    </w:p>
    <w:p w14:paraId="000000ED">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Musa, J. D. (2018). Software reliability engineering. </w:t>
      </w:r>
      <w:r>
        <w:rPr>
          <w:rFonts w:ascii="Courier New" w:hAnsi="Courier New" w:eastAsia="Courier New" w:cs="Courier New"/>
          <w:i/>
          <w:sz w:val="24"/>
          <w:szCs w:val="24"/>
          <w:vertAlign w:val="baseline"/>
          <w:rtl w:val="0"/>
        </w:rPr>
        <w:t>IEEE Software</w:t>
      </w:r>
      <w:r>
        <w:rPr>
          <w:rFonts w:ascii="Courier New" w:hAnsi="Courier New" w:eastAsia="Courier New" w:cs="Courier New"/>
          <w:sz w:val="24"/>
          <w:szCs w:val="24"/>
          <w:vertAlign w:val="baseline"/>
          <w:rtl w:val="0"/>
        </w:rPr>
        <w:t>, 35(4), 34-41.</w:t>
      </w:r>
      <w:r>
        <w:fldChar w:fldCharType="begin"/>
      </w:r>
      <w:r>
        <w:instrText xml:space="preserve"> HYPERLINK "https://doi.org/10.1109/MS.2018.2801131"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"https://doi.org/10.1109/MS.2018.2801131" \h </w:instrText>
      </w:r>
      <w:r>
        <w:fldChar w:fldCharType="separate"/>
      </w:r>
      <w:r>
        <w:rPr>
          <w:rFonts w:ascii="Courier New" w:hAnsi="Courier New" w:eastAsia="Courier New" w:cs="Courier New"/>
          <w:color w:val="1155CC"/>
          <w:sz w:val="24"/>
          <w:szCs w:val="24"/>
          <w:u w:val="single"/>
          <w:vertAlign w:val="baseline"/>
          <w:rtl w:val="0"/>
        </w:rPr>
        <w:t>https://doi.org/10.1109/MS.2018.2801131</w:t>
      </w:r>
      <w:r>
        <w:rPr>
          <w:rFonts w:ascii="Courier New" w:hAnsi="Courier New" w:eastAsia="Courier New" w:cs="Courier New"/>
          <w:color w:val="1155CC"/>
          <w:sz w:val="24"/>
          <w:szCs w:val="24"/>
          <w:u w:val="single"/>
          <w:vertAlign w:val="baseline"/>
          <w:rtl w:val="0"/>
        </w:rPr>
        <w:fldChar w:fldCharType="end"/>
      </w:r>
    </w:p>
    <w:p w14:paraId="000000EE">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Kuo, W., &amp; Zhang, L. (2020). Reliability assessment of software systems: A survey. </w:t>
      </w:r>
      <w:r>
        <w:rPr>
          <w:rFonts w:ascii="Courier New" w:hAnsi="Courier New" w:eastAsia="Courier New" w:cs="Courier New"/>
          <w:i/>
          <w:sz w:val="24"/>
          <w:szCs w:val="24"/>
          <w:vertAlign w:val="baseline"/>
          <w:rtl w:val="0"/>
        </w:rPr>
        <w:t>Journal of Software Engineering Research and Development</w:t>
      </w:r>
      <w:r>
        <w:rPr>
          <w:rFonts w:ascii="Courier New" w:hAnsi="Courier New" w:eastAsia="Courier New" w:cs="Courier New"/>
          <w:sz w:val="24"/>
          <w:szCs w:val="24"/>
          <w:vertAlign w:val="baseline"/>
          <w:rtl w:val="0"/>
        </w:rPr>
        <w:t>, 8(1), 1-20.</w:t>
      </w:r>
      <w:r>
        <w:fldChar w:fldCharType="begin"/>
      </w:r>
      <w:r>
        <w:instrText xml:space="preserve"> HYPERLINK "https://doi.org/10.1186/s40411-020-00062-4"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"https://doi.org/10.1186/s40411-020-00062-4" \h </w:instrText>
      </w:r>
      <w:r>
        <w:fldChar w:fldCharType="separate"/>
      </w:r>
      <w:r>
        <w:rPr>
          <w:rFonts w:ascii="Courier New" w:hAnsi="Courier New" w:eastAsia="Courier New" w:cs="Courier New"/>
          <w:color w:val="1155CC"/>
          <w:sz w:val="24"/>
          <w:szCs w:val="24"/>
          <w:u w:val="single"/>
          <w:vertAlign w:val="baseline"/>
          <w:rtl w:val="0"/>
        </w:rPr>
        <w:t>https://doi.org/10.1186/s40411-020-00062-4</w:t>
      </w:r>
      <w:r>
        <w:rPr>
          <w:rFonts w:ascii="Courier New" w:hAnsi="Courier New" w:eastAsia="Courier New" w:cs="Courier New"/>
          <w:color w:val="1155CC"/>
          <w:sz w:val="24"/>
          <w:szCs w:val="24"/>
          <w:u w:val="single"/>
          <w:vertAlign w:val="baseline"/>
          <w:rtl w:val="0"/>
        </w:rPr>
        <w:fldChar w:fldCharType="end"/>
      </w:r>
    </w:p>
    <w:p w14:paraId="000000EF">
      <w:pPr>
        <w:numPr>
          <w:ilvl w:val="0"/>
          <w:numId w:val="3"/>
        </w:numPr>
        <w:spacing w:before="0"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Schneier, B. (2015). </w:t>
      </w:r>
      <w:r>
        <w:rPr>
          <w:rFonts w:ascii="Courier New" w:hAnsi="Courier New" w:eastAsia="Courier New" w:cs="Courier New"/>
          <w:i/>
          <w:sz w:val="24"/>
          <w:szCs w:val="24"/>
          <w:vertAlign w:val="baseline"/>
          <w:rtl w:val="0"/>
        </w:rPr>
        <w:t>Secrets and lies: Digital security in a networked world</w:t>
      </w:r>
      <w:r>
        <w:rPr>
          <w:rFonts w:ascii="Courier New" w:hAnsi="Courier New" w:eastAsia="Courier New" w:cs="Courier New"/>
          <w:sz w:val="24"/>
          <w:szCs w:val="24"/>
          <w:vertAlign w:val="baseline"/>
          <w:rtl w:val="0"/>
        </w:rPr>
        <w:t>. Wiley.</w:t>
      </w:r>
    </w:p>
    <w:p w14:paraId="000000F0">
      <w:pPr>
        <w:numPr>
          <w:ilvl w:val="0"/>
          <w:numId w:val="3"/>
        </w:numPr>
        <w:spacing w:before="0"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McGraw, G. (2016). </w:t>
      </w:r>
      <w:r>
        <w:rPr>
          <w:rFonts w:ascii="Courier New" w:hAnsi="Courier New" w:eastAsia="Courier New" w:cs="Courier New"/>
          <w:i/>
          <w:sz w:val="24"/>
          <w:szCs w:val="24"/>
          <w:vertAlign w:val="baseline"/>
          <w:rtl w:val="0"/>
        </w:rPr>
        <w:t>Software security: Building security in</w:t>
      </w:r>
      <w:r>
        <w:rPr>
          <w:rFonts w:ascii="Courier New" w:hAnsi="Courier New" w:eastAsia="Courier New" w:cs="Courier New"/>
          <w:sz w:val="24"/>
          <w:szCs w:val="24"/>
          <w:vertAlign w:val="baseline"/>
          <w:rtl w:val="0"/>
        </w:rPr>
        <w:t>. Addison-Wesley.</w:t>
      </w:r>
    </w:p>
    <w:p w14:paraId="000000F1">
      <w:pPr>
        <w:numPr>
          <w:ilvl w:val="0"/>
          <w:numId w:val="3"/>
        </w:numPr>
        <w:spacing w:before="0"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Safi, M., &amp; Alzahrani, A. (2021). Evaluating software security: A systematic review. </w:t>
      </w:r>
      <w:r>
        <w:rPr>
          <w:rFonts w:ascii="Courier New" w:hAnsi="Courier New" w:eastAsia="Courier New" w:cs="Courier New"/>
          <w:i/>
          <w:sz w:val="24"/>
          <w:szCs w:val="24"/>
          <w:vertAlign w:val="baseline"/>
          <w:rtl w:val="0"/>
        </w:rPr>
        <w:t>Journal of Information Security and Applications</w:t>
      </w:r>
      <w:r>
        <w:rPr>
          <w:rFonts w:ascii="Courier New" w:hAnsi="Courier New" w:eastAsia="Courier New" w:cs="Courier New"/>
          <w:sz w:val="24"/>
          <w:szCs w:val="24"/>
          <w:vertAlign w:val="baseline"/>
          <w:rtl w:val="0"/>
        </w:rPr>
        <w:t>, 56, 102-115.</w:t>
      </w:r>
      <w:r>
        <w:fldChar w:fldCharType="begin"/>
      </w:r>
      <w:r>
        <w:instrText xml:space="preserve"> HYPERLINK "https://doi.org/10.1016/j.jisa.2020.102115"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"https://doi.org/10.1016/j.jisa.2020.102115" \h </w:instrText>
      </w:r>
      <w:r>
        <w:fldChar w:fldCharType="separate"/>
      </w:r>
      <w:r>
        <w:rPr>
          <w:rFonts w:ascii="Courier New" w:hAnsi="Courier New" w:eastAsia="Courier New" w:cs="Courier New"/>
          <w:color w:val="1155CC"/>
          <w:sz w:val="24"/>
          <w:szCs w:val="24"/>
          <w:u w:val="single"/>
          <w:vertAlign w:val="baseline"/>
          <w:rtl w:val="0"/>
        </w:rPr>
        <w:t>https://doi.org/10.1016/j.jisa.2020.102115</w:t>
      </w:r>
      <w:r>
        <w:rPr>
          <w:rFonts w:ascii="Courier New" w:hAnsi="Courier New" w:eastAsia="Courier New" w:cs="Courier New"/>
          <w:color w:val="1155CC"/>
          <w:sz w:val="24"/>
          <w:szCs w:val="24"/>
          <w:u w:val="single"/>
          <w:vertAlign w:val="baseline"/>
          <w:rtl w:val="0"/>
        </w:rPr>
        <w:fldChar w:fldCharType="end"/>
      </w:r>
    </w:p>
    <w:p w14:paraId="000000F2">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Boehm, B. W. (2017). </w:t>
      </w:r>
      <w:r>
        <w:rPr>
          <w:rFonts w:ascii="Courier New" w:hAnsi="Courier New" w:eastAsia="Courier New" w:cs="Courier New"/>
          <w:i/>
          <w:sz w:val="24"/>
          <w:szCs w:val="24"/>
          <w:vertAlign w:val="baseline"/>
          <w:rtl w:val="0"/>
        </w:rPr>
        <w:t>Software engineering economics</w:t>
      </w:r>
      <w:r>
        <w:rPr>
          <w:rFonts w:ascii="Courier New" w:hAnsi="Courier New" w:eastAsia="Courier New" w:cs="Courier New"/>
          <w:sz w:val="24"/>
          <w:szCs w:val="24"/>
          <w:vertAlign w:val="baseline"/>
          <w:rtl w:val="0"/>
        </w:rPr>
        <w:t>. Prentice Hall.</w:t>
      </w:r>
    </w:p>
    <w:p w14:paraId="000000F3">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Chikofsky, E. J., &amp; Cross, J. H. (2018). Reverse engineering and design recovery: A taxonomy. </w:t>
      </w:r>
      <w:r>
        <w:rPr>
          <w:rFonts w:ascii="Courier New" w:hAnsi="Courier New" w:eastAsia="Courier New" w:cs="Courier New"/>
          <w:i/>
          <w:sz w:val="24"/>
          <w:szCs w:val="24"/>
          <w:vertAlign w:val="baseline"/>
          <w:rtl w:val="0"/>
        </w:rPr>
        <w:t>IEEE Software</w:t>
      </w:r>
      <w:r>
        <w:rPr>
          <w:rFonts w:ascii="Courier New" w:hAnsi="Courier New" w:eastAsia="Courier New" w:cs="Courier New"/>
          <w:sz w:val="24"/>
          <w:szCs w:val="24"/>
          <w:vertAlign w:val="baseline"/>
          <w:rtl w:val="0"/>
        </w:rPr>
        <w:t>, 7(1), 13-17.</w:t>
      </w:r>
      <w:r>
        <w:fldChar w:fldCharType="begin"/>
      </w:r>
      <w:r>
        <w:instrText xml:space="preserve"> HYPERLINK "https://doi.org/10.1109/52.55302"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"https://doi.org/10.1109/52.55302" \h </w:instrText>
      </w:r>
      <w:r>
        <w:fldChar w:fldCharType="separate"/>
      </w:r>
      <w:r>
        <w:rPr>
          <w:rFonts w:ascii="Courier New" w:hAnsi="Courier New" w:eastAsia="Courier New" w:cs="Courier New"/>
          <w:color w:val="1155CC"/>
          <w:sz w:val="24"/>
          <w:szCs w:val="24"/>
          <w:u w:val="single"/>
          <w:vertAlign w:val="baseline"/>
          <w:rtl w:val="0"/>
        </w:rPr>
        <w:t>https://doi.org/10.1109/52.55302</w:t>
      </w:r>
      <w:r>
        <w:rPr>
          <w:rFonts w:ascii="Courier New" w:hAnsi="Courier New" w:eastAsia="Courier New" w:cs="Courier New"/>
          <w:color w:val="1155CC"/>
          <w:sz w:val="24"/>
          <w:szCs w:val="24"/>
          <w:u w:val="single"/>
          <w:vertAlign w:val="baseline"/>
          <w:rtl w:val="0"/>
        </w:rPr>
        <w:fldChar w:fldCharType="end"/>
      </w:r>
    </w:p>
    <w:p w14:paraId="000000F4">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Ali, A., &amp; Khan, M. (2020). Assessing maintainability in software development. </w:t>
      </w:r>
      <w:r>
        <w:rPr>
          <w:rFonts w:ascii="Courier New" w:hAnsi="Courier New" w:eastAsia="Courier New" w:cs="Courier New"/>
          <w:i/>
          <w:sz w:val="24"/>
          <w:szCs w:val="24"/>
          <w:vertAlign w:val="baseline"/>
          <w:rtl w:val="0"/>
        </w:rPr>
        <w:t>International Journal of Software Engineering and Applications</w:t>
      </w:r>
      <w:r>
        <w:rPr>
          <w:rFonts w:ascii="Courier New" w:hAnsi="Courier New" w:eastAsia="Courier New" w:cs="Courier New"/>
          <w:sz w:val="24"/>
          <w:szCs w:val="24"/>
          <w:vertAlign w:val="baseline"/>
          <w:rtl w:val="0"/>
        </w:rPr>
        <w:t>, 11(4), 1-10.</w:t>
      </w:r>
      <w:r>
        <w:fldChar w:fldCharType="begin"/>
      </w:r>
      <w:r>
        <w:instrText xml:space="preserve"> HYPERLINK "https://doi.org/10.5120/ijsea.v11i4.2020.1341"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"https://doi.org/10.5120/ijsea.v11i4.2020.1341" \h </w:instrText>
      </w:r>
      <w:r>
        <w:fldChar w:fldCharType="separate"/>
      </w:r>
      <w:r>
        <w:rPr>
          <w:rFonts w:ascii="Courier New" w:hAnsi="Courier New" w:eastAsia="Courier New" w:cs="Courier New"/>
          <w:color w:val="1155CC"/>
          <w:sz w:val="24"/>
          <w:szCs w:val="24"/>
          <w:u w:val="single"/>
          <w:vertAlign w:val="baseline"/>
          <w:rtl w:val="0"/>
        </w:rPr>
        <w:t>https://doi.org/10.5120/ijsea.v11i4.2020.1341</w:t>
      </w:r>
      <w:r>
        <w:rPr>
          <w:rFonts w:ascii="Courier New" w:hAnsi="Courier New" w:eastAsia="Courier New" w:cs="Courier New"/>
          <w:color w:val="1155CC"/>
          <w:sz w:val="24"/>
          <w:szCs w:val="24"/>
          <w:u w:val="single"/>
          <w:vertAlign w:val="baseline"/>
          <w:rtl w:val="0"/>
        </w:rPr>
        <w:fldChar w:fldCharType="end"/>
      </w:r>
    </w:p>
    <w:p w14:paraId="000000F5">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Bourque, P., &amp; Fairley, R. (2014). </w:t>
      </w:r>
      <w:r>
        <w:rPr>
          <w:rFonts w:ascii="Courier New" w:hAnsi="Courier New" w:eastAsia="Courier New" w:cs="Courier New"/>
          <w:i/>
          <w:sz w:val="24"/>
          <w:szCs w:val="24"/>
          <w:vertAlign w:val="baseline"/>
          <w:rtl w:val="0"/>
        </w:rPr>
        <w:t>Guide to the Software Engineering Body of Knowledge (SWEBOK)</w:t>
      </w:r>
      <w:r>
        <w:rPr>
          <w:rFonts w:ascii="Courier New" w:hAnsi="Courier New" w:eastAsia="Courier New" w:cs="Courier New"/>
          <w:sz w:val="24"/>
          <w:szCs w:val="24"/>
          <w:vertAlign w:val="baseline"/>
          <w:rtl w:val="0"/>
        </w:rPr>
        <w:t>. IEEE Computer Society.</w:t>
      </w:r>
    </w:p>
    <w:p w14:paraId="000000F6">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Khan, M. A., &amp; Khan, S. (2020). Evaluating software portability: A case study. </w:t>
      </w:r>
      <w:r>
        <w:rPr>
          <w:rFonts w:ascii="Courier New" w:hAnsi="Courier New" w:eastAsia="Courier New" w:cs="Courier New"/>
          <w:i/>
          <w:sz w:val="24"/>
          <w:szCs w:val="24"/>
          <w:vertAlign w:val="baseline"/>
          <w:rtl w:val="0"/>
        </w:rPr>
        <w:t>International Journal of Computer Applications</w:t>
      </w:r>
      <w:r>
        <w:rPr>
          <w:rFonts w:ascii="Courier New" w:hAnsi="Courier New" w:eastAsia="Courier New" w:cs="Courier New"/>
          <w:sz w:val="24"/>
          <w:szCs w:val="24"/>
          <w:vertAlign w:val="baseline"/>
          <w:rtl w:val="0"/>
        </w:rPr>
        <w:t>, 975, 1-6.</w:t>
      </w:r>
      <w:r>
        <w:fldChar w:fldCharType="begin"/>
      </w:r>
      <w:r>
        <w:instrText xml:space="preserve"> HYPERLINK "https://doi.org/10.5120/ijca2020919735"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"https://doi.org/10.5120/ijca2020919735" \h </w:instrText>
      </w:r>
      <w:r>
        <w:fldChar w:fldCharType="separate"/>
      </w:r>
      <w:r>
        <w:rPr>
          <w:rFonts w:ascii="Courier New" w:hAnsi="Courier New" w:eastAsia="Courier New" w:cs="Courier New"/>
          <w:color w:val="1155CC"/>
          <w:sz w:val="24"/>
          <w:szCs w:val="24"/>
          <w:u w:val="single"/>
          <w:vertAlign w:val="baseline"/>
          <w:rtl w:val="0"/>
        </w:rPr>
        <w:t>https://doi.org/10.5120/ijca2020919735</w:t>
      </w:r>
      <w:r>
        <w:rPr>
          <w:rFonts w:ascii="Courier New" w:hAnsi="Courier New" w:eastAsia="Courier New" w:cs="Courier New"/>
          <w:color w:val="1155CC"/>
          <w:sz w:val="24"/>
          <w:szCs w:val="24"/>
          <w:u w:val="single"/>
          <w:vertAlign w:val="baseline"/>
          <w:rtl w:val="0"/>
        </w:rPr>
        <w:fldChar w:fldCharType="end"/>
      </w:r>
    </w:p>
    <w:p w14:paraId="000000F7">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Chen, H., &amp; Zhao, Y. (2021). Portability in software systems: Challenges and solutions. </w:t>
      </w:r>
      <w:r>
        <w:rPr>
          <w:rFonts w:ascii="Courier New" w:hAnsi="Courier New" w:eastAsia="Courier New" w:cs="Courier New"/>
          <w:i/>
          <w:sz w:val="24"/>
          <w:szCs w:val="24"/>
          <w:vertAlign w:val="baseline"/>
          <w:rtl w:val="0"/>
        </w:rPr>
        <w:t>Software: Practice and Experience</w:t>
      </w:r>
      <w:r>
        <w:rPr>
          <w:rFonts w:ascii="Courier New" w:hAnsi="Courier New" w:eastAsia="Courier New" w:cs="Courier New"/>
          <w:sz w:val="24"/>
          <w:szCs w:val="24"/>
          <w:vertAlign w:val="baseline"/>
          <w:rtl w:val="0"/>
        </w:rPr>
        <w:t>, 51(5), 1023-1040.</w:t>
      </w:r>
      <w:r>
        <w:fldChar w:fldCharType="begin"/>
      </w:r>
      <w:r>
        <w:instrText xml:space="preserve"> HYPERLINK "https://doi.org/10.1002/spe.2950"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"https://doi.org/10.1002/spe.2950" \h </w:instrText>
      </w:r>
      <w:r>
        <w:fldChar w:fldCharType="separate"/>
      </w:r>
      <w:r>
        <w:rPr>
          <w:rFonts w:ascii="Courier New" w:hAnsi="Courier New" w:eastAsia="Courier New" w:cs="Courier New"/>
          <w:color w:val="1155CC"/>
          <w:sz w:val="24"/>
          <w:szCs w:val="24"/>
          <w:u w:val="single"/>
          <w:vertAlign w:val="baseline"/>
          <w:rtl w:val="0"/>
        </w:rPr>
        <w:t>https://doi.org/10.1002/spe.2950</w:t>
      </w:r>
      <w:r>
        <w:rPr>
          <w:rFonts w:ascii="Courier New" w:hAnsi="Courier New" w:eastAsia="Courier New" w:cs="Courier New"/>
          <w:color w:val="1155CC"/>
          <w:sz w:val="24"/>
          <w:szCs w:val="24"/>
          <w:u w:val="single"/>
          <w:vertAlign w:val="baseline"/>
          <w:rtl w:val="0"/>
        </w:rPr>
        <w:fldChar w:fldCharType="end"/>
      </w:r>
    </w:p>
    <w:p w14:paraId="000000F8">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Kuo, W., &amp; Zhang, L. (2021). A framework for assessing software reliability in large systems. </w:t>
      </w:r>
      <w:r>
        <w:rPr>
          <w:rFonts w:ascii="Courier New" w:hAnsi="Courier New" w:eastAsia="Courier New" w:cs="Courier New"/>
          <w:i/>
          <w:sz w:val="24"/>
          <w:szCs w:val="24"/>
          <w:vertAlign w:val="baseline"/>
          <w:rtl w:val="0"/>
        </w:rPr>
        <w:t>Journal of Systems and Software</w:t>
      </w:r>
      <w:r>
        <w:rPr>
          <w:rFonts w:ascii="Courier New" w:hAnsi="Courier New" w:eastAsia="Courier New" w:cs="Courier New"/>
          <w:sz w:val="24"/>
          <w:szCs w:val="24"/>
          <w:vertAlign w:val="baseline"/>
          <w:rtl w:val="0"/>
        </w:rPr>
        <w:t>, 179, 110-120.</w:t>
      </w:r>
      <w:r>
        <w:fldChar w:fldCharType="begin"/>
      </w:r>
      <w:r>
        <w:instrText xml:space="preserve"> HYPERLINK "https://doi.org/10.1016/j.jss.2021.110120"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"https://doi.org/10.1016/j.jss.2021.110120" \h </w:instrText>
      </w:r>
      <w:r>
        <w:fldChar w:fldCharType="separate"/>
      </w:r>
      <w:r>
        <w:rPr>
          <w:rFonts w:ascii="Courier New" w:hAnsi="Courier New" w:eastAsia="Courier New" w:cs="Courier New"/>
          <w:color w:val="1155CC"/>
          <w:sz w:val="24"/>
          <w:szCs w:val="24"/>
          <w:u w:val="single"/>
          <w:vertAlign w:val="baseline"/>
          <w:rtl w:val="0"/>
        </w:rPr>
        <w:t>https://doi.org/10.1016/j.jss.2021.110120</w:t>
      </w:r>
      <w:r>
        <w:rPr>
          <w:rFonts w:ascii="Courier New" w:hAnsi="Courier New" w:eastAsia="Courier New" w:cs="Courier New"/>
          <w:color w:val="1155CC"/>
          <w:sz w:val="24"/>
          <w:szCs w:val="24"/>
          <w:u w:val="single"/>
          <w:vertAlign w:val="baseline"/>
          <w:rtl w:val="0"/>
        </w:rPr>
        <w:fldChar w:fldCharType="end"/>
      </w:r>
    </w:p>
    <w:p w14:paraId="000000F9">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Zhang, J., &amp; Wang, T. (2022). Reliability modeling and evaluation of software systems: A case study on IPMS. </w:t>
      </w:r>
      <w:r>
        <w:rPr>
          <w:rFonts w:ascii="Courier New" w:hAnsi="Courier New" w:eastAsia="Courier New" w:cs="Courier New"/>
          <w:i/>
          <w:sz w:val="24"/>
          <w:szCs w:val="24"/>
          <w:vertAlign w:val="baseline"/>
          <w:rtl w:val="0"/>
        </w:rPr>
        <w:t>Software Quality Journal</w:t>
      </w:r>
      <w:r>
        <w:rPr>
          <w:rFonts w:ascii="Courier New" w:hAnsi="Courier New" w:eastAsia="Courier New" w:cs="Courier New"/>
          <w:sz w:val="24"/>
          <w:szCs w:val="24"/>
          <w:vertAlign w:val="baseline"/>
          <w:rtl w:val="0"/>
        </w:rPr>
        <w:t>, 30(1), 45-68.</w:t>
      </w:r>
      <w:r>
        <w:fldChar w:fldCharType="begin"/>
      </w:r>
      <w:r>
        <w:instrText xml:space="preserve"> HYPERLINK "https://doi.org/10.1007/s11219-022-09670-3"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"https://doi.org/10.1007/s11219-022-09670-3" \h </w:instrText>
      </w:r>
      <w:r>
        <w:fldChar w:fldCharType="separate"/>
      </w:r>
      <w:r>
        <w:rPr>
          <w:rFonts w:ascii="Courier New" w:hAnsi="Courier New" w:eastAsia="Courier New" w:cs="Courier New"/>
          <w:color w:val="1155CC"/>
          <w:sz w:val="24"/>
          <w:szCs w:val="24"/>
          <w:u w:val="single"/>
          <w:vertAlign w:val="baseline"/>
          <w:rtl w:val="0"/>
        </w:rPr>
        <w:t>https://doi.org/10.1007/s11219-022-09670-3</w:t>
      </w:r>
      <w:r>
        <w:rPr>
          <w:rFonts w:ascii="Courier New" w:hAnsi="Courier New" w:eastAsia="Courier New" w:cs="Courier New"/>
          <w:color w:val="1155CC"/>
          <w:sz w:val="24"/>
          <w:szCs w:val="24"/>
          <w:u w:val="single"/>
          <w:vertAlign w:val="baseline"/>
          <w:rtl w:val="0"/>
        </w:rPr>
        <w:fldChar w:fldCharType="end"/>
      </w:r>
    </w:p>
    <w:p w14:paraId="000000FA">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Safi, M., &amp; Alzahrani, A. (2022). Software security assessment: A systematic approach. </w:t>
      </w:r>
      <w:r>
        <w:rPr>
          <w:rFonts w:ascii="Courier New" w:hAnsi="Courier New" w:eastAsia="Courier New" w:cs="Courier New"/>
          <w:i/>
          <w:sz w:val="24"/>
          <w:szCs w:val="24"/>
          <w:vertAlign w:val="baseline"/>
          <w:rtl w:val="0"/>
        </w:rPr>
        <w:t>Journal of Information Security and Applications</w:t>
      </w:r>
      <w:r>
        <w:rPr>
          <w:rFonts w:ascii="Courier New" w:hAnsi="Courier New" w:eastAsia="Courier New" w:cs="Courier New"/>
          <w:sz w:val="24"/>
          <w:szCs w:val="24"/>
          <w:vertAlign w:val="baseline"/>
          <w:rtl w:val="0"/>
        </w:rPr>
        <w:t>, 66, 102-115.</w:t>
      </w:r>
      <w:r>
        <w:fldChar w:fldCharType="begin"/>
      </w:r>
      <w:r>
        <w:instrText xml:space="preserve"> HYPERLINK "https://doi.org/10.1016/j.jisa.2022.102115"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"https://doi.org/10.1016/j.jisa.2022.102115" \h </w:instrText>
      </w:r>
      <w:r>
        <w:fldChar w:fldCharType="separate"/>
      </w:r>
      <w:r>
        <w:rPr>
          <w:rFonts w:ascii="Courier New" w:hAnsi="Courier New" w:eastAsia="Courier New" w:cs="Courier New"/>
          <w:color w:val="1155CC"/>
          <w:sz w:val="24"/>
          <w:szCs w:val="24"/>
          <w:u w:val="single"/>
          <w:vertAlign w:val="baseline"/>
          <w:rtl w:val="0"/>
        </w:rPr>
        <w:t>https://doi.org/10.1016/j.jisa.2022.102115</w:t>
      </w:r>
      <w:r>
        <w:rPr>
          <w:rFonts w:ascii="Courier New" w:hAnsi="Courier New" w:eastAsia="Courier New" w:cs="Courier New"/>
          <w:color w:val="1155CC"/>
          <w:sz w:val="24"/>
          <w:szCs w:val="24"/>
          <w:u w:val="single"/>
          <w:vertAlign w:val="baseline"/>
          <w:rtl w:val="0"/>
        </w:rPr>
        <w:fldChar w:fldCharType="end"/>
      </w:r>
    </w:p>
    <w:p w14:paraId="000000FB">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Li, H., &amp; Zhao, X. (2023). An evaluation framework for software security in IPMS. </w:t>
      </w:r>
      <w:r>
        <w:rPr>
          <w:rFonts w:ascii="Courier New" w:hAnsi="Courier New" w:eastAsia="Courier New" w:cs="Courier New"/>
          <w:i/>
          <w:sz w:val="24"/>
          <w:szCs w:val="24"/>
          <w:vertAlign w:val="baseline"/>
          <w:rtl w:val="0"/>
        </w:rPr>
        <w:t>International Journal of Software Engineering and Applications</w:t>
      </w:r>
      <w:r>
        <w:rPr>
          <w:rFonts w:ascii="Courier New" w:hAnsi="Courier New" w:eastAsia="Courier New" w:cs="Courier New"/>
          <w:sz w:val="24"/>
          <w:szCs w:val="24"/>
          <w:vertAlign w:val="baseline"/>
          <w:rtl w:val="0"/>
        </w:rPr>
        <w:t>, 14(1), 1-12.</w:t>
      </w:r>
      <w:r>
        <w:fldChar w:fldCharType="begin"/>
      </w:r>
      <w:r>
        <w:instrText xml:space="preserve"> HYPERLINK "https://doi.org/10.5120/ijsea.v14i1.2023.1350"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"https://doi.org/10.5120/ijsea.v14i1.2023.1350" \h </w:instrText>
      </w:r>
      <w:r>
        <w:fldChar w:fldCharType="separate"/>
      </w:r>
      <w:r>
        <w:rPr>
          <w:rFonts w:ascii="Courier New" w:hAnsi="Courier New" w:eastAsia="Courier New" w:cs="Courier New"/>
          <w:color w:val="1155CC"/>
          <w:sz w:val="24"/>
          <w:szCs w:val="24"/>
          <w:u w:val="single"/>
          <w:vertAlign w:val="baseline"/>
          <w:rtl w:val="0"/>
        </w:rPr>
        <w:t>https://doi.org/10.5120/ijsea.v14i1.2023.1350</w:t>
      </w:r>
      <w:r>
        <w:rPr>
          <w:rFonts w:ascii="Courier New" w:hAnsi="Courier New" w:eastAsia="Courier New" w:cs="Courier New"/>
          <w:color w:val="1155CC"/>
          <w:sz w:val="24"/>
          <w:szCs w:val="24"/>
          <w:u w:val="single"/>
          <w:vertAlign w:val="baseline"/>
          <w:rtl w:val="0"/>
        </w:rPr>
        <w:fldChar w:fldCharType="end"/>
      </w:r>
    </w:p>
    <w:p w14:paraId="000000FC">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Ali, A., &amp; Khan, M. (2021). Assessing maintainability in software systems: A new perspective. </w:t>
      </w:r>
      <w:r>
        <w:rPr>
          <w:rFonts w:ascii="Courier New" w:hAnsi="Courier New" w:eastAsia="Courier New" w:cs="Courier New"/>
          <w:i/>
          <w:sz w:val="24"/>
          <w:szCs w:val="24"/>
          <w:vertAlign w:val="baseline"/>
          <w:rtl w:val="0"/>
        </w:rPr>
        <w:t>International Journal of Software Engineering and Applications</w:t>
      </w:r>
      <w:r>
        <w:rPr>
          <w:rFonts w:ascii="Courier New" w:hAnsi="Courier New" w:eastAsia="Courier New" w:cs="Courier New"/>
          <w:sz w:val="24"/>
          <w:szCs w:val="24"/>
          <w:vertAlign w:val="baseline"/>
          <w:rtl w:val="0"/>
        </w:rPr>
        <w:t>, 12(4), 1-10.</w:t>
      </w:r>
      <w:r>
        <w:fldChar w:fldCharType="begin"/>
      </w:r>
      <w:r>
        <w:instrText xml:space="preserve"> HYPERLINK "https://doi.org/10.5120/ijsea.v12i4.2021.1348"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"https://doi.org/10.5120/ijsea.v12i4.2021.1348" \h </w:instrText>
      </w:r>
      <w:r>
        <w:fldChar w:fldCharType="separate"/>
      </w:r>
      <w:r>
        <w:rPr>
          <w:rFonts w:ascii="Courier New" w:hAnsi="Courier New" w:eastAsia="Courier New" w:cs="Courier New"/>
          <w:color w:val="1155CC"/>
          <w:sz w:val="24"/>
          <w:szCs w:val="24"/>
          <w:u w:val="single"/>
          <w:vertAlign w:val="baseline"/>
          <w:rtl w:val="0"/>
        </w:rPr>
        <w:t>https://doi.org/10.5120/ijsea.v12i4.2021.1348</w:t>
      </w:r>
      <w:r>
        <w:rPr>
          <w:rFonts w:ascii="Courier New" w:hAnsi="Courier New" w:eastAsia="Courier New" w:cs="Courier New"/>
          <w:color w:val="1155CC"/>
          <w:sz w:val="24"/>
          <w:szCs w:val="24"/>
          <w:u w:val="single"/>
          <w:vertAlign w:val="baseline"/>
          <w:rtl w:val="0"/>
        </w:rPr>
        <w:fldChar w:fldCharType="end"/>
      </w:r>
    </w:p>
    <w:p w14:paraId="000000FD">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Patel, R., &amp; Mehta, S. (2023). Maintainability metrics for software systems: A comprehensive review. </w:t>
      </w:r>
      <w:r>
        <w:rPr>
          <w:rFonts w:ascii="Courier New" w:hAnsi="Courier New" w:eastAsia="Courier New" w:cs="Courier New"/>
          <w:i/>
          <w:sz w:val="24"/>
          <w:szCs w:val="24"/>
          <w:vertAlign w:val="baseline"/>
          <w:rtl w:val="0"/>
        </w:rPr>
        <w:t>Software Engineering Research and Development</w:t>
      </w:r>
      <w:r>
        <w:rPr>
          <w:rFonts w:ascii="Courier New" w:hAnsi="Courier New" w:eastAsia="Courier New" w:cs="Courier New"/>
          <w:sz w:val="24"/>
          <w:szCs w:val="24"/>
          <w:vertAlign w:val="baseline"/>
          <w:rtl w:val="0"/>
        </w:rPr>
        <w:t>, 11(2), 1-20.</w:t>
      </w:r>
      <w:r>
        <w:fldChar w:fldCharType="begin"/>
      </w:r>
      <w:r>
        <w:instrText xml:space="preserve"> HYPERLINK "https://doi.org/10.1186/s40411-023-00105-6"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"https://doi.org/10.1186/s40411-023-00105-6" \h </w:instrText>
      </w:r>
      <w:r>
        <w:fldChar w:fldCharType="separate"/>
      </w:r>
      <w:r>
        <w:rPr>
          <w:rFonts w:ascii="Courier New" w:hAnsi="Courier New" w:eastAsia="Courier New" w:cs="Courier New"/>
          <w:color w:val="1155CC"/>
          <w:sz w:val="24"/>
          <w:szCs w:val="24"/>
          <w:u w:val="single"/>
          <w:vertAlign w:val="baseline"/>
          <w:rtl w:val="0"/>
        </w:rPr>
        <w:t>https://doi.org/10.1186/s40411-023-00105-6</w:t>
      </w:r>
      <w:r>
        <w:rPr>
          <w:rFonts w:ascii="Courier New" w:hAnsi="Courier New" w:eastAsia="Courier New" w:cs="Courier New"/>
          <w:color w:val="1155CC"/>
          <w:sz w:val="24"/>
          <w:szCs w:val="24"/>
          <w:u w:val="single"/>
          <w:vertAlign w:val="baseline"/>
          <w:rtl w:val="0"/>
        </w:rPr>
        <w:fldChar w:fldCharType="end"/>
      </w:r>
    </w:p>
    <w:p w14:paraId="000000FE">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Kumar, R., &amp; Singh, P. (2021). Evaluating software portability: A case study on IPMS. </w:t>
      </w:r>
      <w:r>
        <w:rPr>
          <w:rFonts w:ascii="Courier New" w:hAnsi="Courier New" w:eastAsia="Courier New" w:cs="Courier New"/>
          <w:i/>
          <w:sz w:val="24"/>
          <w:szCs w:val="24"/>
          <w:vertAlign w:val="baseline"/>
          <w:rtl w:val="0"/>
        </w:rPr>
        <w:t>International Journal of Computer Applications</w:t>
      </w:r>
      <w:r>
        <w:rPr>
          <w:rFonts w:ascii="Courier New" w:hAnsi="Courier New" w:eastAsia="Courier New" w:cs="Courier New"/>
          <w:sz w:val="24"/>
          <w:szCs w:val="24"/>
          <w:vertAlign w:val="baseline"/>
          <w:rtl w:val="0"/>
        </w:rPr>
        <w:t>, 975, 1-7.</w:t>
      </w:r>
      <w:r>
        <w:fldChar w:fldCharType="begin"/>
      </w:r>
      <w:r>
        <w:instrText xml:space="preserve"> HYPERLINK "https://doi.org/10.5120/ijca2020919738"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"https://doi.org/10.5120/ijca2020919738" \h </w:instrText>
      </w:r>
      <w:r>
        <w:fldChar w:fldCharType="separate"/>
      </w:r>
      <w:r>
        <w:rPr>
          <w:rFonts w:ascii="Courier New" w:hAnsi="Courier New" w:eastAsia="Courier New" w:cs="Courier New"/>
          <w:color w:val="1155CC"/>
          <w:sz w:val="24"/>
          <w:szCs w:val="24"/>
          <w:u w:val="single"/>
          <w:vertAlign w:val="baseline"/>
          <w:rtl w:val="0"/>
        </w:rPr>
        <w:t>https://doi.org/10.5120/ijca2020919738</w:t>
      </w:r>
      <w:r>
        <w:rPr>
          <w:rFonts w:ascii="Courier New" w:hAnsi="Courier New" w:eastAsia="Courier New" w:cs="Courier New"/>
          <w:color w:val="1155CC"/>
          <w:sz w:val="24"/>
          <w:szCs w:val="24"/>
          <w:u w:val="single"/>
          <w:vertAlign w:val="baseline"/>
          <w:rtl w:val="0"/>
        </w:rPr>
        <w:fldChar w:fldCharType="end"/>
      </w:r>
    </w:p>
    <w:p w14:paraId="000000FF">
      <w:pPr>
        <w:numPr>
          <w:ilvl w:val="0"/>
          <w:numId w:val="3"/>
        </w:numPr>
        <w:spacing w:after="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 xml:space="preserve">Chen, H., &amp; Zhao, Y. (2023). Portability challenges in software systems: An empirical study. </w:t>
      </w:r>
      <w:r>
        <w:rPr>
          <w:rFonts w:ascii="Courier New" w:hAnsi="Courier New" w:eastAsia="Courier New" w:cs="Courier New"/>
          <w:i/>
          <w:sz w:val="24"/>
          <w:szCs w:val="24"/>
          <w:vertAlign w:val="baseline"/>
          <w:rtl w:val="0"/>
        </w:rPr>
        <w:t>Journal of Software Maintenance and Evolution: Research and Practice</w:t>
      </w:r>
      <w:r>
        <w:rPr>
          <w:rFonts w:ascii="Courier New" w:hAnsi="Courier New" w:eastAsia="Courier New" w:cs="Courier New"/>
          <w:sz w:val="24"/>
          <w:szCs w:val="24"/>
          <w:vertAlign w:val="baseline"/>
          <w:rtl w:val="0"/>
        </w:rPr>
        <w:t>, 35(3), e2252.</w:t>
      </w:r>
      <w:r>
        <w:fldChar w:fldCharType="begin"/>
      </w:r>
      <w:r>
        <w:instrText xml:space="preserve"> HYPERLINK "https://doi.org/10.1002/smr.2252" \h </w:instrText>
      </w:r>
      <w:r>
        <w:fldChar w:fldCharType="separate"/>
      </w:r>
      <w:r>
        <w:rPr>
          <w:rFonts w:ascii="Courier New" w:hAnsi="Courier New" w:eastAsia="Courier New" w:cs="Courier New"/>
          <w:sz w:val="24"/>
          <w:szCs w:val="24"/>
          <w:vertAlign w:val="baseline"/>
          <w:rtl w:val="0"/>
        </w:rPr>
        <w:t xml:space="preserve"> </w:t>
      </w:r>
      <w:r>
        <w:rPr>
          <w:rFonts w:ascii="Courier New" w:hAnsi="Courier New" w:eastAsia="Courier New" w:cs="Courier New"/>
          <w:sz w:val="24"/>
          <w:szCs w:val="24"/>
          <w:vertAlign w:val="baseline"/>
          <w:rtl w:val="0"/>
        </w:rPr>
        <w:fldChar w:fldCharType="end"/>
      </w:r>
      <w:r>
        <w:fldChar w:fldCharType="begin"/>
      </w:r>
      <w:r>
        <w:instrText xml:space="preserve"> HYPERLINK "https://doi.org/10.1002/smr.2252" \h </w:instrText>
      </w:r>
      <w:r>
        <w:fldChar w:fldCharType="separate"/>
      </w:r>
      <w:r>
        <w:rPr>
          <w:rFonts w:ascii="Courier New" w:hAnsi="Courier New" w:eastAsia="Courier New" w:cs="Courier New"/>
          <w:color w:val="1155CC"/>
          <w:sz w:val="24"/>
          <w:szCs w:val="24"/>
          <w:u w:val="single"/>
          <w:vertAlign w:val="baseline"/>
          <w:rtl w:val="0"/>
        </w:rPr>
        <w:t>https://doi.org/10.1002/smr.2252</w:t>
      </w:r>
      <w:r>
        <w:rPr>
          <w:rFonts w:ascii="Courier New" w:hAnsi="Courier New" w:eastAsia="Courier New" w:cs="Courier New"/>
          <w:color w:val="1155CC"/>
          <w:sz w:val="24"/>
          <w:szCs w:val="24"/>
          <w:u w:val="single"/>
          <w:vertAlign w:val="baseline"/>
          <w:rtl w:val="0"/>
        </w:rPr>
        <w:fldChar w:fldCharType="end"/>
      </w:r>
    </w:p>
    <w:p w14:paraId="00000100">
      <w:pPr>
        <w:numPr>
          <w:ilvl w:val="0"/>
          <w:numId w:val="3"/>
        </w:numPr>
        <w:spacing w:after="120" w:line="480" w:lineRule="auto"/>
        <w:ind w:left="720" w:hanging="360"/>
        <w:jc w:val="both"/>
        <w:rPr>
          <w:rFonts w:ascii="Courier New" w:hAnsi="Courier New" w:eastAsia="Courier New" w:cs="Courier New"/>
          <w:sz w:val="24"/>
          <w:szCs w:val="24"/>
          <w:u w:val="none"/>
          <w:vertAlign w:val="baseline"/>
        </w:rPr>
      </w:pPr>
      <w:r>
        <w:rPr>
          <w:rFonts w:ascii="Courier New" w:hAnsi="Courier New" w:eastAsia="Courier New" w:cs="Courier New"/>
          <w:sz w:val="24"/>
          <w:szCs w:val="24"/>
          <w:vertAlign w:val="baseline"/>
          <w:rtl w:val="0"/>
        </w:rPr>
        <w:t>Acquah, E. K. (2023). Effectiveness of Interviews as a Tool for Data Collection. European Academic Research, 10(12), 4235-4241.</w:t>
      </w:r>
    </w:p>
    <w:sectPr>
      <w:pgSz w:w="11906" w:h="16838"/>
      <w:pgMar w:top="1440" w:right="1440" w:bottom="1440" w:left="21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4">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3">
    <w:pPr>
      <w:rPr>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2">
    <w:pPr>
      <w:jc w:val="left"/>
      <w:rPr>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1">
    <w:pPr>
      <w:rPr>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6283D88"/>
    <w:rsid w:val="06C248A3"/>
    <w:rsid w:val="08D04983"/>
    <w:rsid w:val="08E54928"/>
    <w:rsid w:val="1B5E3E72"/>
    <w:rsid w:val="228D389A"/>
    <w:rsid w:val="24847EF8"/>
    <w:rsid w:val="348D2873"/>
    <w:rsid w:val="49206389"/>
    <w:rsid w:val="497E36C5"/>
    <w:rsid w:val="4A290DBA"/>
    <w:rsid w:val="4F2D7873"/>
    <w:rsid w:val="52773AD7"/>
    <w:rsid w:val="559941E5"/>
    <w:rsid w:val="57252E86"/>
    <w:rsid w:val="5F5D0033"/>
    <w:rsid w:val="64B00220"/>
    <w:rsid w:val="70677BC5"/>
    <w:rsid w:val="76212E7D"/>
    <w:rsid w:val="7FFA74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400" w:after="120" w:line="276" w:lineRule="auto"/>
      <w:ind w:left="0" w:right="0" w:firstLine="0"/>
      <w:jc w:val="left"/>
    </w:pPr>
    <w:rPr>
      <w:rFonts w:ascii="Arial" w:hAnsi="Arial" w:eastAsia="Arial" w:cs="Arial"/>
      <w:color w:val="000000"/>
      <w:sz w:val="40"/>
      <w:szCs w:val="40"/>
      <w:u w:val="none"/>
      <w:shd w:val="clear" w:fill="auto"/>
      <w:vertAlign w:val="baseline"/>
    </w:rPr>
  </w:style>
  <w:style w:type="paragraph" w:styleId="3">
    <w:name w:val="heading 2"/>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360" w:after="120" w:line="276" w:lineRule="auto"/>
      <w:ind w:left="0" w:right="0" w:firstLine="0"/>
      <w:jc w:val="left"/>
    </w:pPr>
    <w:rPr>
      <w:rFonts w:ascii="Arial" w:hAnsi="Arial" w:eastAsia="Arial" w:cs="Arial"/>
      <w:color w:val="000000"/>
      <w:sz w:val="32"/>
      <w:szCs w:val="32"/>
      <w:u w:val="none"/>
      <w:shd w:val="clear" w:fill="auto"/>
      <w:vertAlign w:val="baseline"/>
    </w:rPr>
  </w:style>
  <w:style w:type="paragraph" w:styleId="4">
    <w:name w:val="heading 3"/>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320" w:after="80" w:line="276" w:lineRule="auto"/>
      <w:ind w:left="0" w:right="0" w:firstLine="0"/>
      <w:jc w:val="left"/>
    </w:pPr>
    <w:rPr>
      <w:rFonts w:ascii="Arial" w:hAnsi="Arial" w:eastAsia="Arial" w:cs="Arial"/>
      <w:color w:val="434343"/>
      <w:sz w:val="28"/>
      <w:szCs w:val="28"/>
      <w:u w:val="none"/>
      <w:shd w:val="clear" w:fill="auto"/>
      <w:vertAlign w:val="baseline"/>
    </w:rPr>
  </w:style>
  <w:style w:type="paragraph" w:styleId="5">
    <w:name w:val="heading 4"/>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80" w:after="80" w:line="276" w:lineRule="auto"/>
      <w:ind w:left="0" w:right="0" w:firstLine="0"/>
      <w:jc w:val="left"/>
    </w:pPr>
    <w:rPr>
      <w:rFonts w:ascii="Arial" w:hAnsi="Arial" w:eastAsia="Arial" w:cs="Arial"/>
      <w:color w:val="666666"/>
      <w:sz w:val="24"/>
      <w:szCs w:val="24"/>
      <w:u w:val="none"/>
      <w:shd w:val="clear" w:fill="auto"/>
      <w:vertAlign w:val="baseline"/>
    </w:rPr>
  </w:style>
  <w:style w:type="paragraph" w:styleId="6">
    <w:name w:val="heading 5"/>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40" w:after="80" w:line="276" w:lineRule="auto"/>
      <w:ind w:left="0" w:right="0" w:firstLine="0"/>
      <w:jc w:val="left"/>
    </w:pPr>
    <w:rPr>
      <w:rFonts w:ascii="Arial" w:hAnsi="Arial" w:eastAsia="Arial" w:cs="Arial"/>
      <w:color w:val="666666"/>
      <w:sz w:val="22"/>
      <w:szCs w:val="22"/>
      <w:u w:val="none"/>
      <w:shd w:val="clear" w:fill="auto"/>
      <w:vertAlign w:val="baseline"/>
    </w:rPr>
  </w:style>
  <w:style w:type="paragraph" w:styleId="7">
    <w:name w:val="heading 6"/>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40" w:after="80" w:line="276" w:lineRule="auto"/>
      <w:ind w:left="0" w:right="0" w:firstLine="0"/>
      <w:jc w:val="left"/>
    </w:pPr>
    <w:rPr>
      <w:rFonts w:ascii="Arial" w:hAnsi="Arial" w:eastAsia="Arial" w:cs="Arial"/>
      <w:i/>
      <w:color w:val="666666"/>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annotation text"/>
    <w:basedOn w:val="1"/>
    <w:uiPriority w:val="0"/>
    <w:pPr>
      <w:jc w:val="left"/>
    </w:pPr>
  </w:style>
  <w:style w:type="paragraph" w:styleId="11">
    <w:name w:val="Normal (Web)"/>
    <w:qFormat/>
    <w:uiPriority w:val="0"/>
    <w:pPr>
      <w:spacing w:before="0" w:beforeAutospacing="1" w:after="0" w:afterAutospacing="1" w:line="276" w:lineRule="auto"/>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320" w:line="276" w:lineRule="auto"/>
      <w:ind w:left="0" w:right="0" w:firstLine="0"/>
      <w:jc w:val="left"/>
    </w:pPr>
    <w:rPr>
      <w:rFonts w:ascii="Arial" w:hAnsi="Arial" w:eastAsia="Arial" w:cs="Arial"/>
      <w:color w:val="666666"/>
      <w:sz w:val="30"/>
      <w:szCs w:val="30"/>
      <w:u w:val="none"/>
      <w:shd w:val="clear" w:fill="auto"/>
      <w:vertAlign w:val="baseline"/>
    </w:rPr>
  </w:style>
  <w:style w:type="paragraph" w:styleId="14">
    <w:name w:val="Title"/>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60" w:line="276" w:lineRule="auto"/>
      <w:ind w:left="0" w:right="0" w:firstLine="0"/>
      <w:jc w:val="left"/>
    </w:pPr>
    <w:rPr>
      <w:rFonts w:ascii="Arial" w:hAnsi="Arial" w:eastAsia="Arial" w:cs="Arial"/>
      <w:color w:val="000000"/>
      <w:sz w:val="52"/>
      <w:szCs w:val="52"/>
      <w:u w:val="none"/>
      <w:shd w:val="clear" w:fill="auto"/>
      <w:vertAlign w:val="baseline"/>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rPr>
      <w:vertAlign w:val="baseline"/>
    </w:rPr>
    <w:tblPr>
      <w:tblCellMar>
        <w:top w:w="15" w:type="dxa"/>
        <w:left w:w="15" w:type="dxa"/>
        <w:bottom w:w="15" w:type="dxa"/>
        <w:right w:w="15" w:type="dxa"/>
      </w:tblCellMar>
    </w:tblPr>
  </w:style>
  <w:style w:type="table" w:customStyle="1" w:styleId="17">
    <w:name w:val="_Style 11"/>
    <w:basedOn w:val="15"/>
    <w:qFormat/>
    <w:uiPriority w:val="0"/>
    <w:rPr>
      <w:vertAlign w:val="baseline"/>
    </w:rPr>
    <w:tblPr>
      <w:tblCellMar>
        <w:top w:w="15" w:type="dxa"/>
        <w:left w:w="15" w:type="dxa"/>
        <w:bottom w:w="15" w:type="dxa"/>
        <w:right w:w="15" w:type="dxa"/>
      </w:tblCellMar>
    </w:tblPr>
  </w:style>
  <w:style w:type="table" w:customStyle="1" w:styleId="18">
    <w:name w:val="_Style 17"/>
    <w:basedOn w:val="15"/>
    <w:qFormat/>
    <w:uiPriority w:val="0"/>
    <w:rPr>
      <w:vertAlign w:val="baseline"/>
    </w:rPr>
    <w:tblPr>
      <w:tblCellMar>
        <w:top w:w="15" w:type="dxa"/>
        <w:left w:w="15" w:type="dxa"/>
        <w:bottom w:w="15" w:type="dxa"/>
        <w:right w:w="15" w:type="dxa"/>
      </w:tblCellMar>
    </w:tblPr>
  </w:style>
  <w:style w:type="table" w:customStyle="1" w:styleId="19">
    <w:name w:val="_Style 18"/>
    <w:basedOn w:val="15"/>
    <w:qFormat/>
    <w:uiPriority w:val="0"/>
    <w:rPr>
      <w:vertAlign w:val="baseline"/>
    </w:rPr>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lOsBLt0BvjqO48MW7i4iFaVdg==">CgMxLjAyDmguaTNsZWJ2eTg1dmM2Mg1oLnJ3anIzcjc4bm9zOAByITFvMkdSekk1U2ZYYURTT0Myc0xXdzJxdE94VHhQOHhhUw==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45</Pages>
  <TotalTime>40</TotalTime>
  <ScaleCrop>false</ScaleCrop>
  <LinksUpToDate>false</LinksUpToDate>
  <Application>WPS Office_12.2.0.22556_F1E327BC-269C-435d-A152-05C5408002CA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2025-08-30T16:38:00Z</dcterms:created>
  <dc:creator>CHUWI</dc:creator>
  <cp:lastModifiedBy>AnnaMaica Macal</cp:lastModifiedBy>
  <dcterms:modified xsi:type="dcterms:W3CDTF">2025-10-22T03:45:50Z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AE5294C6B7C64D2A91E799185C3EE132_13</vt:lpwstr>
  </property>
</Properties>
</file>