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04788" w14:textId="5319C8F9" w:rsidR="004A2D96" w:rsidRPr="0010685D" w:rsidRDefault="00B83EA1" w:rsidP="00876044">
      <w:pPr>
        <w:rPr>
          <w:b/>
          <w:sz w:val="20"/>
          <w:u w:val="single"/>
        </w:rPr>
      </w:pPr>
      <w:r w:rsidRPr="0010685D">
        <w:rPr>
          <w:b/>
          <w:sz w:val="20"/>
          <w:u w:val="single"/>
        </w:rPr>
        <w:t xml:space="preserve">Description </w:t>
      </w:r>
      <w:r w:rsidR="00655F81" w:rsidRPr="0010685D">
        <w:rPr>
          <w:b/>
          <w:sz w:val="20"/>
          <w:u w:val="single"/>
        </w:rPr>
        <w:t>of</w:t>
      </w:r>
      <w:r w:rsidRPr="0010685D">
        <w:rPr>
          <w:b/>
          <w:sz w:val="20"/>
          <w:u w:val="single"/>
        </w:rPr>
        <w:t xml:space="preserve"> Implementation</w:t>
      </w:r>
    </w:p>
    <w:p w14:paraId="1F3FE94D" w14:textId="4DBF213C" w:rsidR="00E112B7" w:rsidRPr="00B31AD1" w:rsidRDefault="00E112B7" w:rsidP="00876044">
      <w:pPr>
        <w:rPr>
          <w:i/>
          <w:sz w:val="16"/>
        </w:rPr>
      </w:pPr>
      <w:r w:rsidRPr="00B31AD1">
        <w:rPr>
          <w:i/>
          <w:sz w:val="16"/>
        </w:rPr>
        <w:t xml:space="preserve">I have given a line-by-line breakdown of the code with through comments in the my_retriever.py file. This section aims to tie those comments back to the mathematical concepts. </w:t>
      </w:r>
    </w:p>
    <w:p w14:paraId="3B183CF4" w14:textId="7A9B1FDB" w:rsidR="00943853" w:rsidRPr="0010685D" w:rsidRDefault="00943853" w:rsidP="00943853">
      <w:pPr>
        <w:jc w:val="both"/>
        <w:rPr>
          <w:sz w:val="20"/>
        </w:rPr>
      </w:pPr>
      <w:r w:rsidRPr="0010685D">
        <w:rPr>
          <w:sz w:val="20"/>
        </w:rPr>
        <w:t>For each of the implementations, a cosine similarity measure is used to measure the similarity between a document and the query. This measure is defined</w:t>
      </w:r>
      <w:r w:rsidR="005A10F5" w:rsidRPr="0010685D">
        <w:rPr>
          <w:sz w:val="20"/>
        </w:rPr>
        <w:t xml:space="preserve"> and subsequently refined to</w:t>
      </w:r>
      <w:r w:rsidRPr="0010685D">
        <w:rPr>
          <w:sz w:val="20"/>
        </w:rPr>
        <w:t>:</w:t>
      </w:r>
    </w:p>
    <w:p w14:paraId="2BE726AC" w14:textId="46797894" w:rsidR="00943853" w:rsidRPr="00B82919" w:rsidRDefault="00B82919" w:rsidP="00943853">
      <w:pPr>
        <w:jc w:val="center"/>
        <w:rPr>
          <w:rFonts w:eastAsiaTheme="minorEastAsia"/>
          <w:sz w:val="18"/>
        </w:rPr>
      </w:pPr>
      <m:oMath>
        <m:func>
          <m:funcPr>
            <m:ctrlPr>
              <w:rPr>
                <w:rFonts w:ascii="Cambria Math" w:hAnsi="Cambria Math"/>
                <w:i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1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18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</w:rPr>
                      <m:t>d</m:t>
                    </m:r>
                  </m:e>
                </m:acc>
              </m:e>
            </m:d>
          </m:e>
        </m:func>
        <m:r>
          <w:rPr>
            <w:rFonts w:ascii="Cambria Math" w:hAnsi="Cambria Math"/>
            <w:sz w:val="1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  <m:r>
          <w:rPr>
            <w:rFonts w:ascii="Cambria Math" w:hAnsi="Cambria Math"/>
            <w:sz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8"/>
                  </w:rPr>
                </m:ctrlPr>
              </m:naryPr>
              <m:sub>
                <m:r>
                  <w:rPr>
                    <w:rFonts w:ascii="Cambria Math" w:hAnsi="Cambria Math"/>
                    <w:sz w:val="1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1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18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1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5A10F5" w:rsidRPr="00B82919">
        <w:rPr>
          <w:rFonts w:eastAsiaTheme="minorEastAsia"/>
          <w:sz w:val="18"/>
        </w:rPr>
        <w:t xml:space="preserve"> </w:t>
      </w:r>
    </w:p>
    <w:p w14:paraId="209617C2" w14:textId="7E8C2677" w:rsidR="00BD6377" w:rsidRDefault="00B82919" w:rsidP="006274AD">
      <w:pPr>
        <w:jc w:val="both"/>
        <w:rPr>
          <w:rFonts w:eastAsiaTheme="minorEastAsia"/>
          <w:sz w:val="20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e>
            </m:nary>
          </m:e>
        </m:rad>
      </m:oMath>
      <w:r w:rsidR="005A10F5" w:rsidRPr="0010685D">
        <w:rPr>
          <w:rFonts w:eastAsiaTheme="minorEastAsia"/>
          <w:sz w:val="20"/>
        </w:rPr>
        <w:t xml:space="preserve"> is constant as each document is compared against the same query, therefore we need not compute it. </w:t>
      </w:r>
      <w:r w:rsidR="00F56E20">
        <w:rPr>
          <w:rFonts w:eastAsiaTheme="minorEastAsia"/>
          <w:sz w:val="20"/>
        </w:rPr>
        <w:t>The similarity measure can now be computed in two parts.</w:t>
      </w:r>
      <w:r w:rsidR="00F56E20" w:rsidRPr="0010685D">
        <w:rPr>
          <w:rFonts w:eastAsiaTheme="minorEastAsia"/>
          <w:sz w:val="20"/>
        </w:rPr>
        <w:t xml:space="preserve"> </w:t>
      </w:r>
      <w:r w:rsidR="0081637E" w:rsidRPr="0010685D">
        <w:rPr>
          <w:rFonts w:eastAsiaTheme="minorEastAsia"/>
          <w:sz w:val="20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e>
            </m:nary>
          </m:e>
        </m:rad>
      </m:oMath>
      <w:r w:rsidR="0081637E" w:rsidRPr="0010685D">
        <w:rPr>
          <w:rFonts w:eastAsiaTheme="minorEastAsia"/>
          <w:sz w:val="20"/>
        </w:rPr>
        <w:t>)</w:t>
      </w:r>
      <w:r w:rsidR="006274AD" w:rsidRPr="0010685D">
        <w:rPr>
          <w:rFonts w:eastAsiaTheme="minorEastAsia"/>
          <w:sz w:val="20"/>
        </w:rPr>
        <w:t xml:space="preserve"> can be computed ahead of query </w:t>
      </w:r>
      <w:r w:rsidR="00F56E20">
        <w:rPr>
          <w:rFonts w:eastAsiaTheme="minorEastAsia"/>
          <w:sz w:val="20"/>
        </w:rPr>
        <w:t>processing</w:t>
      </w:r>
      <w:r w:rsidR="006274AD" w:rsidRPr="0010685D">
        <w:rPr>
          <w:rFonts w:eastAsiaTheme="minorEastAsia"/>
          <w:sz w:val="20"/>
        </w:rPr>
        <w:t xml:space="preserve">, while </w:t>
      </w:r>
      <w:r w:rsidR="0081637E" w:rsidRPr="0010685D">
        <w:rPr>
          <w:rFonts w:eastAsiaTheme="minorEastAsia"/>
          <w:sz w:val="20"/>
        </w:rPr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i</m:t>
                </m:r>
              </m:sub>
            </m:sSub>
          </m:e>
        </m:nary>
      </m:oMath>
      <w:r w:rsidR="0081637E" w:rsidRPr="0010685D">
        <w:rPr>
          <w:rFonts w:eastAsiaTheme="minorEastAsia"/>
          <w:sz w:val="20"/>
        </w:rPr>
        <w:t>)</w:t>
      </w:r>
      <w:r w:rsidR="006274AD" w:rsidRPr="0010685D">
        <w:rPr>
          <w:rFonts w:eastAsiaTheme="minorEastAsia"/>
          <w:sz w:val="20"/>
        </w:rPr>
        <w:t xml:space="preserve"> must be computed </w:t>
      </w:r>
      <w:r w:rsidR="00F72086" w:rsidRPr="0010685D">
        <w:rPr>
          <w:rFonts w:eastAsiaTheme="minorEastAsia"/>
          <w:sz w:val="20"/>
        </w:rPr>
        <w:t xml:space="preserve">for each </w:t>
      </w:r>
      <w:r w:rsidR="006274AD" w:rsidRPr="0010685D">
        <w:rPr>
          <w:rFonts w:eastAsiaTheme="minorEastAsia"/>
          <w:sz w:val="20"/>
        </w:rPr>
        <w:t>query provided.</w:t>
      </w:r>
      <w:r w:rsidR="00BD6377" w:rsidRPr="0010685D">
        <w:rPr>
          <w:rFonts w:eastAsiaTheme="minorEastAsia"/>
          <w:sz w:val="20"/>
        </w:rPr>
        <w:t xml:space="preserve"> </w:t>
      </w:r>
      <w:r w:rsidR="00571D6D" w:rsidRPr="0010685D">
        <w:rPr>
          <w:rFonts w:eastAsiaTheme="minorEastAsia"/>
          <w:sz w:val="20"/>
        </w:rPr>
        <w:t xml:space="preserve">Both </w:t>
      </w:r>
      <w:r w:rsidR="00BD6377" w:rsidRPr="0010685D">
        <w:rPr>
          <w:rFonts w:eastAsiaTheme="minorEastAsia"/>
          <w:sz w:val="20"/>
        </w:rPr>
        <w:t xml:space="preserve">components </w:t>
      </w:r>
      <w:r w:rsidR="00CD2597" w:rsidRPr="0010685D">
        <w:rPr>
          <w:rFonts w:eastAsiaTheme="minorEastAsia"/>
          <w:sz w:val="20"/>
        </w:rPr>
        <w:t xml:space="preserve">mentioned above </w:t>
      </w:r>
      <w:r w:rsidR="00BD6377" w:rsidRPr="0010685D">
        <w:rPr>
          <w:rFonts w:eastAsiaTheme="minorEastAsia"/>
          <w:sz w:val="20"/>
        </w:rPr>
        <w:t>are stored as lists, “self.doc_l” and “qd_sum” respectively</w:t>
      </w:r>
      <w:r w:rsidR="00F56E20">
        <w:rPr>
          <w:rFonts w:eastAsiaTheme="minorEastAsia"/>
          <w:sz w:val="20"/>
        </w:rPr>
        <w:t>,</w:t>
      </w:r>
      <w:r w:rsidR="00BD6377" w:rsidRPr="0010685D">
        <w:rPr>
          <w:rFonts w:eastAsiaTheme="minorEastAsia"/>
          <w:sz w:val="20"/>
        </w:rPr>
        <w:t xml:space="preserve"> as</w:t>
      </w:r>
      <w:r w:rsidR="001559A4" w:rsidRPr="0010685D">
        <w:rPr>
          <w:rFonts w:eastAsiaTheme="minorEastAsia"/>
          <w:sz w:val="20"/>
        </w:rPr>
        <w:t xml:space="preserve"> experimentation showed that this was </w:t>
      </w:r>
      <w:r w:rsidR="00B31AD1">
        <w:rPr>
          <w:rFonts w:eastAsiaTheme="minorEastAsia"/>
          <w:sz w:val="20"/>
        </w:rPr>
        <w:t>processed faster than a</w:t>
      </w:r>
      <w:r w:rsidR="001559A4" w:rsidRPr="0010685D">
        <w:rPr>
          <w:rFonts w:eastAsiaTheme="minorEastAsia"/>
          <w:sz w:val="20"/>
        </w:rPr>
        <w:t xml:space="preserve"> dictionary</w:t>
      </w:r>
      <w:r w:rsidR="00BD6377" w:rsidRPr="0010685D">
        <w:rPr>
          <w:rFonts w:eastAsiaTheme="minorEastAsia"/>
          <w:sz w:val="20"/>
        </w:rPr>
        <w:t xml:space="preserve">. </w:t>
      </w:r>
      <w:r w:rsidR="00815B97" w:rsidRPr="0010685D">
        <w:rPr>
          <w:rFonts w:eastAsiaTheme="minorEastAsia"/>
          <w:sz w:val="20"/>
        </w:rPr>
        <w:t>“self.doc_</w:t>
      </w:r>
      <w:proofErr w:type="gramStart"/>
      <w:r w:rsidR="00815B97" w:rsidRPr="0010685D">
        <w:rPr>
          <w:rFonts w:eastAsiaTheme="minorEastAsia"/>
          <w:sz w:val="20"/>
        </w:rPr>
        <w:t>l[</w:t>
      </w:r>
      <w:proofErr w:type="gramEnd"/>
      <w:r w:rsidR="00815B97" w:rsidRPr="0010685D">
        <w:rPr>
          <w:rFonts w:eastAsiaTheme="minorEastAsia"/>
          <w:sz w:val="20"/>
        </w:rPr>
        <w:t>0]” gives the length of document one, index one gives the length of document two and so on</w:t>
      </w:r>
      <w:r w:rsidR="00DC4669">
        <w:rPr>
          <w:rFonts w:eastAsiaTheme="minorEastAsia"/>
          <w:sz w:val="20"/>
        </w:rPr>
        <w:t xml:space="preserve"> </w:t>
      </w:r>
      <w:r w:rsidR="006931E9">
        <w:rPr>
          <w:rFonts w:eastAsiaTheme="minorEastAsia"/>
          <w:sz w:val="20"/>
        </w:rPr>
        <w:t>- the same logic applies to qd_sum.</w:t>
      </w:r>
    </w:p>
    <w:p w14:paraId="12827ACC" w14:textId="2D575764" w:rsidR="00C22DCC" w:rsidRPr="0010685D" w:rsidRDefault="00C22DCC" w:rsidP="006274AD">
      <w:pPr>
        <w:jc w:val="both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Each implementation also needs the </w:t>
      </w:r>
      <w:r w:rsidR="00910214">
        <w:rPr>
          <w:rFonts w:eastAsiaTheme="minorEastAsia"/>
          <w:sz w:val="20"/>
        </w:rPr>
        <w:t>size of the collection</w:t>
      </w:r>
      <w:r>
        <w:rPr>
          <w:rFonts w:eastAsiaTheme="minorEastAsia"/>
          <w:sz w:val="20"/>
        </w:rPr>
        <w:t xml:space="preserve">. This is found by taking the set of document numbers on the second level of the dictionary, then taking the length of that set. </w:t>
      </w:r>
    </w:p>
    <w:p w14:paraId="2080D466" w14:textId="254AC531" w:rsidR="00260886" w:rsidRPr="0001398B" w:rsidRDefault="009B2897" w:rsidP="00353720">
      <w:pPr>
        <w:jc w:val="both"/>
        <w:rPr>
          <w:rFonts w:eastAsiaTheme="minorEastAsia"/>
          <w:sz w:val="20"/>
        </w:rPr>
      </w:pPr>
      <w:r w:rsidRPr="0010685D">
        <w:rPr>
          <w:sz w:val="20"/>
        </w:rPr>
        <w:t>For TF</w:t>
      </w:r>
      <w:r w:rsidR="00C22DCC">
        <w:rPr>
          <w:sz w:val="20"/>
        </w:rPr>
        <w:t>-</w:t>
      </w:r>
      <w:r w:rsidRPr="0010685D">
        <w:rPr>
          <w:sz w:val="20"/>
        </w:rPr>
        <w:t>IDF</w:t>
      </w:r>
      <w:r w:rsidR="00C22DCC">
        <w:rPr>
          <w:sz w:val="20"/>
        </w:rPr>
        <w:t xml:space="preserve"> we also need to compute </w:t>
      </w:r>
      <w:r w:rsidR="00D905B9">
        <w:rPr>
          <w:sz w:val="20"/>
        </w:rPr>
        <w:t xml:space="preserve">document frequency of a word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w</m:t>
            </m:r>
          </m:sub>
        </m:sSub>
      </m:oMath>
      <w:r w:rsidR="00D905B9">
        <w:rPr>
          <w:rFonts w:eastAsiaTheme="minorEastAsia"/>
          <w:sz w:val="20"/>
        </w:rPr>
        <w:t>.</w:t>
      </w:r>
      <w:r w:rsidR="00D905B9">
        <w:rPr>
          <w:sz w:val="20"/>
        </w:rPr>
        <w:t xml:space="preserve"> This is stored in a dictionary mapping the word to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w</m:t>
            </m:r>
          </m:sub>
        </m:sSub>
      </m:oMath>
      <w:r w:rsidR="00D905B9">
        <w:rPr>
          <w:rFonts w:eastAsiaTheme="minorEastAsia"/>
          <w:sz w:val="20"/>
        </w:rPr>
        <w:t xml:space="preserve">. It is computed using a dictionary comprehension which iterates across terms in the index and records </w:t>
      </w:r>
      <w:r w:rsidR="00260886">
        <w:rPr>
          <w:rFonts w:eastAsiaTheme="minorEastAsia"/>
          <w:sz w:val="20"/>
        </w:rPr>
        <w:t>the number of documents on the second level of the dictionary for the given word.</w:t>
      </w:r>
      <w:r w:rsidR="0001398B">
        <w:rPr>
          <w:rFonts w:eastAsiaTheme="minorEastAsia"/>
          <w:sz w:val="20"/>
        </w:rPr>
        <w:t xml:space="preserve"> We also need to compute the </w:t>
      </w:r>
      <w:r w:rsidR="00FE22D0">
        <w:rPr>
          <w:rFonts w:eastAsiaTheme="minorEastAsia"/>
          <w:sz w:val="20"/>
        </w:rPr>
        <w:t>IDF</w:t>
      </w:r>
      <w:r w:rsidR="0001398B">
        <w:rPr>
          <w:rFonts w:eastAsiaTheme="minorEastAsia"/>
          <w:sz w:val="20"/>
        </w:rPr>
        <w:t xml:space="preserve"> for each word. This is computed using a dictionary comprehension which iterates across the </w:t>
      </w:r>
      <m:oMath>
        <m:sSub>
          <m:sSubPr>
            <m:ctrlPr>
              <w:rPr>
                <w:rFonts w:ascii="Cambria Math" w:hAnsi="Cambria Math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</w:rPr>
              <m:t>df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0"/>
              </w:rPr>
              <m:t>w</m:t>
            </m:r>
          </m:sub>
        </m:sSub>
      </m:oMath>
      <w:r w:rsidR="0001398B">
        <w:rPr>
          <w:rFonts w:eastAsiaTheme="minorEastAsia"/>
          <w:sz w:val="20"/>
        </w:rPr>
        <w:t xml:space="preserve"> dictionary, dividing each of these values by </w:t>
      </w:r>
      <m:oMath>
        <m:r>
          <w:rPr>
            <w:rFonts w:ascii="Cambria Math" w:eastAsiaTheme="minorEastAsia" w:hAnsi="Cambria Math"/>
            <w:sz w:val="20"/>
          </w:rPr>
          <m:t>|D|</m:t>
        </m:r>
      </m:oMath>
      <w:r w:rsidR="0001398B">
        <w:rPr>
          <w:rFonts w:eastAsiaTheme="minorEastAsia"/>
          <w:sz w:val="20"/>
        </w:rPr>
        <w:t xml:space="preserve"> and taking logarithms.</w:t>
      </w:r>
      <w:r w:rsidR="00353720">
        <w:rPr>
          <w:rFonts w:eastAsiaTheme="minorEastAsia"/>
          <w:sz w:val="20"/>
        </w:rPr>
        <w:t xml:space="preserve"> We finally compute TF-IDF with a nested dictionary comprehension</w:t>
      </w:r>
      <w:r w:rsidR="0001398B">
        <w:rPr>
          <w:rFonts w:eastAsiaTheme="minorEastAsia"/>
          <w:sz w:val="20"/>
        </w:rPr>
        <w:t xml:space="preserve"> </w:t>
      </w:r>
      <w:r w:rsidR="00353720">
        <w:rPr>
          <w:rFonts w:eastAsiaTheme="minorEastAsia"/>
          <w:sz w:val="20"/>
        </w:rPr>
        <w:t>c</w:t>
      </w:r>
      <w:r w:rsidR="00353720" w:rsidRPr="00353720">
        <w:rPr>
          <w:rFonts w:eastAsiaTheme="minorEastAsia"/>
          <w:sz w:val="20"/>
        </w:rPr>
        <w:t>ycl</w:t>
      </w:r>
      <w:r w:rsidR="00353720">
        <w:rPr>
          <w:rFonts w:eastAsiaTheme="minorEastAsia"/>
          <w:sz w:val="20"/>
        </w:rPr>
        <w:t>ing</w:t>
      </w:r>
      <w:r w:rsidR="00353720" w:rsidRPr="00353720">
        <w:rPr>
          <w:rFonts w:eastAsiaTheme="minorEastAsia"/>
          <w:sz w:val="20"/>
        </w:rPr>
        <w:t xml:space="preserve"> through </w:t>
      </w:r>
      <w:r w:rsidR="00353720">
        <w:rPr>
          <w:rFonts w:eastAsiaTheme="minorEastAsia"/>
          <w:sz w:val="20"/>
        </w:rPr>
        <w:t xml:space="preserve">each </w:t>
      </w:r>
      <w:r w:rsidR="00DE2087" w:rsidRPr="00353720">
        <w:rPr>
          <w:rFonts w:eastAsiaTheme="minorEastAsia"/>
          <w:sz w:val="20"/>
        </w:rPr>
        <w:t>document</w:t>
      </w:r>
      <w:r w:rsidR="00353720" w:rsidRPr="00353720">
        <w:rPr>
          <w:rFonts w:eastAsiaTheme="minorEastAsia"/>
          <w:sz w:val="20"/>
        </w:rPr>
        <w:t xml:space="preserve"> for a given word and multiply </w:t>
      </w:r>
      <w:r w:rsidR="00353720">
        <w:rPr>
          <w:rFonts w:eastAsiaTheme="minorEastAsia"/>
          <w:sz w:val="20"/>
        </w:rPr>
        <w:t xml:space="preserve">the corresponding </w:t>
      </w:r>
      <m:oMath>
        <m:r>
          <w:rPr>
            <w:rFonts w:ascii="Cambria Math" w:eastAsiaTheme="minorEastAsia" w:hAnsi="Cambria Math"/>
            <w:sz w:val="20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w,  d</m:t>
            </m:r>
          </m:sub>
        </m:sSub>
        <m:r>
          <w:rPr>
            <w:rFonts w:ascii="Cambria Math" w:eastAsiaTheme="minorEastAsia" w:hAnsi="Cambria Math"/>
            <w:sz w:val="20"/>
          </w:rPr>
          <m:t xml:space="preserve"> </m:t>
        </m:r>
      </m:oMath>
      <w:r w:rsidR="00353720">
        <w:rPr>
          <w:rFonts w:eastAsiaTheme="minorEastAsia"/>
          <w:sz w:val="20"/>
        </w:rPr>
        <w:t>b</w:t>
      </w:r>
      <w:r w:rsidR="00353720" w:rsidRPr="00353720">
        <w:rPr>
          <w:rFonts w:eastAsiaTheme="minorEastAsia"/>
          <w:sz w:val="20"/>
        </w:rPr>
        <w:t>y</w:t>
      </w:r>
      <w:r w:rsidR="00353720">
        <w:rPr>
          <w:rFonts w:eastAsiaTheme="minorEastAsia"/>
          <w:sz w:val="20"/>
        </w:rPr>
        <w:t xml:space="preserve"> the</w:t>
      </w:r>
      <w:r w:rsidR="00353720" w:rsidRPr="00353720">
        <w:rPr>
          <w:rFonts w:eastAsiaTheme="minorEastAsia"/>
          <w:sz w:val="20"/>
        </w:rPr>
        <w:t xml:space="preserve"> IDF for that word.</w:t>
      </w:r>
    </w:p>
    <w:p w14:paraId="705EF83F" w14:textId="2D5E372D" w:rsidR="0081637E" w:rsidRPr="0010685D" w:rsidRDefault="003247DB" w:rsidP="00E27A16">
      <w:pPr>
        <w:jc w:val="both"/>
        <w:rPr>
          <w:sz w:val="20"/>
        </w:rPr>
      </w:pPr>
      <w:r w:rsidRPr="0010685D">
        <w:rPr>
          <w:b/>
          <w:sz w:val="20"/>
        </w:rPr>
        <w:t>Binary Weighting</w:t>
      </w:r>
      <w:r w:rsidR="00476E50">
        <w:rPr>
          <w:b/>
          <w:sz w:val="20"/>
        </w:rPr>
        <w:t xml:space="preserve">: </w:t>
      </w:r>
      <w:r w:rsidR="0081637E" w:rsidRPr="0010685D">
        <w:rPr>
          <w:sz w:val="20"/>
        </w:rPr>
        <w:t xml:space="preserve">To compute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e>
            </m:nary>
          </m:e>
        </m:rad>
      </m:oMath>
      <w:r w:rsidR="00BD6377" w:rsidRPr="0010685D">
        <w:rPr>
          <w:sz w:val="20"/>
        </w:rPr>
        <w:t xml:space="preserve"> </w:t>
      </w:r>
      <w:r w:rsidR="003A3D96" w:rsidRPr="0010685D">
        <w:rPr>
          <w:sz w:val="20"/>
        </w:rPr>
        <w:t>the program loops through each word in the Inverted File Index (</w:t>
      </w:r>
      <m:oMath>
        <m:r>
          <w:rPr>
            <w:rFonts w:ascii="Cambria Math" w:eastAsiaTheme="minorEastAsia" w:hAnsi="Cambria Math"/>
            <w:sz w:val="20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w,  d</m:t>
            </m:r>
          </m:sub>
        </m:sSub>
      </m:oMath>
      <w:r w:rsidR="00DE2087">
        <w:rPr>
          <w:rFonts w:eastAsiaTheme="minorEastAsia"/>
          <w:sz w:val="20"/>
        </w:rPr>
        <w:t xml:space="preserve"> </w:t>
      </w:r>
      <w:r w:rsidR="00DE2087">
        <w:rPr>
          <w:sz w:val="20"/>
        </w:rPr>
        <w:t>dictionary</w:t>
      </w:r>
      <w:r w:rsidR="003A3D96" w:rsidRPr="0010685D">
        <w:rPr>
          <w:sz w:val="20"/>
        </w:rPr>
        <w:t>)</w:t>
      </w:r>
      <w:r w:rsidR="00DE2087">
        <w:rPr>
          <w:sz w:val="20"/>
        </w:rPr>
        <w:t xml:space="preserve"> </w:t>
      </w:r>
      <w:r w:rsidR="003A3D96" w:rsidRPr="0010685D">
        <w:rPr>
          <w:sz w:val="20"/>
        </w:rPr>
        <w:t xml:space="preserve">- then a nested loop </w:t>
      </w:r>
      <w:r w:rsidR="00CD37EF" w:rsidRPr="0010685D">
        <w:rPr>
          <w:sz w:val="20"/>
        </w:rPr>
        <w:t xml:space="preserve">iterates over the second level of the dictionary, for </w:t>
      </w:r>
      <w:r w:rsidR="003A3D96" w:rsidRPr="0010685D">
        <w:rPr>
          <w:sz w:val="20"/>
        </w:rPr>
        <w:t xml:space="preserve">each document </w:t>
      </w:r>
      <w:r w:rsidR="00CD37EF" w:rsidRPr="0010685D">
        <w:rPr>
          <w:sz w:val="20"/>
        </w:rPr>
        <w:t xml:space="preserve">containing the current </w:t>
      </w:r>
      <w:r w:rsidR="003A3D96" w:rsidRPr="0010685D">
        <w:rPr>
          <w:sz w:val="20"/>
        </w:rPr>
        <w:t xml:space="preserve">word. For each document containing the given word the document’s element in self.doc_l is incremented.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e>
            </m:nary>
          </m:e>
        </m:rad>
      </m:oMath>
      <w:r w:rsidR="00806206">
        <w:rPr>
          <w:rFonts w:eastAsiaTheme="minorEastAsia"/>
          <w:sz w:val="20"/>
        </w:rPr>
        <w:t xml:space="preserve"> is computed by taking the intersection of </w:t>
      </w:r>
      <w:r w:rsidR="009A0E30">
        <w:rPr>
          <w:rFonts w:eastAsiaTheme="minorEastAsia"/>
          <w:sz w:val="20"/>
        </w:rPr>
        <w:t xml:space="preserve">terms in </w:t>
      </w:r>
      <w:r w:rsidR="00806206">
        <w:rPr>
          <w:rFonts w:eastAsiaTheme="minorEastAsia"/>
          <w:sz w:val="20"/>
        </w:rPr>
        <w:t xml:space="preserve">the query and </w:t>
      </w:r>
      <w:r w:rsidR="009A0E30">
        <w:rPr>
          <w:rFonts w:eastAsiaTheme="minorEastAsia"/>
          <w:sz w:val="20"/>
        </w:rPr>
        <w:t xml:space="preserve">the index and incrementing qd_sum for the given document. </w:t>
      </w:r>
    </w:p>
    <w:p w14:paraId="46F22AD5" w14:textId="48BA9794" w:rsidR="00E112B7" w:rsidRPr="0010685D" w:rsidRDefault="003247DB" w:rsidP="00E27A16">
      <w:pPr>
        <w:jc w:val="both"/>
        <w:rPr>
          <w:sz w:val="20"/>
        </w:rPr>
      </w:pPr>
      <w:r w:rsidRPr="0010685D">
        <w:rPr>
          <w:b/>
          <w:sz w:val="20"/>
        </w:rPr>
        <w:t>Term-Frequency Weighting</w:t>
      </w:r>
      <w:r w:rsidR="00476E50">
        <w:rPr>
          <w:b/>
          <w:sz w:val="20"/>
        </w:rPr>
        <w:t xml:space="preserve">: </w:t>
      </w:r>
      <w:r w:rsidR="00E112B7" w:rsidRPr="0010685D">
        <w:rPr>
          <w:sz w:val="20"/>
        </w:rPr>
        <w:t xml:space="preserve">To compute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e>
            </m:nary>
          </m:e>
        </m:rad>
      </m:oMath>
      <w:r w:rsidR="00E112B7" w:rsidRPr="0010685D">
        <w:rPr>
          <w:rFonts w:eastAsiaTheme="minorEastAsia"/>
          <w:sz w:val="20"/>
        </w:rPr>
        <w:t xml:space="preserve"> the same logic is used as </w:t>
      </w:r>
      <w:r w:rsidR="00B4246E">
        <w:rPr>
          <w:rFonts w:eastAsiaTheme="minorEastAsia"/>
          <w:sz w:val="20"/>
        </w:rPr>
        <w:t>above</w:t>
      </w:r>
      <w:r w:rsidR="00E112B7" w:rsidRPr="0010685D">
        <w:rPr>
          <w:rFonts w:eastAsiaTheme="minorEastAsia"/>
          <w:sz w:val="20"/>
        </w:rPr>
        <w:t xml:space="preserve">, but instead of incrementing the relevant element in the document length array, we </w:t>
      </w:r>
      <w:r w:rsidR="00B4246E">
        <w:rPr>
          <w:rFonts w:eastAsiaTheme="minorEastAsia"/>
          <w:sz w:val="20"/>
        </w:rPr>
        <w:t xml:space="preserve">square </w:t>
      </w:r>
      <m:oMath>
        <m:r>
          <w:rPr>
            <w:rFonts w:ascii="Cambria Math" w:eastAsiaTheme="minorEastAsia" w:hAnsi="Cambria Math"/>
            <w:sz w:val="20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w,  d</m:t>
            </m:r>
          </m:sub>
        </m:sSub>
      </m:oMath>
      <w:r w:rsidR="00B4246E">
        <w:rPr>
          <w:rFonts w:eastAsiaTheme="minorEastAsia"/>
          <w:sz w:val="20"/>
        </w:rPr>
        <w:t xml:space="preserve"> our iterable is currently pointing to</w:t>
      </w:r>
      <w:r w:rsidR="00642A23">
        <w:rPr>
          <w:rFonts w:eastAsiaTheme="minorEastAsia"/>
          <w:sz w:val="20"/>
        </w:rPr>
        <w:t xml:space="preserve"> and</w:t>
      </w:r>
      <w:r w:rsidR="00B4246E">
        <w:rPr>
          <w:rFonts w:eastAsiaTheme="minorEastAsia"/>
          <w:sz w:val="20"/>
        </w:rPr>
        <w:t xml:space="preserve"> </w:t>
      </w:r>
      <w:r w:rsidR="00E112B7" w:rsidRPr="0010685D">
        <w:rPr>
          <w:rFonts w:eastAsiaTheme="minorEastAsia"/>
          <w:sz w:val="20"/>
        </w:rPr>
        <w:t xml:space="preserve">add </w:t>
      </w:r>
      <w:r w:rsidR="00642A23">
        <w:rPr>
          <w:rFonts w:eastAsiaTheme="minorEastAsia"/>
          <w:sz w:val="20"/>
        </w:rPr>
        <w:t>this value to the document’s element in the self.doc_l array.</w:t>
      </w:r>
      <w:r w:rsidR="009A0E30">
        <w:rPr>
          <w:rFonts w:eastAsiaTheme="minorEastAsia"/>
          <w:sz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e>
            </m:nary>
          </m:e>
        </m:rad>
      </m:oMath>
      <w:r w:rsidR="009A0E30">
        <w:rPr>
          <w:rFonts w:eastAsiaTheme="minorEastAsia"/>
          <w:sz w:val="20"/>
        </w:rPr>
        <w:t xml:space="preserve"> is calculated as above, except we take the product of </w:t>
      </w:r>
      <m:oMath>
        <m:r>
          <w:rPr>
            <w:rFonts w:ascii="Cambria Math" w:eastAsiaTheme="minorEastAsia" w:hAnsi="Cambria Math"/>
            <w:sz w:val="20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w,  d</m:t>
            </m:r>
          </m:sub>
        </m:sSub>
      </m:oMath>
      <w:r w:rsidR="009A0E30">
        <w:rPr>
          <w:rFonts w:eastAsiaTheme="minorEastAsia"/>
          <w:sz w:val="20"/>
        </w:rPr>
        <w:t xml:space="preserve"> in the document and </w:t>
      </w:r>
      <m:oMath>
        <m:r>
          <w:rPr>
            <w:rFonts w:ascii="Cambria Math" w:eastAsiaTheme="minorEastAsia" w:hAnsi="Cambria Math"/>
            <w:sz w:val="20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w,  q</m:t>
            </m:r>
          </m:sub>
        </m:sSub>
      </m:oMath>
      <w:r w:rsidR="009A0E30">
        <w:rPr>
          <w:rFonts w:eastAsiaTheme="minorEastAsia"/>
          <w:sz w:val="20"/>
        </w:rPr>
        <w:t>.</w:t>
      </w:r>
    </w:p>
    <w:p w14:paraId="4D8086C0" w14:textId="29A7A483" w:rsidR="00DE2087" w:rsidRPr="0010685D" w:rsidRDefault="003247DB" w:rsidP="00E27A16">
      <w:pPr>
        <w:jc w:val="both"/>
        <w:rPr>
          <w:sz w:val="20"/>
        </w:rPr>
      </w:pPr>
      <w:r w:rsidRPr="0010685D">
        <w:rPr>
          <w:b/>
          <w:sz w:val="20"/>
        </w:rPr>
        <w:t>TD-IDF Weighting</w:t>
      </w:r>
      <w:r w:rsidR="002E6E7F">
        <w:rPr>
          <w:b/>
          <w:sz w:val="20"/>
        </w:rPr>
        <w:t xml:space="preserve">: </w:t>
      </w:r>
      <w:r w:rsidR="00DE2087" w:rsidRPr="0010685D">
        <w:rPr>
          <w:sz w:val="20"/>
        </w:rPr>
        <w:t xml:space="preserve">To compute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e>
            </m:nary>
          </m:e>
        </m:rad>
      </m:oMath>
      <w:r w:rsidR="00DE2087" w:rsidRPr="0010685D">
        <w:rPr>
          <w:rFonts w:eastAsiaTheme="minorEastAsia"/>
          <w:sz w:val="20"/>
        </w:rPr>
        <w:t xml:space="preserve"> the same logic is</w:t>
      </w:r>
      <w:r w:rsidR="00DE2087">
        <w:rPr>
          <w:rFonts w:eastAsiaTheme="minorEastAsia"/>
          <w:sz w:val="20"/>
        </w:rPr>
        <w:t xml:space="preserve"> applied as above</w:t>
      </w:r>
      <w:r w:rsidR="00DE2087" w:rsidRPr="0010685D">
        <w:rPr>
          <w:rFonts w:eastAsiaTheme="minorEastAsia"/>
          <w:sz w:val="20"/>
        </w:rPr>
        <w:t>,</w:t>
      </w:r>
      <w:r w:rsidR="00DE2087">
        <w:rPr>
          <w:rFonts w:eastAsiaTheme="minorEastAsia"/>
          <w:sz w:val="20"/>
        </w:rPr>
        <w:t xml:space="preserve"> but this time our nested structure iterates over the TF-IDF dictionary instead of the </w:t>
      </w:r>
      <m:oMath>
        <m:r>
          <w:rPr>
            <w:rFonts w:ascii="Cambria Math" w:eastAsiaTheme="minorEastAsia" w:hAnsi="Cambria Math"/>
            <w:sz w:val="20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w,  d</m:t>
            </m:r>
          </m:sub>
        </m:sSub>
      </m:oMath>
      <w:r w:rsidR="00DE2087">
        <w:rPr>
          <w:rFonts w:eastAsiaTheme="minorEastAsia"/>
          <w:sz w:val="20"/>
        </w:rPr>
        <w:t xml:space="preserve">  dictionary</w:t>
      </w:r>
      <w:r w:rsidR="002E6E7F">
        <w:rPr>
          <w:rFonts w:eastAsiaTheme="minorEastAsia"/>
          <w:sz w:val="20"/>
        </w:rPr>
        <w:t xml:space="preserve">. For each third-level dictionary value the iterator points </w:t>
      </w:r>
      <w:r w:rsidR="009A463F">
        <w:rPr>
          <w:rFonts w:eastAsiaTheme="minorEastAsia"/>
          <w:sz w:val="20"/>
        </w:rPr>
        <w:t>to, we</w:t>
      </w:r>
      <w:r w:rsidR="002E6E7F">
        <w:rPr>
          <w:rFonts w:eastAsiaTheme="minorEastAsia"/>
          <w:sz w:val="20"/>
        </w:rPr>
        <w:t xml:space="preserve"> square this TF-IDF weight and add it to the current document’s element in</w:t>
      </w:r>
      <w:r w:rsidR="002E6E7F" w:rsidRPr="002E6E7F">
        <w:rPr>
          <w:rFonts w:eastAsiaTheme="minorEastAsia"/>
          <w:sz w:val="20"/>
        </w:rPr>
        <w:t xml:space="preserve"> </w:t>
      </w:r>
      <w:r w:rsidR="002E6E7F">
        <w:rPr>
          <w:rFonts w:eastAsiaTheme="minorEastAsia"/>
          <w:sz w:val="20"/>
        </w:rPr>
        <w:t>self.doc_l.</w:t>
      </w:r>
      <w:r w:rsidR="00B1642D">
        <w:rPr>
          <w:rFonts w:eastAsiaTheme="minorEastAsia"/>
          <w:sz w:val="20"/>
        </w:rPr>
        <w:t xml:space="preserve"> </w:t>
      </w:r>
      <w:r w:rsidR="00B1642D" w:rsidRPr="0010685D">
        <w:rPr>
          <w:sz w:val="20"/>
        </w:rPr>
        <w:t xml:space="preserve">After the loop terminates we have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</w:rPr>
            </m:ctrlPr>
          </m:naryPr>
          <m:sub>
            <m:r>
              <w:rPr>
                <w:rFonts w:ascii="Cambria Math" w:hAnsi="Cambria Math"/>
                <w:sz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0"/>
                  </w:rPr>
                  <m:t>2</m:t>
                </m:r>
              </m:sup>
            </m:sSup>
          </m:e>
        </m:nary>
      </m:oMath>
      <w:r w:rsidR="00B1642D">
        <w:rPr>
          <w:rFonts w:eastAsiaTheme="minorEastAsia"/>
          <w:sz w:val="20"/>
        </w:rPr>
        <w:t xml:space="preserve"> for the chosen weighting scheme</w:t>
      </w:r>
      <w:r w:rsidR="00B1642D" w:rsidRPr="0010685D">
        <w:rPr>
          <w:rFonts w:eastAsiaTheme="minorEastAsia"/>
          <w:sz w:val="20"/>
        </w:rPr>
        <w:t>, so a list comprehension is used to root each sum of squares</w:t>
      </w:r>
      <w:r w:rsidR="00B1642D">
        <w:rPr>
          <w:rFonts w:eastAsiaTheme="minorEastAsia"/>
          <w:sz w:val="20"/>
        </w:rPr>
        <w:t>, giving the Euclidian length of each document</w:t>
      </w:r>
      <w:r w:rsidR="00B1642D" w:rsidRPr="0010685D">
        <w:rPr>
          <w:rFonts w:eastAsiaTheme="minorEastAsia"/>
          <w:sz w:val="20"/>
        </w:rPr>
        <w:t>.</w:t>
      </w:r>
      <w:r w:rsidR="00B1642D">
        <w:rPr>
          <w:rFonts w:eastAsiaTheme="minorEastAsia"/>
          <w:sz w:val="2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0"/>
                  </w:rPr>
                </m:ctrlPr>
              </m:naryPr>
              <m:sub>
                <m:r>
                  <w:rPr>
                    <w:rFonts w:ascii="Cambria Math" w:hAnsi="Cambria Math"/>
                    <w:sz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</m:e>
            </m:nary>
          </m:e>
        </m:rad>
      </m:oMath>
      <w:r w:rsidR="00B1642D">
        <w:rPr>
          <w:rFonts w:eastAsiaTheme="minorEastAsia"/>
          <w:sz w:val="20"/>
        </w:rPr>
        <w:t xml:space="preserve"> is calculated as above except out term weights instead come from the TF-IDF dictionary. We must also compute the TF-IDF for intersecting terms in the query (non-intersecting terms have value </w:t>
      </w:r>
      <w:r w:rsidR="000C1595">
        <w:rPr>
          <w:rFonts w:eastAsiaTheme="minorEastAsia"/>
          <w:sz w:val="20"/>
        </w:rPr>
        <w:t xml:space="preserve">zero </w:t>
      </w:r>
      <w:r w:rsidR="00B1642D">
        <w:rPr>
          <w:rFonts w:eastAsiaTheme="minorEastAsia"/>
          <w:sz w:val="20"/>
        </w:rPr>
        <w:t xml:space="preserve">as </w:t>
      </w:r>
      <w:r w:rsidR="00495C73">
        <w:rPr>
          <w:rFonts w:eastAsiaTheme="minorEastAsia"/>
          <w:sz w:val="20"/>
        </w:rPr>
        <w:t>IDF for what word is</w:t>
      </w:r>
      <w:r w:rsidR="00B1642D">
        <w:rPr>
          <w:rFonts w:eastAsiaTheme="minorEastAsia"/>
          <w:sz w:val="20"/>
        </w:rPr>
        <w:t xml:space="preserve"> </w:t>
      </w:r>
      <w:r w:rsidR="000C1595">
        <w:rPr>
          <w:rFonts w:eastAsiaTheme="minorEastAsia"/>
          <w:sz w:val="20"/>
        </w:rPr>
        <w:t>zero</w:t>
      </w:r>
      <w:r w:rsidR="00B1642D">
        <w:rPr>
          <w:rFonts w:eastAsiaTheme="minorEastAsia"/>
          <w:sz w:val="20"/>
        </w:rPr>
        <w:t xml:space="preserve">). </w:t>
      </w:r>
    </w:p>
    <w:p w14:paraId="5F891135" w14:textId="05FC99FD" w:rsidR="003C5103" w:rsidRDefault="003C5103" w:rsidP="00876044">
      <w:pPr>
        <w:rPr>
          <w:b/>
          <w:sz w:val="20"/>
          <w:u w:val="single"/>
        </w:rPr>
      </w:pPr>
      <w:r>
        <w:rPr>
          <w:b/>
          <w:sz w:val="20"/>
          <w:u w:val="single"/>
        </w:rPr>
        <w:t>Results</w:t>
      </w:r>
    </w:p>
    <w:p w14:paraId="155AF972" w14:textId="511F98EE" w:rsidR="00493F9E" w:rsidRPr="00493F9E" w:rsidRDefault="00E27A16" w:rsidP="00E27A16">
      <w:pPr>
        <w:jc w:val="both"/>
        <w:rPr>
          <w:sz w:val="20"/>
        </w:rPr>
      </w:pPr>
      <w:r w:rsidRPr="0010685D">
        <w:rPr>
          <w:sz w:val="20"/>
        </w:rPr>
        <w:t>In each of the nine experiments which used pre-processing techniques, precision, recall and accuracy were improved.</w:t>
      </w:r>
    </w:p>
    <w:p w14:paraId="5CF17AD6" w14:textId="77777777" w:rsidR="00F9781C" w:rsidRDefault="003C5103" w:rsidP="00F9781C">
      <w:pPr>
        <w:rPr>
          <w:b/>
          <w:sz w:val="20"/>
        </w:rPr>
      </w:pPr>
      <w:r>
        <w:rPr>
          <w:b/>
          <w:sz w:val="20"/>
        </w:rPr>
        <w:t xml:space="preserve">Impact of </w:t>
      </w:r>
      <w:r w:rsidR="007420C0" w:rsidRPr="0010685D">
        <w:rPr>
          <w:b/>
          <w:sz w:val="20"/>
        </w:rPr>
        <w:t>Stop-Listing</w:t>
      </w:r>
      <w:r w:rsidR="007E1E29">
        <w:rPr>
          <w:b/>
          <w:sz w:val="20"/>
        </w:rPr>
        <w:t xml:space="preserve"> (SL)</w:t>
      </w:r>
    </w:p>
    <w:p w14:paraId="1D22FC75" w14:textId="540B9F77" w:rsidR="003A0E3F" w:rsidRPr="00F9781C" w:rsidRDefault="00876044" w:rsidP="00F9781C">
      <w:pPr>
        <w:rPr>
          <w:b/>
          <w:sz w:val="20"/>
        </w:rPr>
      </w:pPr>
      <w:r w:rsidRPr="0010685D">
        <w:rPr>
          <w:sz w:val="20"/>
        </w:rPr>
        <w:t xml:space="preserve">Stop-listing was most effective when used alongside term-frequency (TF) weighting. This is because TF rewards words the more they appear in the corpus, therefore </w:t>
      </w:r>
      <w:r w:rsidR="003A0E3F" w:rsidRPr="0010685D">
        <w:rPr>
          <w:sz w:val="20"/>
        </w:rPr>
        <w:t>high frequency, unimportant words like</w:t>
      </w:r>
      <w:r w:rsidRPr="0010685D">
        <w:rPr>
          <w:sz w:val="20"/>
        </w:rPr>
        <w:t xml:space="preserve"> “a” or “the” are </w:t>
      </w:r>
      <w:r w:rsidR="003A0E3F" w:rsidRPr="0010685D">
        <w:rPr>
          <w:sz w:val="20"/>
        </w:rPr>
        <w:lastRenderedPageBreak/>
        <w:t xml:space="preserve">given a large weighting. Applying </w:t>
      </w:r>
      <w:r w:rsidR="00A9375C">
        <w:rPr>
          <w:sz w:val="20"/>
        </w:rPr>
        <w:t xml:space="preserve">SL filters </w:t>
      </w:r>
      <w:r w:rsidR="00E27A16">
        <w:rPr>
          <w:sz w:val="20"/>
        </w:rPr>
        <w:t>out this kind of word</w:t>
      </w:r>
      <w:r w:rsidR="00A9375C">
        <w:rPr>
          <w:sz w:val="20"/>
        </w:rPr>
        <w:t xml:space="preserve">, </w:t>
      </w:r>
      <w:r w:rsidR="003A0E3F" w:rsidRPr="0010685D">
        <w:rPr>
          <w:sz w:val="20"/>
        </w:rPr>
        <w:t xml:space="preserve">so we just consider words which are high frequency in the text but not </w:t>
      </w:r>
      <w:r w:rsidR="00E27A16">
        <w:rPr>
          <w:sz w:val="20"/>
        </w:rPr>
        <w:t xml:space="preserve">necessarily </w:t>
      </w:r>
      <w:r w:rsidR="003A0E3F" w:rsidRPr="0010685D">
        <w:rPr>
          <w:sz w:val="20"/>
        </w:rPr>
        <w:t xml:space="preserve">across the language </w:t>
      </w:r>
      <w:r w:rsidR="00E27A16">
        <w:rPr>
          <w:sz w:val="20"/>
        </w:rPr>
        <w:t xml:space="preserve">(corpus dependent) </w:t>
      </w:r>
      <w:r w:rsidR="003A0E3F" w:rsidRPr="0010685D">
        <w:rPr>
          <w:sz w:val="20"/>
        </w:rPr>
        <w:t>as “important” instead.</w:t>
      </w:r>
      <w:r w:rsidR="00DB39F3" w:rsidRPr="0010685D">
        <w:rPr>
          <w:sz w:val="20"/>
        </w:rPr>
        <w:t xml:space="preserve"> For th</w:t>
      </w:r>
      <w:r w:rsidR="00E27A16">
        <w:rPr>
          <w:sz w:val="20"/>
        </w:rPr>
        <w:t xml:space="preserve">is </w:t>
      </w:r>
      <w:r w:rsidR="00DB39F3" w:rsidRPr="0010685D">
        <w:rPr>
          <w:sz w:val="20"/>
        </w:rPr>
        <w:t>reason, stop-listing also improved performance of when used alongside the binary weighting scheme. S</w:t>
      </w:r>
      <w:r w:rsidR="00E27A16">
        <w:rPr>
          <w:sz w:val="20"/>
        </w:rPr>
        <w:t xml:space="preserve">L marginally </w:t>
      </w:r>
      <w:r w:rsidR="00E27A16" w:rsidRPr="0010685D">
        <w:rPr>
          <w:sz w:val="20"/>
        </w:rPr>
        <w:t>improved</w:t>
      </w:r>
      <w:r w:rsidR="00DB39F3" w:rsidRPr="0010685D">
        <w:rPr>
          <w:sz w:val="20"/>
        </w:rPr>
        <w:t xml:space="preserve"> performance when used with TF</w:t>
      </w:r>
      <w:r w:rsidR="00E27A16">
        <w:rPr>
          <w:sz w:val="20"/>
        </w:rPr>
        <w:t>-</w:t>
      </w:r>
      <w:r w:rsidR="00DB39F3" w:rsidRPr="0010685D">
        <w:rPr>
          <w:sz w:val="20"/>
        </w:rPr>
        <w:t xml:space="preserve">IDF. This is because TFIDF </w:t>
      </w:r>
      <w:r w:rsidR="007036AD" w:rsidRPr="0010685D">
        <w:rPr>
          <w:sz w:val="20"/>
        </w:rPr>
        <w:t>gives a lower weight to words which are high frequency across the corpus</w:t>
      </w:r>
      <w:r w:rsidR="002A288E" w:rsidRPr="0010685D">
        <w:rPr>
          <w:sz w:val="20"/>
        </w:rPr>
        <w:t>- this is somewhat functionally</w:t>
      </w:r>
      <w:r w:rsidR="00E27A16">
        <w:rPr>
          <w:sz w:val="20"/>
        </w:rPr>
        <w:t xml:space="preserve"> equivalent</w:t>
      </w:r>
      <w:r w:rsidR="002A288E" w:rsidRPr="0010685D">
        <w:rPr>
          <w:sz w:val="20"/>
        </w:rPr>
        <w:t xml:space="preserve"> to the stop-list, </w:t>
      </w:r>
      <w:r w:rsidR="00E27A16">
        <w:rPr>
          <w:sz w:val="20"/>
        </w:rPr>
        <w:t>so the effect of the SL is dampened</w:t>
      </w:r>
      <w:r w:rsidR="002A288E" w:rsidRPr="0010685D">
        <w:rPr>
          <w:sz w:val="20"/>
        </w:rPr>
        <w:t>.</w:t>
      </w:r>
    </w:p>
    <w:p w14:paraId="4DB5E7A2" w14:textId="183F6229" w:rsidR="007420C0" w:rsidRPr="0010685D" w:rsidRDefault="003C5103" w:rsidP="00876044">
      <w:pPr>
        <w:jc w:val="both"/>
        <w:rPr>
          <w:b/>
          <w:sz w:val="20"/>
        </w:rPr>
      </w:pPr>
      <w:r>
        <w:rPr>
          <w:b/>
          <w:sz w:val="20"/>
        </w:rPr>
        <w:t xml:space="preserve">Impact of </w:t>
      </w:r>
      <w:r w:rsidR="007420C0" w:rsidRPr="0010685D">
        <w:rPr>
          <w:b/>
          <w:sz w:val="20"/>
        </w:rPr>
        <w:t>Stemming</w:t>
      </w:r>
      <w:r w:rsidR="007E1E29">
        <w:rPr>
          <w:b/>
          <w:sz w:val="20"/>
        </w:rPr>
        <w:t xml:space="preserve"> (ST)</w:t>
      </w:r>
    </w:p>
    <w:p w14:paraId="58B614B1" w14:textId="0BF35AE3" w:rsidR="00B35F32" w:rsidRPr="0010685D" w:rsidRDefault="00B35F32" w:rsidP="00876044">
      <w:pPr>
        <w:jc w:val="both"/>
        <w:rPr>
          <w:sz w:val="20"/>
        </w:rPr>
      </w:pPr>
      <w:r w:rsidRPr="0010685D">
        <w:rPr>
          <w:sz w:val="20"/>
        </w:rPr>
        <w:t xml:space="preserve">When used alongside a Binary or TF weighting scheme, the impact of stemming is minimal when compared to that of stop-listing. When used alongside a TFIDF weighting scheme, stemming results in significant improvements to both precision and accuracy over base TFIDF. </w:t>
      </w:r>
    </w:p>
    <w:p w14:paraId="1C801652" w14:textId="3BC3EF26" w:rsidR="007420C0" w:rsidRPr="0010685D" w:rsidRDefault="003C5103" w:rsidP="00876044">
      <w:pPr>
        <w:jc w:val="both"/>
        <w:rPr>
          <w:b/>
          <w:sz w:val="20"/>
        </w:rPr>
      </w:pPr>
      <w:r>
        <w:rPr>
          <w:b/>
          <w:sz w:val="20"/>
        </w:rPr>
        <w:t xml:space="preserve">Combining Stemming and </w:t>
      </w:r>
      <w:r w:rsidR="00515BC6">
        <w:rPr>
          <w:b/>
          <w:sz w:val="20"/>
        </w:rPr>
        <w:t>Stop-listing</w:t>
      </w:r>
    </w:p>
    <w:p w14:paraId="6D79EFCD" w14:textId="055AABAC" w:rsidR="002A288E" w:rsidRPr="0010685D" w:rsidRDefault="002A288E" w:rsidP="00876044">
      <w:pPr>
        <w:jc w:val="both"/>
        <w:rPr>
          <w:sz w:val="20"/>
        </w:rPr>
      </w:pPr>
      <w:r w:rsidRPr="0010685D">
        <w:rPr>
          <w:sz w:val="20"/>
        </w:rPr>
        <w:t>For all three weighting schemes a combination of stemming and stop-listing produces the best F-measure</w:t>
      </w:r>
      <w:r w:rsidR="004A2D96" w:rsidRPr="0010685D">
        <w:rPr>
          <w:sz w:val="20"/>
        </w:rPr>
        <w:t xml:space="preserve">, giving the best trade-off between precision and recall. </w:t>
      </w:r>
      <w:r w:rsidRPr="0010685D">
        <w:rPr>
          <w:sz w:val="20"/>
        </w:rPr>
        <w:t xml:space="preserve"> </w:t>
      </w:r>
      <w:r w:rsidR="00592E82">
        <w:rPr>
          <w:sz w:val="20"/>
        </w:rPr>
        <w:t>The average increase in precision when pre-processing is applied is 0.</w:t>
      </w:r>
      <w:r w:rsidR="00C66B28">
        <w:rPr>
          <w:sz w:val="20"/>
        </w:rPr>
        <w:t>0</w:t>
      </w:r>
      <w:r w:rsidR="00592E82">
        <w:rPr>
          <w:sz w:val="20"/>
        </w:rPr>
        <w:t>93</w:t>
      </w:r>
      <w:r w:rsidR="00C66B28">
        <w:rPr>
          <w:sz w:val="20"/>
        </w:rPr>
        <w:t xml:space="preserve">, while </w:t>
      </w:r>
      <w:r w:rsidR="00C51CB2">
        <w:rPr>
          <w:sz w:val="20"/>
        </w:rPr>
        <w:t xml:space="preserve">the average increase to recall is 0.073. This suggests these pre-processing </w:t>
      </w:r>
      <w:r w:rsidR="00544CB4">
        <w:rPr>
          <w:sz w:val="20"/>
        </w:rPr>
        <w:t>is</w:t>
      </w:r>
      <w:r w:rsidR="00C51CB2">
        <w:rPr>
          <w:sz w:val="20"/>
        </w:rPr>
        <w:t xml:space="preserve"> more effective at increasing precision than recall although</w:t>
      </w:r>
      <w:r w:rsidR="00AD29BB">
        <w:rPr>
          <w:sz w:val="20"/>
        </w:rPr>
        <w:t xml:space="preserve"> only slightly</w:t>
      </w:r>
      <w:r w:rsidR="00C51CB2">
        <w:rPr>
          <w:sz w:val="20"/>
        </w:rPr>
        <w:t>.</w:t>
      </w:r>
    </w:p>
    <w:p w14:paraId="40781048" w14:textId="66A8C648" w:rsidR="00272D8B" w:rsidRDefault="007E1E29" w:rsidP="00893B9B">
      <w:pPr>
        <w:rPr>
          <w:b/>
        </w:rPr>
      </w:pPr>
      <w:r>
        <w:rPr>
          <w:b/>
        </w:rPr>
        <w:t>Conclusion</w:t>
      </w:r>
    </w:p>
    <w:p w14:paraId="73CB9AE9" w14:textId="148A8329" w:rsidR="007E1E29" w:rsidRPr="00B5243E" w:rsidRDefault="007E1E29" w:rsidP="00FC7C70">
      <w:pPr>
        <w:jc w:val="both"/>
        <w:rPr>
          <w:sz w:val="20"/>
        </w:rPr>
      </w:pPr>
      <w:r w:rsidRPr="00B5243E">
        <w:rPr>
          <w:sz w:val="20"/>
        </w:rPr>
        <w:t>Overall, a TD-IDF</w:t>
      </w:r>
      <w:r w:rsidR="00B5243E">
        <w:rPr>
          <w:sz w:val="20"/>
        </w:rPr>
        <w:t xml:space="preserve"> c</w:t>
      </w:r>
      <w:bookmarkStart w:id="0" w:name="_GoBack"/>
      <w:bookmarkEnd w:id="0"/>
      <w:r w:rsidR="00B5243E">
        <w:rPr>
          <w:sz w:val="20"/>
        </w:rPr>
        <w:t>onfiguration</w:t>
      </w:r>
      <w:r w:rsidRPr="00B5243E">
        <w:rPr>
          <w:sz w:val="20"/>
        </w:rPr>
        <w:t xml:space="preserve"> with SL and ST </w:t>
      </w:r>
      <w:r w:rsidR="00B5243E">
        <w:rPr>
          <w:sz w:val="20"/>
        </w:rPr>
        <w:t>pre-processing gives the best F-measure</w:t>
      </w:r>
      <w:r w:rsidR="00B8587B">
        <w:rPr>
          <w:sz w:val="20"/>
        </w:rPr>
        <w:t xml:space="preserve"> (0.23)</w:t>
      </w:r>
      <w:r w:rsidR="00B5243E">
        <w:rPr>
          <w:sz w:val="20"/>
        </w:rPr>
        <w:t xml:space="preserve">, meaning the best trade off between precision and recall. </w:t>
      </w:r>
      <w:r w:rsidR="00B8587B">
        <w:rPr>
          <w:sz w:val="20"/>
        </w:rPr>
        <w:t>In all pre-processing configurations</w:t>
      </w:r>
      <w:r w:rsidR="00EE68A5">
        <w:rPr>
          <w:sz w:val="20"/>
        </w:rPr>
        <w:t>,</w:t>
      </w:r>
      <w:r w:rsidR="00B8587B">
        <w:rPr>
          <w:sz w:val="20"/>
        </w:rPr>
        <w:t xml:space="preserve"> TF-IDF performs better than its TF and Binary counterparts. </w:t>
      </w:r>
      <w:r w:rsidR="00FC7C70">
        <w:rPr>
          <w:sz w:val="20"/>
        </w:rPr>
        <w:t>Without pre-processing, the difference in performance between binary and TF weighting is marginal, with TF offering higher precision but identical recall.</w:t>
      </w:r>
      <w:r w:rsidR="00B0071A">
        <w:rPr>
          <w:sz w:val="20"/>
        </w:rPr>
        <w:t xml:space="preserve"> </w:t>
      </w:r>
      <w:r w:rsidR="00EE68A5">
        <w:rPr>
          <w:sz w:val="20"/>
        </w:rPr>
        <w:t xml:space="preserve">TF-IDF is the best performing weighting scheme </w:t>
      </w:r>
      <w:proofErr w:type="gramStart"/>
      <w:r w:rsidR="00EE68A5">
        <w:rPr>
          <w:sz w:val="20"/>
        </w:rPr>
        <w:t>and also</w:t>
      </w:r>
      <w:proofErr w:type="gramEnd"/>
      <w:r w:rsidR="00EE68A5">
        <w:rPr>
          <w:sz w:val="20"/>
        </w:rPr>
        <w:t xml:space="preserve"> benefits greatly from stemming over the two more primitive weighting schemes.</w:t>
      </w:r>
    </w:p>
    <w:p w14:paraId="10C97D97" w14:textId="1CE3B611" w:rsidR="005F55F0" w:rsidRDefault="005F55F0" w:rsidP="00893B9B">
      <w:pPr>
        <w:rPr>
          <w:sz w:val="14"/>
        </w:rPr>
      </w:pPr>
    </w:p>
    <w:p w14:paraId="2E6BA6FE" w14:textId="0F126E56" w:rsidR="00893B9B" w:rsidRDefault="003E370A" w:rsidP="00493F9E">
      <w:pPr>
        <w:jc w:val="center"/>
        <w:rPr>
          <w:sz w:val="14"/>
        </w:rPr>
      </w:pPr>
      <w:r>
        <w:rPr>
          <w:noProof/>
        </w:rPr>
        <w:drawing>
          <wp:inline distT="0" distB="0" distL="0" distR="0" wp14:anchorId="589514C8" wp14:editId="56CD63A6">
            <wp:extent cx="4055165" cy="2488758"/>
            <wp:effectExtent l="0" t="0" r="254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64DB654-3D1F-4C2F-9447-7187BE6AD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pPr w:leftFromText="180" w:rightFromText="180" w:vertAnchor="text" w:horzAnchor="page" w:tblpX="700" w:tblpY="295"/>
        <w:tblW w:w="3403" w:type="dxa"/>
        <w:tblLook w:val="04A0" w:firstRow="1" w:lastRow="0" w:firstColumn="1" w:lastColumn="0" w:noHBand="0" w:noVBand="1"/>
      </w:tblPr>
      <w:tblGrid>
        <w:gridCol w:w="889"/>
        <w:gridCol w:w="627"/>
        <w:gridCol w:w="534"/>
        <w:gridCol w:w="534"/>
        <w:gridCol w:w="819"/>
      </w:tblGrid>
      <w:tr w:rsidR="005F55F0" w:rsidRPr="00893B9B" w14:paraId="4ADD4D83" w14:textId="77777777" w:rsidTr="005F55F0">
        <w:trPr>
          <w:trHeight w:val="300"/>
        </w:trPr>
        <w:tc>
          <w:tcPr>
            <w:tcW w:w="88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0460891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2514" w:type="dxa"/>
            <w:gridSpan w:val="4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C377F2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>Binary</w:t>
            </w:r>
          </w:p>
        </w:tc>
      </w:tr>
      <w:tr w:rsidR="005F55F0" w:rsidRPr="00893B9B" w14:paraId="1DACCBDF" w14:textId="77777777" w:rsidTr="005F55F0">
        <w:trPr>
          <w:trHeight w:val="300"/>
        </w:trPr>
        <w:tc>
          <w:tcPr>
            <w:tcW w:w="88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6F38930" w14:textId="77777777" w:rsidR="005F55F0" w:rsidRPr="00893B9B" w:rsidRDefault="005F55F0" w:rsidP="005F5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2ADCF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No PP</w:t>
            </w:r>
          </w:p>
        </w:tc>
        <w:tc>
          <w:tcPr>
            <w:tcW w:w="534" w:type="dxa"/>
            <w:tcBorders>
              <w:top w:val="nil"/>
              <w:left w:val="dotDash" w:sz="4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7E32C0F4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SL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7C2139E9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ST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B7A7CB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SL and ST</w:t>
            </w:r>
          </w:p>
        </w:tc>
      </w:tr>
      <w:tr w:rsidR="005F55F0" w:rsidRPr="00893B9B" w14:paraId="05669B37" w14:textId="77777777" w:rsidTr="005F55F0">
        <w:trPr>
          <w:trHeight w:val="290"/>
        </w:trPr>
        <w:tc>
          <w:tcPr>
            <w:tcW w:w="889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5FB8A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 xml:space="preserve">Precision </w:t>
            </w:r>
          </w:p>
        </w:tc>
        <w:tc>
          <w:tcPr>
            <w:tcW w:w="62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2B5F8239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0.07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0A139B2E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0.13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2D34D85A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0.09</w:t>
            </w:r>
          </w:p>
        </w:tc>
        <w:tc>
          <w:tcPr>
            <w:tcW w:w="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CC7B7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0.16</w:t>
            </w:r>
          </w:p>
        </w:tc>
      </w:tr>
      <w:tr w:rsidR="005F55F0" w:rsidRPr="00893B9B" w14:paraId="5736EDA4" w14:textId="77777777" w:rsidTr="005F55F0">
        <w:trPr>
          <w:trHeight w:val="290"/>
        </w:trPr>
        <w:tc>
          <w:tcPr>
            <w:tcW w:w="889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3764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>Recall</w:t>
            </w:r>
          </w:p>
        </w:tc>
        <w:tc>
          <w:tcPr>
            <w:tcW w:w="62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2F22C9D3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0.06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64A57CF7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0.11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3BB7FD5A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0.07</w:t>
            </w:r>
          </w:p>
        </w:tc>
        <w:tc>
          <w:tcPr>
            <w:tcW w:w="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7F3592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0.13</w:t>
            </w:r>
          </w:p>
        </w:tc>
      </w:tr>
      <w:tr w:rsidR="005F55F0" w:rsidRPr="00893B9B" w14:paraId="2EA32413" w14:textId="77777777" w:rsidTr="005F55F0">
        <w:trPr>
          <w:trHeight w:val="30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90FB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>F-measure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6191D64E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0.06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32D7688C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0CD28027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B21FA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0.14</w:t>
            </w:r>
          </w:p>
        </w:tc>
      </w:tr>
    </w:tbl>
    <w:tbl>
      <w:tblPr>
        <w:tblpPr w:leftFromText="180" w:rightFromText="180" w:vertAnchor="text" w:horzAnchor="margin" w:tblpXSpec="center" w:tblpY="299"/>
        <w:tblW w:w="3403" w:type="dxa"/>
        <w:tblLook w:val="04A0" w:firstRow="1" w:lastRow="0" w:firstColumn="1" w:lastColumn="0" w:noHBand="0" w:noVBand="1"/>
      </w:tblPr>
      <w:tblGrid>
        <w:gridCol w:w="889"/>
        <w:gridCol w:w="627"/>
        <w:gridCol w:w="534"/>
        <w:gridCol w:w="534"/>
        <w:gridCol w:w="819"/>
      </w:tblGrid>
      <w:tr w:rsidR="005F55F0" w:rsidRPr="00893B9B" w14:paraId="372F38D3" w14:textId="77777777" w:rsidTr="005F55F0">
        <w:trPr>
          <w:trHeight w:val="300"/>
        </w:trPr>
        <w:tc>
          <w:tcPr>
            <w:tcW w:w="88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CAA1C32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2514" w:type="dxa"/>
            <w:gridSpan w:val="4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08A1AE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>TF-IDF</w:t>
            </w:r>
          </w:p>
        </w:tc>
      </w:tr>
      <w:tr w:rsidR="005F55F0" w:rsidRPr="00893B9B" w14:paraId="2A1EE50B" w14:textId="77777777" w:rsidTr="005F55F0">
        <w:trPr>
          <w:trHeight w:val="300"/>
        </w:trPr>
        <w:tc>
          <w:tcPr>
            <w:tcW w:w="88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9A3BB5D" w14:textId="77777777" w:rsidR="005F55F0" w:rsidRPr="00893B9B" w:rsidRDefault="005F55F0" w:rsidP="005F5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57A7EB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No PP</w:t>
            </w:r>
          </w:p>
        </w:tc>
        <w:tc>
          <w:tcPr>
            <w:tcW w:w="534" w:type="dxa"/>
            <w:tcBorders>
              <w:top w:val="nil"/>
              <w:left w:val="dotDash" w:sz="4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02D1A0A4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SL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3F0C64E2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ST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6F982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SL and ST</w:t>
            </w:r>
          </w:p>
        </w:tc>
      </w:tr>
      <w:tr w:rsidR="005F55F0" w:rsidRPr="00893B9B" w14:paraId="6C521BB6" w14:textId="77777777" w:rsidTr="005F55F0">
        <w:trPr>
          <w:trHeight w:val="290"/>
        </w:trPr>
        <w:tc>
          <w:tcPr>
            <w:tcW w:w="889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9149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 xml:space="preserve">Precision </w:t>
            </w:r>
          </w:p>
        </w:tc>
        <w:tc>
          <w:tcPr>
            <w:tcW w:w="62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4DE3A9DC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0.17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31F83F01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0.19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1B95DA4A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0.24</w:t>
            </w:r>
          </w:p>
        </w:tc>
        <w:tc>
          <w:tcPr>
            <w:tcW w:w="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402F3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0.25</w:t>
            </w:r>
          </w:p>
        </w:tc>
      </w:tr>
      <w:tr w:rsidR="005F55F0" w:rsidRPr="00893B9B" w14:paraId="3B8B6D6D" w14:textId="77777777" w:rsidTr="005F55F0">
        <w:trPr>
          <w:trHeight w:val="290"/>
        </w:trPr>
        <w:tc>
          <w:tcPr>
            <w:tcW w:w="889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037D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Recall</w:t>
            </w:r>
          </w:p>
        </w:tc>
        <w:tc>
          <w:tcPr>
            <w:tcW w:w="62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3FD89B51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0.14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73CB4226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0.15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57B58FD5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0.19</w:t>
            </w:r>
          </w:p>
        </w:tc>
        <w:tc>
          <w:tcPr>
            <w:tcW w:w="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BCB19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0.2</w:t>
            </w:r>
          </w:p>
        </w:tc>
      </w:tr>
      <w:tr w:rsidR="005F55F0" w:rsidRPr="00893B9B" w14:paraId="0528B096" w14:textId="77777777" w:rsidTr="005F55F0">
        <w:trPr>
          <w:trHeight w:val="30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1C570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>F-measure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4C304788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73351155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55E6DD6B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0.21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92F4F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0.23</w:t>
            </w:r>
          </w:p>
        </w:tc>
      </w:tr>
    </w:tbl>
    <w:tbl>
      <w:tblPr>
        <w:tblpPr w:leftFromText="180" w:rightFromText="180" w:vertAnchor="text" w:horzAnchor="page" w:tblpX="7912" w:tblpY="300"/>
        <w:tblW w:w="3403" w:type="dxa"/>
        <w:tblLook w:val="04A0" w:firstRow="1" w:lastRow="0" w:firstColumn="1" w:lastColumn="0" w:noHBand="0" w:noVBand="1"/>
      </w:tblPr>
      <w:tblGrid>
        <w:gridCol w:w="889"/>
        <w:gridCol w:w="627"/>
        <w:gridCol w:w="534"/>
        <w:gridCol w:w="534"/>
        <w:gridCol w:w="819"/>
      </w:tblGrid>
      <w:tr w:rsidR="005F55F0" w:rsidRPr="00893B9B" w14:paraId="3F82A0B8" w14:textId="77777777" w:rsidTr="005F55F0">
        <w:trPr>
          <w:trHeight w:val="300"/>
        </w:trPr>
        <w:tc>
          <w:tcPr>
            <w:tcW w:w="889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B65115B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 </w:t>
            </w:r>
          </w:p>
        </w:tc>
        <w:tc>
          <w:tcPr>
            <w:tcW w:w="2514" w:type="dxa"/>
            <w:gridSpan w:val="4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579F2E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>Term Frequency</w:t>
            </w:r>
          </w:p>
        </w:tc>
      </w:tr>
      <w:tr w:rsidR="005F55F0" w:rsidRPr="00893B9B" w14:paraId="14CD7F6C" w14:textId="77777777" w:rsidTr="005F55F0">
        <w:trPr>
          <w:trHeight w:val="300"/>
        </w:trPr>
        <w:tc>
          <w:tcPr>
            <w:tcW w:w="889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15C9A19" w14:textId="77777777" w:rsidR="005F55F0" w:rsidRPr="00893B9B" w:rsidRDefault="005F55F0" w:rsidP="005F55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07019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No PP</w:t>
            </w:r>
          </w:p>
        </w:tc>
        <w:tc>
          <w:tcPr>
            <w:tcW w:w="534" w:type="dxa"/>
            <w:tcBorders>
              <w:top w:val="nil"/>
              <w:left w:val="dotDash" w:sz="4" w:space="0" w:color="auto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48293FB4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SL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717DC750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ST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429A0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SL and ST</w:t>
            </w:r>
          </w:p>
        </w:tc>
      </w:tr>
      <w:tr w:rsidR="005F55F0" w:rsidRPr="00893B9B" w14:paraId="01B674DA" w14:textId="77777777" w:rsidTr="005F55F0">
        <w:trPr>
          <w:trHeight w:val="290"/>
        </w:trPr>
        <w:tc>
          <w:tcPr>
            <w:tcW w:w="889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10BA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 xml:space="preserve">Precision </w:t>
            </w:r>
          </w:p>
        </w:tc>
        <w:tc>
          <w:tcPr>
            <w:tcW w:w="62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0CF48148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0.08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1B1070DA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0.16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60C6142D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0.11</w:t>
            </w:r>
          </w:p>
        </w:tc>
        <w:tc>
          <w:tcPr>
            <w:tcW w:w="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00F4A7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0.19</w:t>
            </w:r>
          </w:p>
        </w:tc>
      </w:tr>
      <w:tr w:rsidR="005F55F0" w:rsidRPr="00893B9B" w14:paraId="0A6CE6EA" w14:textId="77777777" w:rsidTr="005F55F0">
        <w:trPr>
          <w:trHeight w:val="290"/>
        </w:trPr>
        <w:tc>
          <w:tcPr>
            <w:tcW w:w="889" w:type="dxa"/>
            <w:tcBorders>
              <w:top w:val="nil"/>
              <w:left w:val="single" w:sz="8" w:space="0" w:color="auto"/>
              <w:bottom w:val="dotDash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D7BED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>Recall</w:t>
            </w:r>
          </w:p>
        </w:tc>
        <w:tc>
          <w:tcPr>
            <w:tcW w:w="627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4D781DCC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0.06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141BFEC4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0.13</w:t>
            </w:r>
          </w:p>
        </w:tc>
        <w:tc>
          <w:tcPr>
            <w:tcW w:w="534" w:type="dxa"/>
            <w:tcBorders>
              <w:top w:val="nil"/>
              <w:left w:val="nil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11096F03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0.09</w:t>
            </w:r>
          </w:p>
        </w:tc>
        <w:tc>
          <w:tcPr>
            <w:tcW w:w="819" w:type="dxa"/>
            <w:tcBorders>
              <w:top w:val="nil"/>
              <w:left w:val="nil"/>
              <w:bottom w:val="dotDash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47658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0.15</w:t>
            </w:r>
          </w:p>
        </w:tc>
      </w:tr>
      <w:tr w:rsidR="005F55F0" w:rsidRPr="00893B9B" w14:paraId="4A5FD9C2" w14:textId="77777777" w:rsidTr="005F55F0">
        <w:trPr>
          <w:trHeight w:val="300"/>
        </w:trPr>
        <w:tc>
          <w:tcPr>
            <w:tcW w:w="8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3436D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b/>
                <w:color w:val="000000"/>
                <w:sz w:val="14"/>
                <w:lang w:eastAsia="en-GB"/>
              </w:rPr>
              <w:t>F-measure</w:t>
            </w:r>
          </w:p>
        </w:tc>
        <w:tc>
          <w:tcPr>
            <w:tcW w:w="627" w:type="dxa"/>
            <w:tcBorders>
              <w:top w:val="nil"/>
              <w:left w:val="nil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3F9E6AB7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0.07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3B70B836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0.15</w:t>
            </w:r>
          </w:p>
        </w:tc>
        <w:tc>
          <w:tcPr>
            <w:tcW w:w="534" w:type="dxa"/>
            <w:tcBorders>
              <w:top w:val="nil"/>
              <w:left w:val="nil"/>
              <w:bottom w:val="single" w:sz="8" w:space="0" w:color="auto"/>
              <w:right w:val="dotDash" w:sz="4" w:space="0" w:color="auto"/>
            </w:tcBorders>
            <w:shd w:val="clear" w:color="auto" w:fill="auto"/>
            <w:noWrap/>
            <w:vAlign w:val="center"/>
            <w:hideMark/>
          </w:tcPr>
          <w:p w14:paraId="6E57BF43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</w:t>
            </w:r>
            <w:r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170C4" w14:textId="77777777" w:rsidR="005F55F0" w:rsidRPr="00893B9B" w:rsidRDefault="005F55F0" w:rsidP="005F5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</w:pPr>
            <w:r w:rsidRPr="00893B9B">
              <w:rPr>
                <w:rFonts w:ascii="Calibri" w:eastAsia="Times New Roman" w:hAnsi="Calibri" w:cs="Calibri"/>
                <w:color w:val="000000"/>
                <w:sz w:val="14"/>
                <w:lang w:eastAsia="en-GB"/>
              </w:rPr>
              <w:t>0.17</w:t>
            </w:r>
          </w:p>
        </w:tc>
      </w:tr>
    </w:tbl>
    <w:p w14:paraId="1C22BF99" w14:textId="7C1D0AA7" w:rsidR="00E50C8B" w:rsidRDefault="00E50C8B" w:rsidP="00E27A16">
      <w:pPr>
        <w:jc w:val="center"/>
        <w:rPr>
          <w:sz w:val="14"/>
        </w:rPr>
      </w:pPr>
    </w:p>
    <w:p w14:paraId="012E90BF" w14:textId="77777777" w:rsidR="00E50C8B" w:rsidRDefault="00E50C8B" w:rsidP="00893B9B">
      <w:pPr>
        <w:rPr>
          <w:sz w:val="14"/>
        </w:rPr>
      </w:pPr>
    </w:p>
    <w:p w14:paraId="0D9A5AAB" w14:textId="77777777" w:rsidR="00893B9B" w:rsidRDefault="00893B9B" w:rsidP="005F55F0"/>
    <w:sectPr w:rsidR="00893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721590"/>
    <w:multiLevelType w:val="hybridMultilevel"/>
    <w:tmpl w:val="DB4EF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FD2"/>
    <w:rsid w:val="0001398B"/>
    <w:rsid w:val="000C1595"/>
    <w:rsid w:val="0010685D"/>
    <w:rsid w:val="001559A4"/>
    <w:rsid w:val="00260886"/>
    <w:rsid w:val="00272D8B"/>
    <w:rsid w:val="002A288E"/>
    <w:rsid w:val="002E6E7F"/>
    <w:rsid w:val="003247DB"/>
    <w:rsid w:val="00353720"/>
    <w:rsid w:val="00362212"/>
    <w:rsid w:val="003A0E3F"/>
    <w:rsid w:val="003A3D96"/>
    <w:rsid w:val="003B37A5"/>
    <w:rsid w:val="003C2FD2"/>
    <w:rsid w:val="003C5103"/>
    <w:rsid w:val="003E370A"/>
    <w:rsid w:val="00476E50"/>
    <w:rsid w:val="00493F9E"/>
    <w:rsid w:val="00495C73"/>
    <w:rsid w:val="004A2D96"/>
    <w:rsid w:val="004A5291"/>
    <w:rsid w:val="004B1366"/>
    <w:rsid w:val="00515BC6"/>
    <w:rsid w:val="00544CB4"/>
    <w:rsid w:val="00571D6D"/>
    <w:rsid w:val="005749E4"/>
    <w:rsid w:val="00592E82"/>
    <w:rsid w:val="005A10F5"/>
    <w:rsid w:val="005F55F0"/>
    <w:rsid w:val="006274AD"/>
    <w:rsid w:val="00642A23"/>
    <w:rsid w:val="00644E3A"/>
    <w:rsid w:val="00655F81"/>
    <w:rsid w:val="00676CF4"/>
    <w:rsid w:val="006853DD"/>
    <w:rsid w:val="006931E9"/>
    <w:rsid w:val="007036AD"/>
    <w:rsid w:val="007420C0"/>
    <w:rsid w:val="007E1E29"/>
    <w:rsid w:val="00806206"/>
    <w:rsid w:val="00815B97"/>
    <w:rsid w:val="0081637E"/>
    <w:rsid w:val="00852B54"/>
    <w:rsid w:val="00876044"/>
    <w:rsid w:val="00893B9B"/>
    <w:rsid w:val="00910214"/>
    <w:rsid w:val="00920014"/>
    <w:rsid w:val="00926D37"/>
    <w:rsid w:val="00943853"/>
    <w:rsid w:val="009A0E30"/>
    <w:rsid w:val="009A463F"/>
    <w:rsid w:val="009B2897"/>
    <w:rsid w:val="00A9375C"/>
    <w:rsid w:val="00AD29BB"/>
    <w:rsid w:val="00B0071A"/>
    <w:rsid w:val="00B1642D"/>
    <w:rsid w:val="00B31AD1"/>
    <w:rsid w:val="00B35F32"/>
    <w:rsid w:val="00B4246E"/>
    <w:rsid w:val="00B5243E"/>
    <w:rsid w:val="00B82919"/>
    <w:rsid w:val="00B83EA1"/>
    <w:rsid w:val="00B8587B"/>
    <w:rsid w:val="00BD6377"/>
    <w:rsid w:val="00BD7962"/>
    <w:rsid w:val="00C22DCC"/>
    <w:rsid w:val="00C51CB2"/>
    <w:rsid w:val="00C66B28"/>
    <w:rsid w:val="00CD2597"/>
    <w:rsid w:val="00CD37EF"/>
    <w:rsid w:val="00D26CB6"/>
    <w:rsid w:val="00D73F6B"/>
    <w:rsid w:val="00D905B9"/>
    <w:rsid w:val="00DB39F3"/>
    <w:rsid w:val="00DC4669"/>
    <w:rsid w:val="00DC7F21"/>
    <w:rsid w:val="00DE2087"/>
    <w:rsid w:val="00E112B7"/>
    <w:rsid w:val="00E27A16"/>
    <w:rsid w:val="00E45C0C"/>
    <w:rsid w:val="00E50C8B"/>
    <w:rsid w:val="00EE68A5"/>
    <w:rsid w:val="00F56E20"/>
    <w:rsid w:val="00F72086"/>
    <w:rsid w:val="00F9781C"/>
    <w:rsid w:val="00FC7C70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9361"/>
  <w15:chartTrackingRefBased/>
  <w15:docId w15:val="{D91D17E2-8606-4154-B348-02915534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F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38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bfd17f3ce2a1db34/Documents/Report%20Tables%20Text%20Process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800" b="1" i="0" baseline="0">
                <a:effectLst/>
              </a:rPr>
              <a:t>Comparison of F-Measure For Term Weighting Options</a:t>
            </a:r>
            <a:endParaRPr lang="en-GB" sz="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465932101251217"/>
          <c:y val="0.19508830828835708"/>
          <c:w val="0.49125061761186278"/>
          <c:h val="0.76345995082069096"/>
        </c:manualLayout>
      </c:layout>
      <c:radarChart>
        <c:radarStyle val="marker"/>
        <c:varyColors val="0"/>
        <c:ser>
          <c:idx val="0"/>
          <c:order val="0"/>
          <c:tx>
            <c:strRef>
              <c:f>'[Report Tables Text Processing.xlsx]Sheet1'!$G$21</c:f>
              <c:strCache>
                <c:ptCount val="1"/>
                <c:pt idx="0">
                  <c:v>No Pre-Processing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'[Report Tables Text Processing.xlsx]Sheet1'!$G$20,'[Report Tables Text Processing.xlsx]Sheet1'!$G$13,'[Report Tables Text Processing.xlsx]Sheet1'!$G$27</c:f>
              <c:strCache>
                <c:ptCount val="3"/>
                <c:pt idx="0">
                  <c:v>Binary</c:v>
                </c:pt>
                <c:pt idx="1">
                  <c:v>Term Frequency</c:v>
                </c:pt>
                <c:pt idx="2">
                  <c:v>TF-IDF</c:v>
                </c:pt>
              </c:strCache>
            </c:strRef>
          </c:cat>
          <c:val>
            <c:numRef>
              <c:f>'[Report Tables Text Processing.xlsx]Sheet1'!$G$24,'[Report Tables Text Processing.xlsx]Sheet1'!$G$17,'[Report Tables Text Processing.xlsx]Sheet1'!$G$31</c:f>
              <c:numCache>
                <c:formatCode>General</c:formatCode>
                <c:ptCount val="3"/>
                <c:pt idx="0">
                  <c:v>0.06</c:v>
                </c:pt>
                <c:pt idx="1">
                  <c:v>7.0000000000000007E-2</c:v>
                </c:pt>
                <c:pt idx="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7CB-4518-B223-982DD086AE19}"/>
            </c:ext>
          </c:extLst>
        </c:ser>
        <c:ser>
          <c:idx val="1"/>
          <c:order val="1"/>
          <c:tx>
            <c:strRef>
              <c:f>'[Report Tables Text Processing.xlsx]Sheet1'!$H$21</c:f>
              <c:strCache>
                <c:ptCount val="1"/>
                <c:pt idx="0">
                  <c:v>Stop-Listing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'[Report Tables Text Processing.xlsx]Sheet1'!$G$20,'[Report Tables Text Processing.xlsx]Sheet1'!$G$13,'[Report Tables Text Processing.xlsx]Sheet1'!$G$27</c:f>
              <c:strCache>
                <c:ptCount val="3"/>
                <c:pt idx="0">
                  <c:v>Binary</c:v>
                </c:pt>
                <c:pt idx="1">
                  <c:v>Term Frequency</c:v>
                </c:pt>
                <c:pt idx="2">
                  <c:v>TF-IDF</c:v>
                </c:pt>
              </c:strCache>
            </c:strRef>
          </c:cat>
          <c:val>
            <c:numRef>
              <c:f>'[Report Tables Text Processing.xlsx]Sheet1'!$H$24,'[Report Tables Text Processing.xlsx]Sheet1'!$H$17,'[Report Tables Text Processing.xlsx]Sheet1'!$H$31</c:f>
              <c:numCache>
                <c:formatCode>General</c:formatCode>
                <c:ptCount val="3"/>
                <c:pt idx="0">
                  <c:v>0.12</c:v>
                </c:pt>
                <c:pt idx="1">
                  <c:v>0.15</c:v>
                </c:pt>
                <c:pt idx="2">
                  <c:v>0.17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7CB-4518-B223-982DD086AE19}"/>
            </c:ext>
          </c:extLst>
        </c:ser>
        <c:ser>
          <c:idx val="2"/>
          <c:order val="2"/>
          <c:tx>
            <c:strRef>
              <c:f>'[Report Tables Text Processing.xlsx]Sheet1'!$I$21</c:f>
              <c:strCache>
                <c:ptCount val="1"/>
                <c:pt idx="0">
                  <c:v>Stemming</c:v>
                </c:pt>
              </c:strCache>
            </c:strRef>
          </c:tx>
          <c:spPr>
            <a:ln w="1270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'[Report Tables Text Processing.xlsx]Sheet1'!$I$24,'[Report Tables Text Processing.xlsx]Sheet1'!$I$17,'[Report Tables Text Processing.xlsx]Sheet1'!$I$31</c:f>
              <c:numCache>
                <c:formatCode>General</c:formatCode>
                <c:ptCount val="3"/>
                <c:pt idx="0">
                  <c:v>0.08</c:v>
                </c:pt>
                <c:pt idx="1">
                  <c:v>0.1</c:v>
                </c:pt>
                <c:pt idx="2">
                  <c:v>0.21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CB-4518-B223-982DD086AE19}"/>
            </c:ext>
          </c:extLst>
        </c:ser>
        <c:ser>
          <c:idx val="3"/>
          <c:order val="3"/>
          <c:tx>
            <c:strRef>
              <c:f>'[Report Tables Text Processing.xlsx]Sheet1'!$J$14</c:f>
              <c:strCache>
                <c:ptCount val="1"/>
                <c:pt idx="0">
                  <c:v>Stop-Listing and Stemming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3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'[Report Tables Text Processing.xlsx]Sheet1'!$J$24,'[Report Tables Text Processing.xlsx]Sheet1'!$J$17,'[Report Tables Text Processing.xlsx]Sheet1'!$J$31</c:f>
              <c:numCache>
                <c:formatCode>General</c:formatCode>
                <c:ptCount val="3"/>
                <c:pt idx="0">
                  <c:v>0.14000000000000001</c:v>
                </c:pt>
                <c:pt idx="1">
                  <c:v>0.17</c:v>
                </c:pt>
                <c:pt idx="2">
                  <c:v>0.23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7CB-4518-B223-982DD086A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26174047"/>
        <c:axId val="1070098351"/>
      </c:radarChart>
      <c:catAx>
        <c:axId val="10261740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0098351"/>
        <c:crosses val="autoZero"/>
        <c:auto val="1"/>
        <c:lblAlgn val="ctr"/>
        <c:lblOffset val="100"/>
        <c:noMultiLvlLbl val="0"/>
      </c:catAx>
      <c:valAx>
        <c:axId val="10700983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0"/>
        <c:majorTickMark val="none"/>
        <c:minorTickMark val="cross"/>
        <c:tickLblPos val="nextTo"/>
        <c:spPr>
          <a:noFill/>
          <a:ln>
            <a:solidFill>
              <a:schemeClr val="bg2"/>
            </a:solidFill>
          </a:ln>
          <a:effectLst/>
        </c:spPr>
        <c:txPr>
          <a:bodyPr rot="1800000" spcFirstLastPara="1" vertOverflow="ellipsis" wrap="square" anchor="b" anchorCtr="0"/>
          <a:lstStyle/>
          <a:p>
            <a:pPr>
              <a:defRPr sz="5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6174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7896875793751588"/>
          <c:y val="0.26464408203121076"/>
          <c:w val="0.30224013651910797"/>
          <c:h val="0.454202321418166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5AFA5-E17F-4799-A5CA-68C3149D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Chapman</dc:creator>
  <cp:keywords/>
  <dc:description/>
  <cp:lastModifiedBy>Alex Chapman</cp:lastModifiedBy>
  <cp:revision>66</cp:revision>
  <dcterms:created xsi:type="dcterms:W3CDTF">2018-10-31T20:42:00Z</dcterms:created>
  <dcterms:modified xsi:type="dcterms:W3CDTF">2018-11-10T15:26:00Z</dcterms:modified>
</cp:coreProperties>
</file>