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sz w:val="80"/>
          <w:szCs w:val="80"/>
        </w:rPr>
        <w:t xml:space="preserve"/>
      </w:r>
    </w:p>
    <w:p>
      <w:pPr>
        <w:spacing w:before="0" w:after="60"/>
        <w:jc w:val="center"/>
      </w:pPr>
      <w:r>
        <w:rPr>
          <w:rFonts w:ascii="Arial" w:cs="Arial" w:eastAsia="Arial" w:hAnsi="Arial"/>
          <w:b/>
          <w:bCs/>
          <w:color w:val="9B2335"/>
          <w:sz w:val="52"/>
          <w:szCs w:val="52"/>
        </w:rPr>
        <w:t xml:space="preserve">RICHMOND CIVIC HACKATHON</w:t>
      </w:r>
    </w:p>
    <w:p>
      <w:pPr>
        <w:spacing w:before="0" w:after="40"/>
        <w:jc w:val="center"/>
      </w:pPr>
      <w:r>
        <w:rPr>
          <w:rFonts w:ascii="Arial" w:cs="Arial" w:eastAsia="Arial" w:hAnsi="Arial"/>
          <w:b/>
          <w:bCs/>
          <w:color w:val="1F3864"/>
          <w:sz w:val="32"/>
          <w:szCs w:val="32"/>
        </w:rPr>
        <w:t xml:space="preserve">Problem Statement Rubric Evaluation</w:t>
      </w:r>
    </w:p>
    <w:p>
      <w:pPr>
        <w:pBdr>
          <w:bottom w:val="single" w:color="9B2335" w:sz="6" w:space="1"/>
        </w:pBdr>
        <w:spacing w:before="0" w:after="160"/>
        <w:jc w:val="center"/>
      </w:pPr>
      <w:r>
        <w:rPr>
          <w:rFonts w:ascii="Arial" w:cs="Arial" w:eastAsia="Arial" w:hAnsi="Arial"/>
          <w:sz w:val="24"/>
          <w:szCs w:val="24"/>
        </w:rPr>
        <w:t xml:space="preserve"/>
      </w:r>
    </w:p>
    <w:p>
      <w:r>
        <w:rPr>
          <w:rFonts w:ascii="Arial" w:cs="Arial" w:eastAsia="Arial" w:hAnsi="Arial"/>
          <w:sz w:val="30"/>
          <w:szCs w:val="30"/>
        </w:rPr>
        <w:t xml:space="preserve"/>
      </w:r>
    </w:p>
    <w:p>
      <w:pPr>
        <w:shd w:fill="1F3864" w:val="clear"/>
        <w:spacing w:before="0" w:after="0"/>
        <w:jc w:val="center"/>
      </w:pPr>
      <w:r>
        <w:rPr>
          <w:rFonts w:ascii="Arial" w:cs="Arial" w:eastAsia="Arial" w:hAnsi="Arial"/>
          <w:b/>
          <w:bCs/>
          <w:color w:val="FFFFFF"/>
          <w:sz w:val="20"/>
          <w:szCs w:val="20"/>
        </w:rPr>
        <w:t xml:space="preserve">  PILLAR 3  </w:t>
      </w:r>
    </w:p>
    <w:p>
      <w:pPr>
        <w:shd w:fill="1F3864" w:val="clear"/>
        <w:spacing w:before="0" w:after="120"/>
        <w:jc w:val="center"/>
      </w:pPr>
      <w:r>
        <w:rPr>
          <w:rFonts w:ascii="Arial" w:cs="Arial" w:eastAsia="Arial" w:hAnsi="Arial"/>
          <w:b/>
          <w:bCs/>
          <w:color w:val="FFFFFF"/>
          <w:sz w:val="36"/>
          <w:szCs w:val="36"/>
        </w:rPr>
        <w:t xml:space="preserve">  Thriving Families  </w:t>
      </w:r>
    </w:p>
    <w:p>
      <w:r>
        <w:rPr>
          <w:rFonts w:ascii="Arial" w:cs="Arial" w:eastAsia="Arial" w:hAnsi="Arial"/>
          <w:sz w:val="30"/>
          <w:szCs w:val="30"/>
        </w:rPr>
        <w:t xml:space="preserve"/>
      </w:r>
    </w:p>
    <w:p>
      <w:pPr>
        <w:spacing w:before="0" w:after="40"/>
        <w:jc w:val="center"/>
      </w:pPr>
      <w:r>
        <w:rPr>
          <w:rFonts w:ascii="Arial" w:cs="Arial" w:eastAsia="Arial" w:hAnsi="Arial"/>
          <w:color w:val="555555"/>
          <w:sz w:val="22"/>
          <w:szCs w:val="22"/>
        </w:rPr>
        <w:t xml:space="preserve">Prepared by</w:t>
      </w:r>
    </w:p>
    <w:p>
      <w:pPr>
        <w:spacing w:before="0" w:after="40"/>
        <w:jc w:val="center"/>
      </w:pPr>
      <w:r>
        <w:rPr>
          <w:rFonts w:ascii="Arial" w:cs="Arial" w:eastAsia="Arial" w:hAnsi="Arial"/>
          <w:b/>
          <w:bCs/>
          <w:color w:val="1F3864"/>
          <w:sz w:val="28"/>
          <w:szCs w:val="28"/>
        </w:rPr>
        <w:t xml:space="preserve">Christian Markow, et al.</w:t>
      </w:r>
    </w:p>
    <w:p>
      <w:r>
        <w:rPr>
          <w:rFonts w:ascii="Arial" w:cs="Arial" w:eastAsia="Arial" w:hAnsi="Arial"/>
          <w:sz w:val="20"/>
          <w:szCs w:val="20"/>
        </w:rPr>
        <w:t xml:space="preserve"/>
      </w:r>
    </w:p>
    <w:p>
      <w:pPr>
        <w:spacing w:before="0" w:after="40"/>
        <w:jc w:val="center"/>
      </w:pPr>
      <w:r>
        <w:rPr>
          <w:rFonts w:ascii="Arial" w:cs="Arial" w:eastAsia="Arial" w:hAnsi="Arial"/>
          <w:color w:val="444444"/>
          <w:sz w:val="22"/>
          <w:szCs w:val="22"/>
        </w:rPr>
        <w:t xml:space="preserve">March 16, 2026</w:t>
      </w:r>
    </w:p>
    <w:p>
      <w:pPr>
        <w:spacing w:before="0" w:after="40"/>
        <w:jc w:val="center"/>
      </w:pPr>
      <w:r>
        <w:rPr>
          <w:rFonts w:ascii="Arial" w:cs="Arial" w:eastAsia="Arial" w:hAnsi="Arial"/>
          <w:color w:val="888888"/>
          <w:sz w:val="18"/>
          <w:szCs w:val="18"/>
        </w:rPr>
        <w:t xml:space="preserve">Richmond Civic Hackathon  |  March 27–29, 2026  |  VCU Snead Hall</w:t>
      </w:r>
    </w:p>
    <w:p>
      <w:r>
        <w:br w:type="page"/>
      </w:r>
    </w:p>
    <w:p>
      <w:pPr>
        <w:pStyle w:val="Heading1"/>
        <w:spacing w:before="320" w:after="100"/>
      </w:pPr>
      <w:r>
        <w:rPr>
          <w:rFonts w:ascii="Arial" w:cs="Arial" w:eastAsia="Arial" w:hAnsi="Arial"/>
          <w:b/>
          <w:bCs/>
          <w:color w:val="1F3864"/>
          <w:sz w:val="28"/>
          <w:szCs w:val="28"/>
        </w:rPr>
        <w:t xml:space="preserve">Pillar Committee &amp; Working Session</w:t>
      </w:r>
    </w:p>
    <w:p>
      <w:pPr>
        <w:pBdr>
          <w:bottom w:val="single" w:color="9B2335" w:sz="6" w:space="1"/>
        </w:pBdr>
        <w:spacing w:before="60" w:after="60"/>
      </w:pPr>
      <w:r>
        <w:rPr>
          <w:rFonts w:ascii="Arial" w:cs="Arial" w:eastAsia="Arial" w:hAnsi="Arial"/>
        </w:rPr>
        <w:t xml:space="preserve"/>
      </w:r>
    </w:p>
    <w:p>
      <w:pPr>
        <w:spacing w:before="60" w:after="60"/>
      </w:pPr>
      <w:r>
        <w:rPr>
          <w:rFonts w:ascii="Arial" w:cs="Arial" w:eastAsia="Arial" w:hAnsi="Arial"/>
          <w:sz w:val="20"/>
          <w:szCs w:val="20"/>
        </w:rPr>
        <w:t xml:space="preserve">Session: March 3, 2026, 12:00 PM – 2:00 PM</w:t>
      </w:r>
    </w:p>
    <w:p>
      <w:pPr>
        <w:spacing w:before="60" w:after="60"/>
      </w:pPr>
      <w:r>
        <w:rPr>
          <w:rFonts w:ascii="Arial" w:cs="Arial" w:eastAsia="Arial" w:hAnsi="Arial"/>
          <w:sz w:val="20"/>
          <w:szCs w:val="20"/>
        </w:rPr>
        <w:t xml:space="preserve">Location: Lost Office Collaborative, 5000 Old Main St, Henrico, VA 23231</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3000"/>
        <w:gridCol w:w="306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Role</w:t>
            </w:r>
          </w:p>
        </w:tc>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Name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Organization / Title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Angela Patton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Girls For A Change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angela@girlsforachange.org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Taikein Cooper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Richmond Ed Fund</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tcooper@rps.fund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Nonprofit Partner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Sean Miller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RPS Boys &amp; Girls Club</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smiller@bgcmr.org</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Amy Popovich</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Amy.Popovich@rva.gov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Eva Colen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Eva.Colen@rva.gov</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City Representative</w:t>
            </w:r>
          </w:p>
        </w:tc>
        <w:tc>
          <w:tcPr>
            <w:tcW w:type="dxa" w:w="1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Jacque Hale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Jacqueline.Hale@rva.gov</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Hack RVA</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Christian, Michael, Gray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Organizer team</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Working Session Notes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Theme 1: Youth Employment Should Extend Beyond Summer Jobs</w:t>
      </w:r>
    </w:p>
    <w:p>
      <w:pPr>
        <w:spacing w:before="60" w:after="60"/>
      </w:pPr>
      <w:r>
        <w:rPr>
          <w:rFonts w:ascii="Arial" w:cs="Arial" w:eastAsia="Arial" w:hAnsi="Arial"/>
          <w:sz w:val="20"/>
          <w:szCs w:val="20"/>
        </w:rPr>
        <w:t xml:space="preserve">Participants noted that the original framing around summer employment was too narrow. The opportunity is broader: helping teens access multiple forms of early work exposure — including internships, job shadowing, and apprenticeships — not just seasonal jobs.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revised framing expands from summer jobs to year-round youth employment pathways. Participants emphasized that early work experience builds skills, confidence, and long-term workforce attachment, and that the current system does not serve youth who lack strong adult support networks.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2: Youth Need Preparation and Guidance, Not Just Job Listings</w:t>
      </w:r>
    </w:p>
    <w:p>
      <w:pPr>
        <w:spacing w:before="60" w:after="60"/>
      </w:pPr>
      <w:r>
        <w:rPr>
          <w:rFonts w:ascii="Arial" w:cs="Arial" w:eastAsia="Arial" w:hAnsi="Arial"/>
          <w:sz w:val="20"/>
          <w:szCs w:val="20"/>
        </w:rPr>
        <w:t xml:space="preserve">The challenge is not only discovering opportunities but helping youth prepare to participate. Many teens struggle to organize required documents, understand labor law requirements, write a resume, or navigate transportation limitations before they ever apply for a job.</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Technology could help create a guided pathway from interest → readiness → employment, giving youth a clear, supported sequence rather than a fragmented set of barriers to figure out independently.</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3: Employers Also Face Friction Hiring Youth</w:t>
      </w:r>
    </w:p>
    <w:p>
      <w:pPr>
        <w:spacing w:before="60" w:after="60"/>
      </w:pPr>
      <w:r>
        <w:rPr>
          <w:rFonts w:ascii="Arial" w:cs="Arial" w:eastAsia="Arial" w:hAnsi="Arial"/>
          <w:sz w:val="20"/>
          <w:szCs w:val="20"/>
        </w:rPr>
        <w:t xml:space="preserve">Workshop participants highlighted that employers are part of the system challenge. Businesses often lack confidence hiring teens, clarity on youth labor requirements, and systems to manage youth hiring. This friction on the employer side reduces the number of opportunities available.</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Participants suggested solutions could include verification or badges for youth-ready employers, or mechanisms to connect employers with prepared youth candidates — reducing uncertainty on both sides of the match.</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4: Youth Employment Requires Hybrid Support</w:t>
      </w:r>
    </w:p>
    <w:p>
      <w:pPr>
        <w:spacing w:before="60" w:after="60"/>
      </w:pPr>
      <w:r>
        <w:rPr>
          <w:rFonts w:ascii="Arial" w:cs="Arial" w:eastAsia="Arial" w:hAnsi="Arial"/>
          <w:sz w:val="20"/>
          <w:szCs w:val="20"/>
        </w:rPr>
        <w:t xml:space="preserve">Technology alone cannot solve this problem. Participants emphasized the importance of hybrid support models — mentors, community centers, and schools — as the backbone of effective youth employment programs. Technology should augment in-person support, not replace it.</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opportunity is to use technology to make those human connections more effective and more scalable, not to substitute digital tools for trusted relationships.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5: Maternal Health Stakeholders Need Shared Definitions and Metrics</w:t>
      </w:r>
    </w:p>
    <w:p>
      <w:pPr>
        <w:spacing w:before="60" w:after="60"/>
      </w:pPr>
      <w:r>
        <w:rPr>
          <w:rFonts w:ascii="Arial" w:cs="Arial" w:eastAsia="Arial" w:hAnsi="Arial"/>
          <w:sz w:val="20"/>
          <w:szCs w:val="20"/>
        </w:rPr>
        <w:t xml:space="preserve">For the maternal health challenge, the core issue is data fragmentation across organizations. Multiple stakeholders — City agencies, nonprofits, and advocacy organizations — independently compile and analyze the same public datasets, including Virginia Department of Health data, ACS population data, Kids Count indicators, and school and insurance coverage data.</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This results in duplicated effort, inconsistent metrics, and fragmented reporting. The ecosystem lacks a shared understanding of which indicators matter, how they should be defined, and how they should be measured — making coordination and alignment on priorities harder than it needs to be.</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6: Data Clarity Is Needed for Advocacy and Funding</w:t>
      </w:r>
    </w:p>
    <w:p>
      <w:pPr>
        <w:spacing w:before="60" w:after="60"/>
      </w:pPr>
      <w:r>
        <w:rPr>
          <w:rFonts w:ascii="Arial" w:cs="Arial" w:eastAsia="Arial" w:hAnsi="Arial"/>
          <w:sz w:val="20"/>
          <w:szCs w:val="20"/>
        </w:rPr>
        <w:t xml:space="preserve">Clearer shared data would directly support advocacy organizations, grant applications, strategic planning, and policy alignment. Participants noted that reduced federal funding and increasing pressure to demonstrate measurable outcomes make alignment around shared indicators urgent.</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Better coordination would allow stakeholders to focus time and capacity on action rather than on recreating the same spreadsheets and data pulls independently.</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Theme 7: Technology Should Support Experts, Not Replace Them</w:t>
      </w:r>
    </w:p>
    <w:p>
      <w:pPr>
        <w:spacing w:before="60" w:after="60"/>
      </w:pPr>
      <w:r>
        <w:rPr>
          <w:rFonts w:ascii="Arial" w:cs="Arial" w:eastAsia="Arial" w:hAnsi="Arial"/>
          <w:sz w:val="20"/>
          <w:szCs w:val="20"/>
        </w:rPr>
        <w:t xml:space="preserve">Participants stressed that maternal health analysis requires genuine expertise and contextual knowledge. Technology should simplify data aggregation, standardize metrics, and visualize trends — but not replace the expert interpretation that gives those trends meaning.</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The goal is to free up expert capacity by removing manual data work, not to automate the judgment calls that require human knowledge of the community.</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Rubric Score Summary</w:t>
      </w:r>
    </w:p>
    <w:p>
      <w:pPr>
        <w:pBdr>
          <w:bottom w:val="single" w:color="9B2335" w:sz="6" w:space="1"/>
        </w:pBdr>
        <w:spacing w:before="60" w:after="60"/>
      </w:pPr>
      <w:r>
        <w:rPr>
          <w:rFonts w:ascii="Arial" w:cs="Arial" w:eastAsia="Arial" w:hAnsi="Arial"/>
        </w:rPr>
        <w:t xml:space="preserve"/>
      </w:r>
    </w:p>
    <w:tbl>
      <w:tblPr>
        <w:tblW w:type="dxa" w:w="8780"/>
        <w:tblBorders>
          <w:top w:val="single" w:color="auto" w:sz="4"/>
          <w:left w:val="single" w:color="auto" w:sz="4"/>
          <w:bottom w:val="single" w:color="auto" w:sz="4"/>
          <w:right w:val="single" w:color="auto" w:sz="4"/>
          <w:insideH w:val="single" w:color="auto" w:sz="4"/>
          <w:insideV w:val="single" w:color="auto" w:sz="4"/>
        </w:tblBorders>
      </w:tblPr>
      <w:tblGrid>
        <w:gridCol w:w="2500"/>
        <w:gridCol w:w="540"/>
        <w:gridCol w:w="540"/>
        <w:gridCol w:w="540"/>
        <w:gridCol w:w="540"/>
        <w:gridCol w:w="540"/>
        <w:gridCol w:w="540"/>
        <w:gridCol w:w="540"/>
        <w:gridCol w:w="540"/>
        <w:gridCol w:w="680"/>
        <w:gridCol w:w="1280"/>
      </w:tblGrid>
      <w:tr>
        <w:trPr>
          <w:tblHeader/>
        </w:trP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Statement</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D1</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D2</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D3</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D4</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D5</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D6</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D7</w:t>
            </w:r>
          </w:p>
        </w:tc>
        <w:tc>
          <w:tcPr>
            <w:tcW w:type="dxa" w:w="5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D8</w:t>
            </w:r>
          </w:p>
        </w:tc>
        <w:tc>
          <w:tcPr>
            <w:tcW w:type="dxa" w:w="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Total</w:t>
            </w:r>
          </w:p>
        </w:tc>
        <w:tc>
          <w:tcPr>
            <w:tcW w:type="dxa" w:w="12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Band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Youth Employment</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1</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23</w:t>
            </w:r>
          </w:p>
        </w:tc>
        <w:tc>
          <w:tcPr>
            <w:tcW w:type="dxa" w:w="1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Needs work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Maternal Health Data</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4</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3</w:t>
            </w:r>
          </w:p>
        </w:tc>
        <w:tc>
          <w:tcPr>
            <w:tcW w:type="dxa" w:w="5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w:t>
            </w:r>
          </w:p>
        </w:tc>
        <w:tc>
          <w:tcPr>
            <w:tcW w:type="dxa" w:w="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23</w:t>
            </w:r>
          </w:p>
        </w:tc>
        <w:tc>
          <w:tcPr>
            <w:tcW w:type="dxa" w:w="12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Needs work</w:t>
            </w:r>
          </w:p>
        </w:tc>
      </w:tr>
    </w:tbl>
    <w:p>
      <w:r>
        <w:rPr>
          <w:rFonts w:ascii="Arial" w:cs="Arial" w:eastAsia="Arial" w:hAnsi="Arial"/>
          <w:sz w:val="10"/>
          <w:szCs w:val="10"/>
        </w:rPr>
        <w:t xml:space="preserve"/>
      </w:r>
    </w:p>
    <w:p>
      <w:pPr>
        <w:spacing w:before="60" w:after="60"/>
      </w:pPr>
      <w:r>
        <w:rPr>
          <w:rFonts w:ascii="Arial" w:cs="Arial" w:eastAsia="Arial" w:hAnsi="Arial"/>
          <w:color w:val="555555"/>
          <w:sz w:val="20"/>
          <w:szCs w:val="20"/>
        </w:rPr>
        <w:t xml:space="preserve">Dimension key: D1 Clarity  |  D2 Scope  |  D3 Data readiness  |  D4 Champion  |  D5 Population &amp; impact  |  D6 Operating environment  |  D7 Success criteria  |  D8 Accessibility</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Quick-kill flags active: Both statements trigger "no continuation pathway." Youth Employment also triggers "data not ready" — no datasets of any kind are linked or referenced (D3=1, the lowest data score across all 12 targeted statements).</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1: Expanding Youth Employment Pathways</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23/32</w:t>
      </w:r>
      <w:r>
        <w:rPr>
          <w:rFonts w:ascii="Arial" w:cs="Arial" w:eastAsia="Arial" w:hAnsi="Arial"/>
          <w:sz w:val="20"/>
          <w:szCs w:val="20"/>
        </w:rPr>
        <w:t xml:space="preserve">    </w:t>
      </w:r>
      <w:r>
        <w:rPr>
          <w:rFonts w:ascii="Arial" w:cs="Arial" w:eastAsia="Arial" w:hAnsi="Arial"/>
          <w:b/>
          <w:bCs/>
          <w:color w:val="7B4F00"/>
          <w:sz w:val="20"/>
          <w:szCs w:val="20"/>
        </w:rPr>
        <w:t xml:space="preserve">Needs work</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improve how Richmond youth find, prepare for, and access early employment opportunities — including summer jobs, internships, and job-shadowing experiences — so that the path from interest to employment feels clear, supported, and achievable, while respecting youth labor laws, parental consent requirements, staffing capacity, and transportation barriers?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Early work experiences help young people build skills, confidence, and long-term workforce attachment. For many Richmond youth — especially those without strong adult support networks — these opportunities provide critical exposure to career pathways and financial independence. The process of securing a first job is fragmented and confusing. Existing programs through the Office of Community Wealth Building and community organizations provide support, but access is not scalable or easy to navigate. Employers also face barriers hiring youth: uncertainty around labor rules and no streamlined way to connect with prepared candidates.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Respect state youth labor laws and parental consent requirements</w:t>
      </w:r>
    </w:p>
    <w:p>
      <w:pPr>
        <w:pStyle w:val="ListParagraph"/>
        <w:numPr>
          <w:ilvl w:val="0"/>
          <w:numId w:val="2"/>
        </w:numPr>
        <w:spacing w:before="40" w:after="40"/>
      </w:pPr>
      <w:r>
        <w:rPr>
          <w:rFonts w:ascii="Arial" w:cs="Arial" w:eastAsia="Arial" w:hAnsi="Arial"/>
          <w:sz w:val="20"/>
          <w:szCs w:val="20"/>
        </w:rPr>
        <w:t xml:space="preserve">Prioritize privacy protections for minors</w:t>
      </w:r>
    </w:p>
    <w:p>
      <w:pPr>
        <w:pStyle w:val="ListParagraph"/>
        <w:numPr>
          <w:ilvl w:val="0"/>
          <w:numId w:val="2"/>
        </w:numPr>
        <w:spacing w:before="40" w:after="40"/>
      </w:pPr>
      <w:r>
        <w:rPr>
          <w:rFonts w:ascii="Arial" w:cs="Arial" w:eastAsia="Arial" w:hAnsi="Arial"/>
          <w:sz w:val="20"/>
          <w:szCs w:val="20"/>
        </w:rPr>
        <w:t xml:space="preserve">Avoid adding significant workload for City staff</w:t>
      </w:r>
    </w:p>
    <w:p>
      <w:pPr>
        <w:pStyle w:val="ListParagraph"/>
        <w:numPr>
          <w:ilvl w:val="0"/>
          <w:numId w:val="2"/>
        </w:numPr>
        <w:spacing w:before="40" w:after="40"/>
      </w:pPr>
      <w:r>
        <w:rPr>
          <w:rFonts w:ascii="Arial" w:cs="Arial" w:eastAsia="Arial" w:hAnsi="Arial"/>
          <w:sz w:val="20"/>
          <w:szCs w:val="20"/>
        </w:rPr>
        <w:t xml:space="preserve">Recognize transportation limitations affecting youth job access</w:t>
      </w:r>
    </w:p>
    <w:p>
      <w:pPr>
        <w:pStyle w:val="ListParagraph"/>
        <w:numPr>
          <w:ilvl w:val="0"/>
          <w:numId w:val="2"/>
        </w:numPr>
        <w:spacing w:before="40" w:after="40"/>
      </w:pPr>
      <w:r>
        <w:rPr>
          <w:rFonts w:ascii="Arial" w:cs="Arial" w:eastAsia="Arial" w:hAnsi="Arial"/>
          <w:sz w:val="20"/>
          <w:szCs w:val="20"/>
        </w:rPr>
        <w:t xml:space="preserve">Complement existing workforce and community programs rather than replace them</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Youth have one clear place to explore employment opportunities and career experiences</w:t>
      </w:r>
    </w:p>
    <w:p>
      <w:pPr>
        <w:pStyle w:val="ListParagraph"/>
        <w:numPr>
          <w:ilvl w:val="0"/>
          <w:numId w:val="2"/>
        </w:numPr>
        <w:spacing w:before="40" w:after="40"/>
      </w:pPr>
      <w:r>
        <w:rPr>
          <w:rFonts w:ascii="Arial" w:cs="Arial" w:eastAsia="Arial" w:hAnsi="Arial"/>
          <w:sz w:val="20"/>
          <w:szCs w:val="20"/>
        </w:rPr>
        <w:t xml:space="preserve">Teens receive guidance on preparing for their first job</w:t>
      </w:r>
    </w:p>
    <w:p>
      <w:pPr>
        <w:pStyle w:val="ListParagraph"/>
        <w:numPr>
          <w:ilvl w:val="0"/>
          <w:numId w:val="2"/>
        </w:numPr>
        <w:spacing w:before="40" w:after="40"/>
      </w:pPr>
      <w:r>
        <w:rPr>
          <w:rFonts w:ascii="Arial" w:cs="Arial" w:eastAsia="Arial" w:hAnsi="Arial"/>
          <w:sz w:val="20"/>
          <w:szCs w:val="20"/>
        </w:rPr>
        <w:t xml:space="preserve">Required documents can be organized digitally and securely</w:t>
      </w:r>
    </w:p>
    <w:p>
      <w:pPr>
        <w:pStyle w:val="ListParagraph"/>
        <w:numPr>
          <w:ilvl w:val="0"/>
          <w:numId w:val="2"/>
        </w:numPr>
        <w:spacing w:before="40" w:after="40"/>
      </w:pPr>
      <w:r>
        <w:rPr>
          <w:rFonts w:ascii="Arial" w:cs="Arial" w:eastAsia="Arial" w:hAnsi="Arial"/>
          <w:sz w:val="20"/>
          <w:szCs w:val="20"/>
        </w:rPr>
        <w:t xml:space="preserve">Employers feel confident hiring youth candidates</w:t>
      </w:r>
    </w:p>
    <w:p>
      <w:pPr>
        <w:pStyle w:val="ListParagraph"/>
        <w:numPr>
          <w:ilvl w:val="0"/>
          <w:numId w:val="2"/>
        </w:numPr>
        <w:spacing w:before="40" w:after="40"/>
      </w:pPr>
      <w:r>
        <w:rPr>
          <w:rFonts w:ascii="Arial" w:cs="Arial" w:eastAsia="Arial" w:hAnsi="Arial"/>
          <w:sz w:val="20"/>
          <w:szCs w:val="20"/>
        </w:rPr>
        <w:t xml:space="preserve">More Richmond youth successfully access early employment opportunities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Specific and human-centered: youth face fragmented, confusing pathways to first employment. Pain points are concrete (document organization, labor law confusion, transportation barriers).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Packs a lot in — discovery, preparation, document management, employer confidence, transportation — which risks being too broad. A team could prototype one slice, but the statement doesn’t help them choose which slice.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datasets linked or mentioned. The open data catalog lists K-12 and workforce data under other pillars, but nothing specific to youth employment programs, job listings, or Office of Community Wealth Building data. Teams would start from scratch.</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Office of Community Wealth Building referenced but no named individual. No continuation pathway.</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Richmond youth, especially those without strong adult support networks. Civic impact is compelling — workforce attachment, financial independence, long-term economic mobility.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Constraints are real and well-listed. Missing: what technology youth actually use, what systems existing programs run 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and outcome-oriented. Output type not specified.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Service design, UX research, content writing, and youth engagement are natural entry points beyond code.</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p>
            <w:pPr>
              <w:spacing w:before="30" w:after="30"/>
            </w:pPr>
            <w:r>
              <w:rPr>
                <w:rFonts w:ascii="Arial" w:cs="Arial" w:eastAsia="Arial" w:hAnsi="Arial"/>
                <w:color w:val="7B1818"/>
                <w:sz w:val="18"/>
                <w:szCs w:val="18"/>
              </w:rPr>
              <w:t xml:space="preserve">• Data readiness is critically low (D3=1) — no datasets of any kind are linked or referenced. Teams start from zero.</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Gap Analysis — Critical (D3=1)</w:t>
      </w:r>
    </w:p>
    <w:p>
      <w:pPr>
        <w:spacing w:before="60" w:after="60"/>
      </w:pPr>
      <w:r>
        <w:rPr>
          <w:rFonts w:ascii="Arial" w:cs="Arial" w:eastAsia="Arial" w:hAnsi="Arial"/>
          <w:sz w:val="20"/>
          <w:szCs w:val="20"/>
        </w:rPr>
        <w:t xml:space="preserve">This statement has the lowest data readiness score across all 12 targeted statements. Teams start from zero.</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Missing datasets:</w:t>
      </w:r>
    </w:p>
    <w:p>
      <w:pPr>
        <w:pStyle w:val="ListParagraph"/>
        <w:numPr>
          <w:ilvl w:val="0"/>
          <w:numId w:val="2"/>
        </w:numPr>
        <w:spacing w:before="40" w:after="40"/>
      </w:pPr>
      <w:r>
        <w:rPr>
          <w:rFonts w:ascii="Arial" w:cs="Arial" w:eastAsia="Arial" w:hAnsi="Arial"/>
          <w:sz w:val="20"/>
          <w:szCs w:val="20"/>
        </w:rPr>
        <w:t xml:space="preserve">A list of current youth employment programs in Richmond: program name, administering organization, age eligibility, application window, locations served</w:t>
      </w:r>
    </w:p>
    <w:p>
      <w:pPr>
        <w:pStyle w:val="ListParagraph"/>
        <w:numPr>
          <w:ilvl w:val="0"/>
          <w:numId w:val="2"/>
        </w:numPr>
        <w:spacing w:before="40" w:after="40"/>
      </w:pPr>
      <w:r>
        <w:rPr>
          <w:rFonts w:ascii="Arial" w:cs="Arial" w:eastAsia="Arial" w:hAnsi="Arial"/>
          <w:sz w:val="20"/>
          <w:szCs w:val="20"/>
        </w:rPr>
        <w:t xml:space="preserve">A directory of employers who have previously hired youth through City-affiliated programs</w:t>
      </w:r>
    </w:p>
    <w:p>
      <w:pPr>
        <w:pStyle w:val="ListParagraph"/>
        <w:numPr>
          <w:ilvl w:val="0"/>
          <w:numId w:val="2"/>
        </w:numPr>
        <w:spacing w:before="40" w:after="40"/>
      </w:pPr>
      <w:r>
        <w:rPr>
          <w:rFonts w:ascii="Arial" w:cs="Arial" w:eastAsia="Arial" w:hAnsi="Arial"/>
          <w:sz w:val="20"/>
          <w:szCs w:val="20"/>
        </w:rPr>
        <w:t xml:space="preserve">A Virginia youth labor law summary: which hours, which jobs, what age thresholds, what documentation is required</w:t>
      </w:r>
    </w:p>
    <w:p>
      <w:pPr>
        <w:pStyle w:val="ListParagraph"/>
        <w:numPr>
          <w:ilvl w:val="0"/>
          <w:numId w:val="2"/>
        </w:numPr>
        <w:spacing w:before="40" w:after="40"/>
      </w:pPr>
      <w:r>
        <w:rPr>
          <w:rFonts w:ascii="Arial" w:cs="Arial" w:eastAsia="Arial" w:hAnsi="Arial"/>
          <w:sz w:val="20"/>
          <w:szCs w:val="20"/>
        </w:rPr>
        <w:t xml:space="preserve">GRTC transit routes overlaid with employer locations to surface transportation barriers</w:t>
      </w:r>
    </w:p>
    <w:p>
      <w:r>
        <w:rPr>
          <w:rFonts w:ascii="Arial" w:cs="Arial" w:eastAsia="Arial" w:hAnsi="Arial"/>
          <w:sz w:val="10"/>
          <w:szCs w:val="10"/>
        </w:rPr>
        <w:t xml:space="preserve"/>
      </w:r>
    </w:p>
    <w:p>
      <w:pPr>
        <w:spacing w:before="60" w:after="60"/>
      </w:pPr>
      <w:r>
        <w:rPr>
          <w:rFonts w:ascii="Arial" w:cs="Arial" w:eastAsia="Arial" w:hAnsi="Arial"/>
          <w:sz w:val="20"/>
          <w:szCs w:val="20"/>
        </w:rPr>
        <w:t xml:space="preserve">Open data catalog blind spot: No workforce development or youth employment section exists in the catalog. No program listings, employer directories, or apprenticeship data.</w:t>
      </w:r>
    </w:p>
    <w:p>
      <w:r>
        <w:rPr>
          <w:rFonts w:ascii="Arial" w:cs="Arial" w:eastAsia="Arial" w:hAnsi="Arial"/>
          <w:sz w:val="10"/>
          <w:szCs w:val="10"/>
        </w:rPr>
        <w:t xml:space="preserve"/>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Output type unspecified</w:t>
      </w:r>
    </w:p>
    <w:p>
      <w:pPr>
        <w:pStyle w:val="ListParagraph"/>
        <w:numPr>
          <w:ilvl w:val="0"/>
          <w:numId w:val="2"/>
        </w:numPr>
        <w:spacing w:before="40" w:after="40"/>
      </w:pPr>
      <w:r>
        <w:rPr>
          <w:rFonts w:ascii="Arial" w:cs="Arial" w:eastAsia="Arial" w:hAnsi="Arial"/>
          <w:sz w:val="20"/>
          <w:szCs w:val="20"/>
        </w:rPr>
        <w:t xml:space="preserve">Teen device usage (smartphones, apps, home internet reliability): undocumented</w:t>
      </w:r>
    </w:p>
    <w:p>
      <w:pPr>
        <w:pStyle w:val="ListParagraph"/>
        <w:numPr>
          <w:ilvl w:val="0"/>
          <w:numId w:val="2"/>
        </w:numPr>
        <w:spacing w:before="40" w:after="40"/>
      </w:pPr>
      <w:r>
        <w:rPr>
          <w:rFonts w:ascii="Arial" w:cs="Arial" w:eastAsia="Arial" w:hAnsi="Arial"/>
          <w:sz w:val="20"/>
          <w:szCs w:val="20"/>
        </w:rPr>
        <w:t xml:space="preserve">Systems existing youth employment programs run on: undocumented</w:t>
      </w:r>
    </w:p>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Targeted Statement 2: Maternal Health Data Coordination</w:t>
      </w:r>
    </w:p>
    <w:p>
      <w:pPr>
        <w:pBdr>
          <w:bottom w:val="single" w:color="9B2335" w:sz="6" w:space="1"/>
        </w:pBdr>
        <w:spacing w:before="60" w:after="60"/>
      </w:pPr>
      <w:r>
        <w:rPr>
          <w:rFonts w:ascii="Arial" w:cs="Arial" w:eastAsia="Arial" w:hAnsi="Arial"/>
        </w:rPr>
        <w:t xml:space="preserve"/>
      </w:r>
    </w:p>
    <w:p>
      <w:pPr>
        <w:spacing w:before="60" w:after="80"/>
      </w:pPr>
      <w:r>
        <w:rPr>
          <w:rFonts w:ascii="Arial" w:cs="Arial" w:eastAsia="Arial" w:hAnsi="Arial"/>
          <w:b/>
          <w:bCs/>
          <w:sz w:val="20"/>
          <w:szCs w:val="20"/>
        </w:rPr>
        <w:t xml:space="preserve">Score: </w:t>
      </w:r>
      <w:r>
        <w:rPr>
          <w:rFonts w:ascii="Arial" w:cs="Arial" w:eastAsia="Arial" w:hAnsi="Arial"/>
          <w:b/>
          <w:bCs/>
          <w:color w:val="2E5090"/>
          <w:sz w:val="22"/>
          <w:szCs w:val="22"/>
        </w:rPr>
        <w:t xml:space="preserve">23/32</w:t>
      </w:r>
      <w:r>
        <w:rPr>
          <w:rFonts w:ascii="Arial" w:cs="Arial" w:eastAsia="Arial" w:hAnsi="Arial"/>
          <w:sz w:val="20"/>
          <w:szCs w:val="20"/>
        </w:rPr>
        <w:t xml:space="preserve">    </w:t>
      </w:r>
      <w:r>
        <w:rPr>
          <w:rFonts w:ascii="Arial" w:cs="Arial" w:eastAsia="Arial" w:hAnsi="Arial"/>
          <w:b/>
          <w:bCs/>
          <w:color w:val="7B4F00"/>
          <w:sz w:val="20"/>
          <w:szCs w:val="20"/>
        </w:rPr>
        <w:t xml:space="preserve">Needs work</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Problem Statement</w:t>
      </w:r>
    </w:p>
    <w:p>
      <w:pPr>
        <w:spacing w:before="60" w:after="60"/>
      </w:pPr>
      <w:r>
        <w:rPr>
          <w:rFonts w:ascii="Arial" w:cs="Arial" w:eastAsia="Arial" w:hAnsi="Arial"/>
          <w:sz w:val="20"/>
          <w:szCs w:val="20"/>
        </w:rPr>
        <w:t xml:space="preserve">How might we use technology to reduce fragmented and duplicative maternal health data analysis across agencies and nonprofit organizations so that Richmond’s maternal health ecosystem can operate from unified, consistent metrics while respecting data-sharing limitations and staffing constraints?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Context</w:t>
      </w:r>
    </w:p>
    <w:p>
      <w:pPr>
        <w:spacing w:before="60" w:after="60"/>
      </w:pPr>
      <w:r>
        <w:rPr>
          <w:rFonts w:ascii="Arial" w:cs="Arial" w:eastAsia="Arial" w:hAnsi="Arial"/>
          <w:sz w:val="20"/>
          <w:szCs w:val="20"/>
        </w:rPr>
        <w:t xml:space="preserve">Maternal health stakeholders across Richmond rely on multiple public datasets: Virginia Department of Health (VDH) maternal health data, American Community Survey (ACS) population data, Kids Count indicators, and school and insurance coverage data. Organizations independently compile and analyze these datasets, producing duplicated effort, inconsistent metrics, and fragmented reporting. Reduced federal funding and increasing pressure to demonstrate measurable outcomes make alignment around shared indicators urgent.</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Constraints</w:t>
      </w:r>
    </w:p>
    <w:p>
      <w:pPr>
        <w:pStyle w:val="ListParagraph"/>
        <w:numPr>
          <w:ilvl w:val="0"/>
          <w:numId w:val="2"/>
        </w:numPr>
        <w:spacing w:before="40" w:after="40"/>
      </w:pPr>
      <w:r>
        <w:rPr>
          <w:rFonts w:ascii="Arial" w:cs="Arial" w:eastAsia="Arial" w:hAnsi="Arial"/>
          <w:sz w:val="20"/>
          <w:szCs w:val="20"/>
        </w:rPr>
        <w:t xml:space="preserve">Operate within legal and policy limits around sharing health data</w:t>
      </w:r>
    </w:p>
    <w:p>
      <w:pPr>
        <w:pStyle w:val="ListParagraph"/>
        <w:numPr>
          <w:ilvl w:val="0"/>
          <w:numId w:val="2"/>
        </w:numPr>
        <w:spacing w:before="40" w:after="40"/>
      </w:pPr>
      <w:r>
        <w:rPr>
          <w:rFonts w:ascii="Arial" w:cs="Arial" w:eastAsia="Arial" w:hAnsi="Arial"/>
          <w:sz w:val="20"/>
          <w:szCs w:val="20"/>
        </w:rPr>
        <w:t xml:space="preserve">Work with incomplete or inconsistently available datasets</w:t>
      </w:r>
    </w:p>
    <w:p>
      <w:pPr>
        <w:pStyle w:val="ListParagraph"/>
        <w:numPr>
          <w:ilvl w:val="0"/>
          <w:numId w:val="2"/>
        </w:numPr>
        <w:spacing w:before="40" w:after="40"/>
      </w:pPr>
      <w:r>
        <w:rPr>
          <w:rFonts w:ascii="Arial" w:cs="Arial" w:eastAsia="Arial" w:hAnsi="Arial"/>
          <w:sz w:val="20"/>
          <w:szCs w:val="20"/>
        </w:rPr>
        <w:t xml:space="preserve">Respect limited staffing capacity across agencies and nonprofits</w:t>
      </w:r>
    </w:p>
    <w:p>
      <w:pPr>
        <w:pStyle w:val="ListParagraph"/>
        <w:numPr>
          <w:ilvl w:val="0"/>
          <w:numId w:val="2"/>
        </w:numPr>
        <w:spacing w:before="40" w:after="40"/>
      </w:pPr>
      <w:r>
        <w:rPr>
          <w:rFonts w:ascii="Arial" w:cs="Arial" w:eastAsia="Arial" w:hAnsi="Arial"/>
          <w:sz w:val="20"/>
          <w:szCs w:val="20"/>
        </w:rPr>
        <w:t xml:space="preserve">Remain cost-effective and sustainable</w:t>
      </w:r>
    </w:p>
    <w:p>
      <w:pPr>
        <w:pStyle w:val="ListParagraph"/>
        <w:numPr>
          <w:ilvl w:val="0"/>
          <w:numId w:val="2"/>
        </w:numPr>
        <w:spacing w:before="40" w:after="40"/>
      </w:pPr>
      <w:r>
        <w:rPr>
          <w:rFonts w:ascii="Arial" w:cs="Arial" w:eastAsia="Arial" w:hAnsi="Arial"/>
          <w:sz w:val="20"/>
          <w:szCs w:val="20"/>
        </w:rPr>
        <w:t xml:space="preserve">Support — rather than replace — expert interpretation of health data</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Success Would Mean</w:t>
      </w:r>
    </w:p>
    <w:p>
      <w:pPr>
        <w:pStyle w:val="ListParagraph"/>
        <w:numPr>
          <w:ilvl w:val="0"/>
          <w:numId w:val="2"/>
        </w:numPr>
        <w:spacing w:before="40" w:after="40"/>
      </w:pPr>
      <w:r>
        <w:rPr>
          <w:rFonts w:ascii="Arial" w:cs="Arial" w:eastAsia="Arial" w:hAnsi="Arial"/>
          <w:sz w:val="20"/>
          <w:szCs w:val="20"/>
        </w:rPr>
        <w:t xml:space="preserve">Organizations no longer recreate the same datasets independently</w:t>
      </w:r>
    </w:p>
    <w:p>
      <w:pPr>
        <w:pStyle w:val="ListParagraph"/>
        <w:numPr>
          <w:ilvl w:val="0"/>
          <w:numId w:val="2"/>
        </w:numPr>
        <w:spacing w:before="40" w:after="40"/>
      </w:pPr>
      <w:r>
        <w:rPr>
          <w:rFonts w:ascii="Arial" w:cs="Arial" w:eastAsia="Arial" w:hAnsi="Arial"/>
          <w:sz w:val="20"/>
          <w:szCs w:val="20"/>
        </w:rPr>
        <w:t xml:space="preserve">Maternal health indicators are defined and measured consistently</w:t>
      </w:r>
    </w:p>
    <w:p>
      <w:pPr>
        <w:pStyle w:val="ListParagraph"/>
        <w:numPr>
          <w:ilvl w:val="0"/>
          <w:numId w:val="2"/>
        </w:numPr>
        <w:spacing w:before="40" w:after="40"/>
      </w:pPr>
      <w:r>
        <w:rPr>
          <w:rFonts w:ascii="Arial" w:cs="Arial" w:eastAsia="Arial" w:hAnsi="Arial"/>
          <w:sz w:val="20"/>
          <w:szCs w:val="20"/>
        </w:rPr>
        <w:t xml:space="preserve">Grant applications use shared and standardized data</w:t>
      </w:r>
    </w:p>
    <w:p>
      <w:pPr>
        <w:pStyle w:val="ListParagraph"/>
        <w:numPr>
          <w:ilvl w:val="0"/>
          <w:numId w:val="2"/>
        </w:numPr>
        <w:spacing w:before="40" w:after="40"/>
      </w:pPr>
      <w:r>
        <w:rPr>
          <w:rFonts w:ascii="Arial" w:cs="Arial" w:eastAsia="Arial" w:hAnsi="Arial"/>
          <w:sz w:val="20"/>
          <w:szCs w:val="20"/>
        </w:rPr>
        <w:t xml:space="preserve">Staff time shifts from manual data compilation to strategic analysis</w:t>
      </w:r>
    </w:p>
    <w:p>
      <w:pPr>
        <w:pStyle w:val="ListParagraph"/>
        <w:numPr>
          <w:ilvl w:val="0"/>
          <w:numId w:val="2"/>
        </w:numPr>
        <w:spacing w:before="40" w:after="40"/>
      </w:pPr>
      <w:r>
        <w:rPr>
          <w:rFonts w:ascii="Arial" w:cs="Arial" w:eastAsia="Arial" w:hAnsi="Arial"/>
          <w:sz w:val="20"/>
          <w:szCs w:val="20"/>
        </w:rPr>
        <w:t xml:space="preserve">Funding and interventions are directed toward evidence-based priorities</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Detailed Rubric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 Clarity</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Precise: multiple organizations independently analyze the same maternal health datasets, producing duplicated effort and inconsistent metrics.</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 Scope</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Building a shared metrics framework or dashboard is achievable as a prototype. Risk: teams may need to understand the maternal health data ecosystem deeply before they can build.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 Data</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Four data sources named (VDH, ACS, Kids Count, school/insurance data). Catalog lists VDH data portal, ACS via Census, and VDOE data. URLs not provided; access details absent.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 Champion</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"City agencies, nonprofit partners, and advocacy organizations" mentioned generically. No named individual committed.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 Population</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Mothers and families in Richmond are the ultimate beneficiaries, but the statement focuses more on the organizational coordination problem.</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 Environment</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Constraints address legal data-sharing limits, incomplete datasets, staffing, and cost. Missing: what tools organizations currently use, what formats data arrives in.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 Success</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Clear success metrics. Output type implied (dashboard or shared framework) but not stated.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 Accessibility</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Heavily data-focused. Requires understanding of public health metrics, data standardization, and visualization. Limited entry points for non-specialists.</w:t>
            </w:r>
          </w:p>
        </w:tc>
      </w:tr>
    </w:tbl>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9B2335" w:sz="14"/>
              <w:bottom w:val="single" w:color="CCCCCC" w:sz="1"/>
              <w:right w:val="single" w:color="CCCCCC" w:sz="1"/>
            </w:tcBorders>
            <w:shd w:fill="FCE4D6" w:val="clear"/>
            <w:tcMar>
              <w:top w:type="dxa" w:w="80"/>
              <w:left w:type="dxa" w:w="160"/>
              <w:bottom w:type="dxa" w:w="80"/>
              <w:right w:type="dxa" w:w="120"/>
            </w:tcMar>
          </w:tcPr>
          <w:p>
            <w:r>
              <w:rPr>
                <w:rFonts w:ascii="Arial" w:cs="Arial" w:eastAsia="Arial" w:hAnsi="Arial"/>
                <w:b/>
                <w:bCs/>
                <w:color w:val="9B2335"/>
                <w:sz w:val="18"/>
                <w:szCs w:val="18"/>
              </w:rPr>
              <w:t xml:space="preserve">⚑  Quick-Kill Flags</w:t>
            </w:r>
          </w:p>
          <w:p>
            <w:pPr>
              <w:spacing w:before="30" w:after="30"/>
            </w:pPr>
            <w:r>
              <w:rPr>
                <w:rFonts w:ascii="Arial" w:cs="Arial" w:eastAsia="Arial" w:hAnsi="Arial"/>
                <w:color w:val="7B1818"/>
                <w:sz w:val="18"/>
                <w:szCs w:val="18"/>
              </w:rPr>
              <w:t xml:space="preserve">• Missing continuation pathway — no named individual committed to working with outputs.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Gap Analysis</w:t>
      </w:r>
    </w:p>
    <w:p>
      <w:pPr>
        <w:spacing w:before="60" w:after="60"/>
      </w:pPr>
      <w:r>
        <w:rPr>
          <w:rFonts w:ascii="Arial" w:cs="Arial" w:eastAsia="Arial" w:hAnsi="Arial"/>
          <w:b/>
          <w:bCs/>
          <w:sz w:val="20"/>
          <w:szCs w:val="20"/>
        </w:rPr>
        <w:t xml:space="preserve">Other gaps:</w:t>
      </w:r>
    </w:p>
    <w:p>
      <w:pPr>
        <w:pStyle w:val="ListParagraph"/>
        <w:numPr>
          <w:ilvl w:val="0"/>
          <w:numId w:val="2"/>
        </w:numPr>
        <w:spacing w:before="40" w:after="40"/>
      </w:pPr>
      <w:r>
        <w:rPr>
          <w:rFonts w:ascii="Arial" w:cs="Arial" w:eastAsia="Arial" w:hAnsi="Arial"/>
          <w:sz w:val="20"/>
          <w:szCs w:val="20"/>
        </w:rPr>
        <w:t xml:space="preserve">URLs for the four named data sources: missing</w:t>
      </w:r>
    </w:p>
    <w:p>
      <w:pPr>
        <w:pStyle w:val="ListParagraph"/>
        <w:numPr>
          <w:ilvl w:val="0"/>
          <w:numId w:val="2"/>
        </w:numPr>
        <w:spacing w:before="40" w:after="40"/>
      </w:pPr>
      <w:r>
        <w:rPr>
          <w:rFonts w:ascii="Arial" w:cs="Arial" w:eastAsia="Arial" w:hAnsi="Arial"/>
          <w:sz w:val="20"/>
          <w:szCs w:val="20"/>
        </w:rPr>
        <w:t xml:space="preserve">Data format and access method for each (API? CSV download? manual request?): unspecified</w:t>
      </w:r>
    </w:p>
    <w:p>
      <w:pPr>
        <w:pStyle w:val="ListParagraph"/>
        <w:numPr>
          <w:ilvl w:val="0"/>
          <w:numId w:val="2"/>
        </w:numPr>
        <w:spacing w:before="40" w:after="40"/>
      </w:pPr>
      <w:r>
        <w:rPr>
          <w:rFonts w:ascii="Arial" w:cs="Arial" w:eastAsia="Arial" w:hAnsi="Arial"/>
          <w:sz w:val="20"/>
          <w:szCs w:val="20"/>
        </w:rPr>
        <w:t xml:space="preserve">Tools organizations currently use for maternal health analysis: undocumented</w:t>
      </w:r>
    </w:p>
    <w:p>
      <w:pPr>
        <w:pStyle w:val="ListParagraph"/>
        <w:numPr>
          <w:ilvl w:val="0"/>
          <w:numId w:val="2"/>
        </w:numPr>
        <w:spacing w:before="40" w:after="40"/>
      </w:pPr>
      <w:r>
        <w:rPr>
          <w:rFonts w:ascii="Arial" w:cs="Arial" w:eastAsia="Arial" w:hAnsi="Arial"/>
          <w:sz w:val="20"/>
          <w:szCs w:val="20"/>
        </w:rPr>
        <w:t xml:space="preserve">Output type unspecified</w:t>
      </w:r>
    </w:p>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Relevant Open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Dataset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Format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VDH Maternal Health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VDH Portal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Primary health outcome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ACS Population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Census API, CSV</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Demographic context, income, insurance coverage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Kids Count Indicators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AECF Data Center</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Child and family wellbeing benchmarks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VDOE School Data</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VDOE Portal</w:t>
            </w:r>
          </w:p>
        </w:tc>
        <w:tc>
          <w:tcPr>
            <w:tcW w:type="dxa" w:w="4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School-age population context</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Blue Sky Problem Statements</w:t>
      </w:r>
    </w:p>
    <w:p>
      <w:pPr>
        <w:pBdr>
          <w:bottom w:val="single" w:color="9B2335" w:sz="6" w:space="1"/>
        </w:pBdr>
        <w:spacing w:before="60" w:after="60"/>
      </w:pPr>
      <w:r>
        <w:rPr>
          <w:rFonts w:ascii="Arial" w:cs="Arial" w:eastAsia="Arial" w:hAnsi="Arial"/>
        </w:rPr>
        <w:t xml:space="preserve"/>
      </w:r>
    </w:p>
    <w:p>
      <w:pPr>
        <w:pStyle w:val="Heading2"/>
        <w:spacing w:before="240" w:after="80"/>
      </w:pPr>
      <w:r>
        <w:rPr>
          <w:rFonts w:ascii="Arial" w:cs="Arial" w:eastAsia="Arial" w:hAnsi="Arial"/>
          <w:b/>
          <w:bCs/>
          <w:color w:val="2E5090"/>
          <w:sz w:val="24"/>
          <w:szCs w:val="24"/>
        </w:rPr>
        <w:t xml:space="preserve">Preparing Every Young Person for Their First Job — 17/27 (Needs work)</w:t>
      </w:r>
    </w:p>
    <w:p>
      <w:pPr>
        <w:spacing w:before="60" w:after="60"/>
      </w:pPr>
      <w:r>
        <w:rPr>
          <w:rFonts w:ascii="Arial" w:cs="Arial" w:eastAsia="Arial" w:hAnsi="Arial"/>
          <w:sz w:val="20"/>
          <w:szCs w:val="20"/>
        </w:rPr>
        <w:t xml:space="preserve">How might we use technology to help Richmond youth gain the skills, guidance, and opportunities needed to successfully enter the workforce so that every young person can access meaningful early employment experiences?</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Understandable but reads as a vaguer restatement of the targeted problem.</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Covers the entire youth workforce pipeline with no narrowing.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or implied.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stakeholder area named.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"Every young person" in Richmond. Clear and compelling.</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constraints or context.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Directional but vague.</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Youth mentoring, career counseling, content design, community outreach — broad entry points.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Connecting Youth and Employers Across the City — 21/27 (Strong)</w:t>
      </w:r>
    </w:p>
    <w:p>
      <w:pPr>
        <w:spacing w:before="60" w:after="60"/>
      </w:pPr>
      <w:r>
        <w:rPr>
          <w:rFonts w:ascii="Arial" w:cs="Arial" w:eastAsia="Arial" w:hAnsi="Arial"/>
          <w:sz w:val="20"/>
          <w:szCs w:val="20"/>
        </w:rPr>
        <w:t xml:space="preserve">How might we use technology to strengthen connections between Richmond youth and local employers so that businesses feel confident hiring young people and teens can access meaningful work experiences?</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Names both sides of the problem: youth need access AND employers need confidence. Two-sided framing adds value beyond the targeted statement.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"Connections between youth and employers" is a defined domain.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or implied.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Employers and youth both named as actors. Office of Community Wealth Building is the implicit anchor.</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DAEEF3"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4</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Richmond youth and local employers. Both sides named.</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constraints described.</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"Businesses feel confident hiring young people and teens can access meaningful work" — clear two-sided definition.</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Employer outreach, youth engagement, UX research, content writing — multiple roles.</w:t>
            </w:r>
          </w:p>
        </w:tc>
      </w:tr>
    </w:tbl>
    <w:p>
      <w:r>
        <w:rPr>
          <w:rFonts w:ascii="Arial" w:cs="Arial" w:eastAsia="Arial" w:hAnsi="Arial"/>
          <w:sz w:val="10"/>
          <w:szCs w:val="10"/>
        </w:rPr>
        <w:t xml:space="preserve"/>
      </w:r>
    </w:p>
    <w:p>
      <w:pPr>
        <w:pStyle w:val="Heading2"/>
        <w:spacing w:before="240" w:after="80"/>
      </w:pPr>
      <w:r>
        <w:rPr>
          <w:rFonts w:ascii="Arial" w:cs="Arial" w:eastAsia="Arial" w:hAnsi="Arial"/>
          <w:b/>
          <w:bCs/>
          <w:color w:val="2E5090"/>
          <w:sz w:val="24"/>
          <w:szCs w:val="24"/>
        </w:rPr>
        <w:t xml:space="preserve">A Shared Understanding of Maternal Health — 15/27 (Needs work)</w:t>
      </w:r>
    </w:p>
    <w:p>
      <w:pPr>
        <w:spacing w:before="60" w:after="60"/>
      </w:pPr>
      <w:r>
        <w:rPr>
          <w:rFonts w:ascii="Arial" w:cs="Arial" w:eastAsia="Arial" w:hAnsi="Arial"/>
          <w:sz w:val="20"/>
          <w:szCs w:val="20"/>
        </w:rPr>
        <w:t xml:space="preserve">How might we use technology to create a shared understanding of maternal health outcomes across Richmond so that organizations can coordinate efforts, align strategies, and improve outcomes for mothers and families?</w:t>
      </w:r>
    </w:p>
    <w:p>
      <w:r>
        <w:rPr>
          <w:rFonts w:ascii="Arial" w:cs="Arial" w:eastAsia="Arial" w:hAnsi="Arial"/>
          <w:sz w:val="10"/>
          <w:szCs w:val="1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580"/>
        <w:gridCol w:w="7480"/>
      </w:tblGrid>
      <w:tr>
        <w:trPr>
          <w:tblHeader/>
        </w:trPr>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Score</w:t>
            </w:r>
          </w:p>
        </w:tc>
        <w:tc>
          <w:tcPr>
            <w:tcW w:type="dxa" w:w="74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Rationale</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D1</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Nearly identical to targeted statement in framing but less specific.</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D2</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Entire maternal health data ecosystem. No narrowing.</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D3</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data referenced (targeted statement at least names VDH, ACS, Kids Count).</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D4</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"Organizations" — generic.</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D5</w:t>
            </w:r>
          </w:p>
        </w:tc>
        <w:tc>
          <w:tcPr>
            <w:tcW w:type="dxa" w:w="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3</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"Mothers and families" — named but broadly.</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D6</w:t>
            </w:r>
          </w:p>
        </w:tc>
        <w:tc>
          <w:tcPr>
            <w:tcW w:type="dxa" w:w="58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1</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No constraints or context.</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D7</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Directional but generic.</w:t>
            </w:r>
          </w:p>
        </w:tc>
      </w:tr>
      <w:tr>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222222"/>
                <w:sz w:val="19"/>
                <w:szCs w:val="19"/>
              </w:rPr>
              <w:t xml:space="preserve">D8</w:t>
            </w:r>
          </w:p>
        </w:tc>
        <w:tc>
          <w:tcPr>
            <w:tcW w:type="dxa" w:w="58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vAlign w:val="center"/>
          </w:tcPr>
          <w:p>
            <w:pPr>
              <w:jc w:val="center"/>
            </w:pPr>
            <w:r>
              <w:rPr>
                <w:rFonts w:ascii="Arial" w:cs="Arial" w:eastAsia="Arial" w:hAnsi="Arial"/>
                <w:b/>
                <w:bCs/>
                <w:color w:val="222222"/>
                <w:sz w:val="19"/>
                <w:szCs w:val="19"/>
              </w:rPr>
              <w:t xml:space="preserve">2</w:t>
            </w:r>
          </w:p>
        </w:tc>
        <w:tc>
          <w:tcPr>
            <w:tcW w:type="dxa" w:w="7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222222"/>
                <w:sz w:val="19"/>
                <w:szCs w:val="19"/>
              </w:rPr>
              <w:t xml:space="preserve">Public health data expertise required.</w:t>
            </w:r>
          </w:p>
        </w:tc>
      </w:tr>
    </w:tbl>
    <w:p>
      <w:r>
        <w:rPr>
          <w:rFonts w:ascii="Arial" w:cs="Arial" w:eastAsia="Arial" w:hAnsi="Arial"/>
          <w:sz w:val="10"/>
          <w:szCs w:val="10"/>
        </w:rPr>
        <w:t xml:space="preserve"/>
      </w:r>
    </w:p>
    <w:p>
      <w:r>
        <w:br w:type="page"/>
      </w:r>
    </w:p>
    <w:p>
      <w:pPr>
        <w:pStyle w:val="Heading1"/>
        <w:spacing w:before="320" w:after="100"/>
      </w:pPr>
      <w:r>
        <w:rPr>
          <w:rFonts w:ascii="Arial" w:cs="Arial" w:eastAsia="Arial" w:hAnsi="Arial"/>
          <w:b/>
          <w:bCs/>
          <w:color w:val="1F3864"/>
          <w:sz w:val="28"/>
          <w:szCs w:val="28"/>
        </w:rPr>
        <w:t xml:space="preserve">Prioritized Actions Before March 27, 2026</w:t>
      </w:r>
    </w:p>
    <w:p>
      <w:pPr>
        <w:pBdr>
          <w:bottom w:val="single" w:color="9B2335" w:sz="6" w:space="1"/>
        </w:pBdr>
        <w:spacing w:before="60" w:after="60"/>
      </w:pPr>
      <w:r>
        <w:rPr>
          <w:rFonts w:ascii="Arial" w:cs="Arial" w:eastAsia="Arial" w:hAnsi="Arial"/>
        </w:rPr>
        <w:t xml:space="preserve"/>
      </w:r>
    </w:p>
    <w:p>
      <w:pPr>
        <w:pStyle w:val="Heading3"/>
        <w:spacing w:before="180" w:after="60"/>
      </w:pPr>
      <w:r>
        <w:rPr>
          <w:rFonts w:ascii="Arial" w:cs="Arial" w:eastAsia="Arial" w:hAnsi="Arial"/>
          <w:b/>
          <w:bCs/>
          <w:color w:val="222222"/>
          <w:sz w:val="21"/>
          <w:szCs w:val="21"/>
        </w:rPr>
        <w:t xml:space="preserve">1. Compile a starter data package for Youth Employment</w:t>
      </w:r>
    </w:p>
    <w:p>
      <w:pPr>
        <w:spacing w:before="60" w:after="60"/>
      </w:pPr>
      <w:r>
        <w:rPr>
          <w:rFonts w:ascii="Arial" w:cs="Arial" w:eastAsia="Arial" w:hAnsi="Arial"/>
          <w:sz w:val="20"/>
          <w:szCs w:val="20"/>
        </w:rPr>
        <w:t xml:space="preserve">This is the most data-deprived statement across all 12. Even a lightweight package — a CSV of current youth employment programs, an employer directory, a labor law summary — changes viability. This is Tier 1 urgent.</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2. Name a departmental champion</w:t>
      </w:r>
    </w:p>
    <w:p>
      <w:pPr>
        <w:spacing w:before="60" w:after="60"/>
      </w:pPr>
      <w:r>
        <w:rPr>
          <w:rFonts w:ascii="Arial" w:cs="Arial" w:eastAsia="Arial" w:hAnsi="Arial"/>
          <w:sz w:val="20"/>
          <w:szCs w:val="20"/>
        </w:rPr>
        <w:t xml:space="preserve">Angela Patton (Girls For A Change), Taikein Cooper (Richmond Ed Fund), or Sean Miller (Boys &amp; Girls Club) are the nonprofit partners assigned. Amy Popovich, Eva Colen, or Jacque Hale are the City representatives. At least one person must commit to attending demo day on March 29, 2026.</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3. Add data URLs to the Maternal Health statement</w:t>
      </w:r>
    </w:p>
    <w:p>
      <w:pPr>
        <w:spacing w:before="60" w:after="60"/>
      </w:pPr>
      <w:r>
        <w:rPr>
          <w:rFonts w:ascii="Arial" w:cs="Arial" w:eastAsia="Arial" w:hAnsi="Arial"/>
          <w:sz w:val="20"/>
          <w:szCs w:val="20"/>
        </w:rPr>
        <w:t xml:space="preserve">The four data sources are named but not linked. Adding VDH, Census, Kids Count, and VDOE URLs costs nothing and raises D3 from 3 toward 4.</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4. Add a workforce/youth employment section to the open data catalog</w:t>
      </w:r>
    </w:p>
    <w:p>
      <w:pPr>
        <w:spacing w:before="60" w:after="60"/>
      </w:pPr>
      <w:r>
        <w:rPr>
          <w:rFonts w:ascii="Arial" w:cs="Arial" w:eastAsia="Arial" w:hAnsi="Arial"/>
          <w:sz w:val="20"/>
          <w:szCs w:val="20"/>
        </w:rPr>
        <w:t xml:space="preserve">This is one of three catalog blind spots identified in the gap analysis.</w:t>
      </w:r>
    </w:p>
    <w:p>
      <w:r>
        <w:rPr>
          <w:rFonts w:ascii="Arial" w:cs="Arial" w:eastAsia="Arial" w:hAnsi="Arial"/>
          <w:sz w:val="10"/>
          <w:szCs w:val="10"/>
        </w:rPr>
        <w:t xml:space="preserve"/>
      </w:r>
    </w:p>
    <w:p>
      <w:pPr>
        <w:pStyle w:val="Heading3"/>
        <w:spacing w:before="180" w:after="60"/>
      </w:pPr>
      <w:r>
        <w:rPr>
          <w:rFonts w:ascii="Arial" w:cs="Arial" w:eastAsia="Arial" w:hAnsi="Arial"/>
          <w:b/>
          <w:bCs/>
          <w:color w:val="222222"/>
          <w:sz w:val="21"/>
          <w:szCs w:val="21"/>
        </w:rPr>
        <w:t xml:space="preserve">5. Specify output types</w:t>
      </w:r>
    </w:p>
    <w:p>
      <w:pPr>
        <w:spacing w:before="60" w:after="60"/>
      </w:pPr>
      <w:r>
        <w:rPr>
          <w:rFonts w:ascii="Arial" w:cs="Arial" w:eastAsia="Arial" w:hAnsi="Arial"/>
          <w:sz w:val="20"/>
          <w:szCs w:val="20"/>
        </w:rPr>
        <w:t xml:space="preserve">Add one sentence to each statement’s "Success Would Mean" section indicating whether the expected deliverable is a working prototype, data visualization, service design blueprint, or other format.</w:t>
      </w:r>
    </w:p>
    <w:p>
      <w:r>
        <w:rPr>
          <w:rFonts w:ascii="Arial" w:cs="Arial" w:eastAsia="Arial" w:hAnsi="Arial"/>
          <w:sz w:val="10"/>
          <w:szCs w:val="10"/>
        </w:rP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B2335" w:sz="4" w:space="1"/>
      </w:pBdr>
      <w:jc w:val="right"/>
    </w:pPr>
    <w:r>
      <w:rPr>
        <w:rFonts w:ascii="Arial" w:cs="Arial" w:eastAsia="Arial" w:hAnsi="Arial"/>
        <w:color w:val="888888"/>
        <w:sz w:val="16"/>
        <w:szCs w:val="16"/>
      </w:rPr>
      <w:t xml:space="preserve">Christian Markow, et al.  |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B2335" w:sz="4" w:space="1"/>
      </w:pBdr>
    </w:pPr>
    <w:r>
      <w:rPr>
        <w:rFonts w:ascii="Arial" w:cs="Arial" w:eastAsia="Arial" w:hAnsi="Arial"/>
        <w:color w:val="888888"/>
        <w:sz w:val="16"/>
        <w:szCs w:val="16"/>
      </w:rPr>
      <w:t xml:space="preserve">Richmond Civic Hackathon  |  Pillar 3: Thriving Families  |  Rubric Evaluation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sz w:val="28"/>
      <w:szCs w:val="28"/>
    </w:rPr>
  </w:style>
  <w:style w:type="paragraph" w:styleId="Heading2">
    <w:name w:val="Heading 2"/>
    <w:basedOn w:val="Normal"/>
    <w:next w:val="Normal"/>
    <w:qFormat/>
    <w:pPr>
      <w:spacing w:before="240" w:after="80"/>
      <w:outlineLvl w:val="1"/>
    </w:pPr>
    <w:rPr>
      <w:rFonts w:ascii="Arial" w:cs="Arial" w:eastAsia="Arial" w:hAnsi="Arial"/>
      <w:b/>
      <w:bCs/>
      <w:sz w:val="24"/>
      <w:szCs w:val="24"/>
    </w:rPr>
  </w:style>
  <w:style w:type="paragraph" w:styleId="Heading3">
    <w:name w:val="Heading 3"/>
    <w:basedOn w:val="Normal"/>
    <w:next w:val="Normal"/>
    <w:qFormat/>
    <w:pPr>
      <w:spacing w:before="180" w:after="6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2026-03-16T17:22:01.972Z</dcterms:created>
  <dcterms:modified xsi:type="dcterms:W3CDTF">2026-03-16T17:22:01.973Z</dcterms:modified>
</cp:coreProperties>
</file>

<file path=docProps/custom.xml><?xml version="1.0" encoding="utf-8"?>
<Properties xmlns="http://schemas.openxmlformats.org/officeDocument/2006/custom-properties" xmlns:vt="http://schemas.openxmlformats.org/officeDocument/2006/docPropsVTypes"/>
</file>