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sz w:val="80"/>
          <w:szCs w:val="80"/>
        </w:rPr>
        <w:t xml:space="preserve"/>
      </w:r>
    </w:p>
    <w:p>
      <w:pPr>
        <w:spacing w:before="0" w:after="60"/>
        <w:jc w:val="center"/>
      </w:pPr>
      <w:r>
        <w:rPr>
          <w:rFonts w:ascii="Arial" w:cs="Arial" w:eastAsia="Arial" w:hAnsi="Arial"/>
          <w:b/>
          <w:bCs/>
          <w:color w:val="9B2335"/>
          <w:sz w:val="52"/>
          <w:szCs w:val="52"/>
        </w:rPr>
        <w:t xml:space="preserve">RICHMOND CIVIC HACKATHON</w:t>
      </w:r>
    </w:p>
    <w:p>
      <w:pPr>
        <w:spacing w:before="0" w:after="40"/>
        <w:jc w:val="center"/>
      </w:pPr>
      <w:r>
        <w:rPr>
          <w:rFonts w:ascii="Arial" w:cs="Arial" w:eastAsia="Arial" w:hAnsi="Arial"/>
          <w:b/>
          <w:bCs/>
          <w:color w:val="1F3864"/>
          <w:sz w:val="32"/>
          <w:szCs w:val="32"/>
        </w:rPr>
        <w:t xml:space="preserve">Problem Statement Rubric Evaluation</w:t>
      </w:r>
    </w:p>
    <w:p>
      <w:pPr>
        <w:pBdr>
          <w:bottom w:val="single" w:color="9B2335" w:sz="6" w:space="1"/>
        </w:pBdr>
        <w:spacing w:before="0" w:after="160"/>
        <w:jc w:val="center"/>
      </w:pPr>
      <w:r>
        <w:rPr>
          <w:rFonts w:ascii="Arial" w:cs="Arial" w:eastAsia="Arial" w:hAnsi="Arial"/>
          <w:sz w:val="24"/>
          <w:szCs w:val="24"/>
        </w:rPr>
        <w:t xml:space="preserve"/>
      </w:r>
    </w:p>
    <w:p>
      <w:r>
        <w:rPr>
          <w:rFonts w:ascii="Arial" w:cs="Arial" w:eastAsia="Arial" w:hAnsi="Arial"/>
          <w:sz w:val="30"/>
          <w:szCs w:val="30"/>
        </w:rPr>
        <w:t xml:space="preserve"/>
      </w:r>
    </w:p>
    <w:p>
      <w:pPr>
        <w:shd w:fill="1F3864" w:val="clear"/>
        <w:spacing w:before="0" w:after="0"/>
        <w:jc w:val="center"/>
      </w:pPr>
      <w:r>
        <w:rPr>
          <w:rFonts w:ascii="Arial" w:cs="Arial" w:eastAsia="Arial" w:hAnsi="Arial"/>
          <w:b/>
          <w:bCs/>
          <w:color w:val="FFFFFF"/>
          <w:sz w:val="20"/>
          <w:szCs w:val="20"/>
        </w:rPr>
        <w:t xml:space="preserve">  PILLAR 5  </w:t>
      </w:r>
    </w:p>
    <w:p>
      <w:pPr>
        <w:shd w:fill="1F3864" w:val="clear"/>
        <w:spacing w:before="0" w:after="120"/>
        <w:jc w:val="center"/>
      </w:pPr>
      <w:r>
        <w:rPr>
          <w:rFonts w:ascii="Arial" w:cs="Arial" w:eastAsia="Arial" w:hAnsi="Arial"/>
          <w:b/>
          <w:bCs/>
          <w:color w:val="FFFFFF"/>
          <w:sz w:val="36"/>
          <w:szCs w:val="36"/>
        </w:rPr>
        <w:t xml:space="preserve">  Thriving and Inclusive Communities  </w:t>
      </w:r>
    </w:p>
    <w:p>
      <w:r>
        <w:rPr>
          <w:rFonts w:ascii="Arial" w:cs="Arial" w:eastAsia="Arial" w:hAnsi="Arial"/>
          <w:sz w:val="30"/>
          <w:szCs w:val="30"/>
        </w:rPr>
        <w:t xml:space="preserve"/>
      </w:r>
    </w:p>
    <w:p>
      <w:pPr>
        <w:spacing w:before="0" w:after="40"/>
        <w:jc w:val="center"/>
      </w:pPr>
      <w:r>
        <w:rPr>
          <w:rFonts w:ascii="Arial" w:cs="Arial" w:eastAsia="Arial" w:hAnsi="Arial"/>
          <w:color w:val="555555"/>
          <w:sz w:val="22"/>
          <w:szCs w:val="22"/>
        </w:rPr>
        <w:t xml:space="preserve">Prepared by</w:t>
      </w:r>
    </w:p>
    <w:p>
      <w:pPr>
        <w:spacing w:before="0" w:after="40"/>
        <w:jc w:val="center"/>
      </w:pPr>
      <w:r>
        <w:rPr>
          <w:rFonts w:ascii="Arial" w:cs="Arial" w:eastAsia="Arial" w:hAnsi="Arial"/>
          <w:b/>
          <w:bCs/>
          <w:color w:val="1F3864"/>
          <w:sz w:val="28"/>
          <w:szCs w:val="28"/>
        </w:rPr>
        <w:t xml:space="preserve">Christian Markow, et al.</w:t>
      </w:r>
    </w:p>
    <w:p>
      <w:r>
        <w:rPr>
          <w:rFonts w:ascii="Arial" w:cs="Arial" w:eastAsia="Arial" w:hAnsi="Arial"/>
          <w:sz w:val="20"/>
          <w:szCs w:val="20"/>
        </w:rPr>
        <w:t xml:space="preserve"/>
      </w:r>
    </w:p>
    <w:p>
      <w:pPr>
        <w:spacing w:before="0" w:after="40"/>
        <w:jc w:val="center"/>
      </w:pPr>
      <w:r>
        <w:rPr>
          <w:rFonts w:ascii="Arial" w:cs="Arial" w:eastAsia="Arial" w:hAnsi="Arial"/>
          <w:color w:val="444444"/>
          <w:sz w:val="22"/>
          <w:szCs w:val="22"/>
        </w:rPr>
        <w:t xml:space="preserve">March 16, 2026</w:t>
      </w:r>
    </w:p>
    <w:p>
      <w:pPr>
        <w:spacing w:before="0" w:after="40"/>
        <w:jc w:val="center"/>
      </w:pPr>
      <w:r>
        <w:rPr>
          <w:rFonts w:ascii="Arial" w:cs="Arial" w:eastAsia="Arial" w:hAnsi="Arial"/>
          <w:color w:val="888888"/>
          <w:sz w:val="18"/>
          <w:szCs w:val="18"/>
        </w:rPr>
        <w:t xml:space="preserve">Richmond Civic Hackathon  |  March 27–29, 2026  |  VCU Snead Hall</w:t>
      </w:r>
    </w:p>
    <w:p>
      <w:r>
        <w:br w:type="page"/>
      </w:r>
    </w:p>
    <w:p>
      <w:pPr>
        <w:pStyle w:val="Heading1"/>
        <w:spacing w:before="320" w:after="100"/>
      </w:pPr>
      <w:r>
        <w:rPr>
          <w:rFonts w:ascii="Arial" w:cs="Arial" w:eastAsia="Arial" w:hAnsi="Arial"/>
          <w:b/>
          <w:bCs/>
          <w:color w:val="1F3864"/>
          <w:sz w:val="28"/>
          <w:szCs w:val="28"/>
        </w:rPr>
        <w:t xml:space="preserve">Pillar Committee &amp; Working Session</w:t>
      </w:r>
    </w:p>
    <w:p>
      <w:pPr>
        <w:pBdr>
          <w:bottom w:val="single" w:color="9B2335" w:sz="6" w:space="1"/>
        </w:pBdr>
        <w:spacing w:before="60" w:after="60"/>
      </w:pPr>
      <w:r>
        <w:rPr>
          <w:rFonts w:ascii="Arial" w:cs="Arial" w:eastAsia="Arial" w:hAnsi="Arial"/>
        </w:rPr>
        <w:t xml:space="preserve"/>
      </w:r>
    </w:p>
    <w:p>
      <w:pPr>
        <w:spacing w:before="60" w:after="60"/>
      </w:pPr>
      <w:r>
        <w:rPr>
          <w:rFonts w:ascii="Arial" w:cs="Arial" w:eastAsia="Arial" w:hAnsi="Arial"/>
          <w:sz w:val="20"/>
          <w:szCs w:val="20"/>
        </w:rPr>
        <w:t xml:space="preserve">Session: March 6, 2026, 11:00 AM – 1:00 PM</w:t>
      </w:r>
    </w:p>
    <w:p>
      <w:pPr>
        <w:spacing w:before="60" w:after="60"/>
      </w:pPr>
      <w:r>
        <w:rPr>
          <w:rFonts w:ascii="Arial" w:cs="Arial" w:eastAsia="Arial" w:hAnsi="Arial"/>
          <w:sz w:val="20"/>
          <w:szCs w:val="20"/>
        </w:rPr>
        <w:t xml:space="preserve">Location: Lost Office Collaborative, 5000 Old Main St, Henrico, VA 23231</w:t>
      </w:r>
    </w:p>
    <w:p>
      <w:r>
        <w:rPr>
          <w:rFonts w:ascii="Arial" w:cs="Arial" w:eastAsia="Arial" w:hAnsi="Arial"/>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700"/>
        <w:gridCol w:w="3000"/>
        <w:gridCol w:w="3060"/>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Role</w:t>
            </w:r>
          </w:p>
        </w:tc>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Name</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Organization / Title</w:t>
            </w:r>
          </w:p>
        </w:tc>
        <w:tc>
          <w:tcPr>
            <w:tcW w:type="dxa" w:w="3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Contact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Nonprofit Partner</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Kate Ayers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ReEstablish Richmond</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kate@reestablishrichmond.org</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Nonprofit Partner</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Helen Rai</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ReEstablish Richmond</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helen@reestablishrichmond.org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Nonprofit Partner</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Will Thornton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YMCA</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thorntonw@ymcarichmond.org</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Nonprofit Partner</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Sidney Edwards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YMCA</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edwardssi@ymcarichmond.org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Nonprofit Partner</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Sacred Heart</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City Representative</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Amy Popovich</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Amy.Popovich@rva.gov</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City Representative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Karla Almendarez-Ramos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Human Services Manager, NCS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Karla.Almendarez-Ramos@rva.gov</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City Representative</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Aneesah Smith</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Human Services Manager, NCS</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Aneesah.Smith@rva.gov</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Hack RVA</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Christian, Michael, Gray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Organizer team</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w:t>
            </w:r>
          </w:p>
        </w:tc>
      </w:tr>
    </w:tbl>
    <w:p>
      <w:r>
        <w:rPr>
          <w:rFonts w:ascii="Arial" w:cs="Arial" w:eastAsia="Arial" w:hAnsi="Arial"/>
          <w:sz w:val="10"/>
          <w:szCs w:val="10"/>
        </w:rPr>
        <w:t xml:space="preserve"/>
      </w:r>
    </w:p>
    <w:p>
      <w:r>
        <w:br w:type="page"/>
      </w:r>
    </w:p>
    <w:p>
      <w:pPr>
        <w:pStyle w:val="Heading1"/>
        <w:spacing w:before="320" w:after="100"/>
      </w:pPr>
      <w:r>
        <w:rPr>
          <w:rFonts w:ascii="Arial" w:cs="Arial" w:eastAsia="Arial" w:hAnsi="Arial"/>
          <w:b/>
          <w:bCs/>
          <w:color w:val="1F3864"/>
          <w:sz w:val="28"/>
          <w:szCs w:val="28"/>
        </w:rPr>
        <w:t xml:space="preserve">Working Session Notes</w:t>
      </w:r>
    </w:p>
    <w:p>
      <w:pPr>
        <w:pBdr>
          <w:bottom w:val="single" w:color="9B2335" w:sz="6" w:space="1"/>
        </w:pBdr>
        <w:spacing w:before="60" w:after="60"/>
      </w:pPr>
      <w:r>
        <w:rPr>
          <w:rFonts w:ascii="Arial" w:cs="Arial" w:eastAsia="Arial" w:hAnsi="Arial"/>
        </w:rPr>
        <w:t xml:space="preserve"/>
      </w:r>
    </w:p>
    <w:p>
      <w:pPr>
        <w:pStyle w:val="Heading2"/>
        <w:spacing w:before="240" w:after="80"/>
      </w:pPr>
      <w:r>
        <w:rPr>
          <w:rFonts w:ascii="Arial" w:cs="Arial" w:eastAsia="Arial" w:hAnsi="Arial"/>
          <w:b/>
          <w:bCs/>
          <w:color w:val="2E5090"/>
          <w:sz w:val="24"/>
          <w:szCs w:val="24"/>
        </w:rPr>
        <w:t xml:space="preserve">Theme 1: Trust and Safety Are the Core Barriers to Accessing Services</w:t>
      </w:r>
    </w:p>
    <w:p>
      <w:pPr>
        <w:spacing w:before="60" w:after="60"/>
      </w:pPr>
      <w:r>
        <w:rPr>
          <w:rFonts w:ascii="Arial" w:cs="Arial" w:eastAsia="Arial" w:hAnsi="Arial"/>
          <w:sz w:val="20"/>
          <w:szCs w:val="20"/>
        </w:rPr>
        <w:t xml:space="preserve">Participants repeatedly emphasized that the biggest barrier for immigrant and refugee residents is trust. Many residents worry that sharing personal information could expose them or their families to risk, which prevents them from seeking help even when services exist. This is not irrational fear — it reflects real-world consequences that residents navigate daily.</w:t>
      </w:r>
    </w:p>
    <w:p>
      <w:r>
        <w:rPr>
          <w:rFonts w:ascii="Arial" w:cs="Arial" w:eastAsia="Arial" w:hAnsi="Arial"/>
          <w:sz w:val="10"/>
          <w:szCs w:val="10"/>
        </w:rPr>
        <w:t xml:space="preserve"/>
      </w:r>
    </w:p>
    <w:p>
      <w:pPr>
        <w:spacing w:before="60" w:after="60"/>
      </w:pPr>
      <w:r>
        <w:rPr>
          <w:rFonts w:ascii="Arial" w:cs="Arial" w:eastAsia="Arial" w:hAnsi="Arial"/>
          <w:sz w:val="20"/>
          <w:szCs w:val="20"/>
        </w:rPr>
        <w:t xml:space="preserve">Technology solutions must therefore prioritize privacy and anonymity, avoid collecting unnecessary personal information, and work through trusted intermediaries such as nonprofits or community leaders. Participants noted that trust is tied to how technology is used, not just what it does — a tool that collects data in ways residents don’t understand will be abandoned even if the underlying service is helpful.</w:t>
      </w:r>
    </w:p>
    <w:p>
      <w:r>
        <w:rPr>
          <w:rFonts w:ascii="Arial" w:cs="Arial" w:eastAsia="Arial" w:hAnsi="Arial"/>
          <w:sz w:val="10"/>
          <w:szCs w:val="10"/>
        </w:rPr>
        <w:t xml:space="preserve"/>
      </w:r>
    </w:p>
    <w:p>
      <w:pPr>
        <w:pStyle w:val="Heading2"/>
        <w:spacing w:before="240" w:after="80"/>
      </w:pPr>
      <w:r>
        <w:rPr>
          <w:rFonts w:ascii="Arial" w:cs="Arial" w:eastAsia="Arial" w:hAnsi="Arial"/>
          <w:b/>
          <w:bCs/>
          <w:color w:val="2E5090"/>
          <w:sz w:val="24"/>
          <w:szCs w:val="24"/>
        </w:rPr>
        <w:t xml:space="preserve">Theme 2: Services Exist — but Residents Cannot Easily Find or Navigate Them</w:t>
      </w:r>
    </w:p>
    <w:p>
      <w:pPr>
        <w:spacing w:before="60" w:after="60"/>
      </w:pPr>
      <w:r>
        <w:rPr>
          <w:rFonts w:ascii="Arial" w:cs="Arial" w:eastAsia="Arial" w:hAnsi="Arial"/>
          <w:sz w:val="20"/>
          <w:szCs w:val="20"/>
        </w:rPr>
        <w:t xml:space="preserve">Many support services already exist across Richmond, but information is scattered across agencies, nonprofits, and websites, making it difficult for residents to know where to start. Residents often contact multiple organizations, navigate confusing eligibility rules, and repeat their story across systems before finding the right support.</w:t>
      </w:r>
    </w:p>
    <w:p>
      <w:r>
        <w:rPr>
          <w:rFonts w:ascii="Arial" w:cs="Arial" w:eastAsia="Arial" w:hAnsi="Arial"/>
          <w:sz w:val="10"/>
          <w:szCs w:val="10"/>
        </w:rPr>
        <w:t xml:space="preserve"/>
      </w:r>
    </w:p>
    <w:p>
      <w:pPr>
        <w:spacing w:before="60" w:after="60"/>
      </w:pPr>
      <w:r>
        <w:rPr>
          <w:rFonts w:ascii="Arial" w:cs="Arial" w:eastAsia="Arial" w:hAnsi="Arial"/>
          <w:sz w:val="20"/>
          <w:szCs w:val="20"/>
        </w:rPr>
        <w:t xml:space="preserve">This fragmentation places the burden of coordination entirely on residents — often the people with the least capacity to bear it. The need is not more services but a clearer, safer front door to the services that already exist.</w:t>
      </w:r>
    </w:p>
    <w:p>
      <w:r>
        <w:rPr>
          <w:rFonts w:ascii="Arial" w:cs="Arial" w:eastAsia="Arial" w:hAnsi="Arial"/>
          <w:sz w:val="10"/>
          <w:szCs w:val="10"/>
        </w:rPr>
        <w:t xml:space="preserve"/>
      </w:r>
    </w:p>
    <w:p>
      <w:pPr>
        <w:pStyle w:val="Heading2"/>
        <w:spacing w:before="240" w:after="80"/>
      </w:pPr>
      <w:r>
        <w:rPr>
          <w:rFonts w:ascii="Arial" w:cs="Arial" w:eastAsia="Arial" w:hAnsi="Arial"/>
          <w:b/>
          <w:bCs/>
          <w:color w:val="2E5090"/>
          <w:sz w:val="24"/>
          <w:szCs w:val="24"/>
        </w:rPr>
        <w:t xml:space="preserve">Theme 3: Existing Tools Are Helpful but Not Interoperable</w:t>
      </w:r>
    </w:p>
    <w:p>
      <w:pPr>
        <w:spacing w:before="60" w:after="60"/>
      </w:pPr>
      <w:r>
        <w:rPr>
          <w:rFonts w:ascii="Arial" w:cs="Arial" w:eastAsia="Arial" w:hAnsi="Arial"/>
          <w:sz w:val="20"/>
          <w:szCs w:val="20"/>
        </w:rPr>
        <w:t xml:space="preserve">The group discussed Richmond’s Help1RVA, which already connects residents to services. However, it requires manual data entry, different organizations use different intake processes, and the underlying systems (FindHelp/UniteUs) are not interoperable with one another.</w:t>
      </w:r>
    </w:p>
    <w:p>
      <w:r>
        <w:rPr>
          <w:rFonts w:ascii="Arial" w:cs="Arial" w:eastAsia="Arial" w:hAnsi="Arial"/>
          <w:sz w:val="10"/>
          <w:szCs w:val="10"/>
        </w:rPr>
        <w:t xml:space="preserve"/>
      </w:r>
    </w:p>
    <w:p>
      <w:pPr>
        <w:spacing w:before="60" w:after="60"/>
      </w:pPr>
      <w:r>
        <w:rPr>
          <w:rFonts w:ascii="Arial" w:cs="Arial" w:eastAsia="Arial" w:hAnsi="Arial"/>
          <w:sz w:val="20"/>
          <w:szCs w:val="20"/>
        </w:rPr>
        <w:t xml:space="preserve">Participants suggested the opportunity is to improve or extend existing tools rather than replace them entirely — building on what already works rather than starting from scratch and risking loss of the trust those tools have already established.</w:t>
      </w:r>
    </w:p>
    <w:p>
      <w:r>
        <w:rPr>
          <w:rFonts w:ascii="Arial" w:cs="Arial" w:eastAsia="Arial" w:hAnsi="Arial"/>
          <w:sz w:val="10"/>
          <w:szCs w:val="10"/>
        </w:rPr>
        <w:t xml:space="preserve"/>
      </w:r>
    </w:p>
    <w:p>
      <w:pPr>
        <w:pStyle w:val="Heading2"/>
        <w:spacing w:before="240" w:after="80"/>
      </w:pPr>
      <w:r>
        <w:rPr>
          <w:rFonts w:ascii="Arial" w:cs="Arial" w:eastAsia="Arial" w:hAnsi="Arial"/>
          <w:b/>
          <w:bCs/>
          <w:color w:val="2E5090"/>
          <w:sz w:val="24"/>
          <w:szCs w:val="24"/>
        </w:rPr>
        <w:t xml:space="preserve">Theme 4: Language, Literacy, and Accessibility Barriers Are Significant</w:t>
      </w:r>
    </w:p>
    <w:p>
      <w:pPr>
        <w:spacing w:before="60" w:after="60"/>
      </w:pPr>
      <w:r>
        <w:rPr>
          <w:rFonts w:ascii="Arial" w:cs="Arial" w:eastAsia="Arial" w:hAnsi="Arial"/>
          <w:sz w:val="20"/>
          <w:szCs w:val="20"/>
        </w:rPr>
        <w:t xml:space="preserve">Residents face barriers around limited English proficiency, literacy, digital access, and cultural nuances in translation. These barriers compound one another: a multilingual tool that requires strong digital literacy still excludes many residents. Participants suggested voice interfaces, audio explanations, multilingual tools, and simple visual navigation could help address these gaps.</w:t>
      </w:r>
    </w:p>
    <w:p>
      <w:r>
        <w:rPr>
          <w:rFonts w:ascii="Arial" w:cs="Arial" w:eastAsia="Arial" w:hAnsi="Arial"/>
          <w:sz w:val="10"/>
          <w:szCs w:val="10"/>
        </w:rPr>
        <w:t xml:space="preserve"/>
      </w:r>
    </w:p>
    <w:p>
      <w:pPr>
        <w:spacing w:before="60" w:after="60"/>
      </w:pPr>
      <w:r>
        <w:rPr>
          <w:rFonts w:ascii="Arial" w:cs="Arial" w:eastAsia="Arial" w:hAnsi="Arial"/>
          <w:sz w:val="20"/>
          <w:szCs w:val="20"/>
        </w:rPr>
        <w:t xml:space="preserve">Several participants emphasized that how information is communicated matters as much as the information itself. A technically accurate service listing in Spanish is still inaccessible if the language is formal and bureaucratic rather than conversational.</w:t>
      </w:r>
    </w:p>
    <w:p>
      <w:r>
        <w:rPr>
          <w:rFonts w:ascii="Arial" w:cs="Arial" w:eastAsia="Arial" w:hAnsi="Arial"/>
          <w:sz w:val="10"/>
          <w:szCs w:val="10"/>
        </w:rPr>
        <w:t xml:space="preserve"/>
      </w:r>
    </w:p>
    <w:p>
      <w:pPr>
        <w:pStyle w:val="Heading2"/>
        <w:spacing w:before="240" w:after="80"/>
      </w:pPr>
      <w:r>
        <w:rPr>
          <w:rFonts w:ascii="Arial" w:cs="Arial" w:eastAsia="Arial" w:hAnsi="Arial"/>
          <w:b/>
          <w:bCs/>
          <w:color w:val="2E5090"/>
          <w:sz w:val="24"/>
          <w:szCs w:val="24"/>
        </w:rPr>
        <w:t xml:space="preserve">Theme 5: Technology Should Support — Not Replace — Human Relationships</w:t>
      </w:r>
    </w:p>
    <w:p>
      <w:pPr>
        <w:spacing w:before="60" w:after="60"/>
      </w:pPr>
      <w:r>
        <w:rPr>
          <w:rFonts w:ascii="Arial" w:cs="Arial" w:eastAsia="Arial" w:hAnsi="Arial"/>
          <w:sz w:val="20"/>
          <w:szCs w:val="20"/>
        </w:rPr>
        <w:t xml:space="preserve">Technology should not replace trusted human connections, but instead strengthen them. Participants were clear that for immigrant and refugee communities especially, trust is built through people — not platforms. Effective solutions would help connect residents to the right people, support the work of case managers and volunteers, and improve coordination across organizations.</w:t>
      </w:r>
    </w:p>
    <w:p>
      <w:r>
        <w:rPr>
          <w:rFonts w:ascii="Arial" w:cs="Arial" w:eastAsia="Arial" w:hAnsi="Arial"/>
          <w:sz w:val="10"/>
          <w:szCs w:val="10"/>
        </w:rPr>
        <w:t xml:space="preserve"/>
      </w:r>
    </w:p>
    <w:p>
      <w:pPr>
        <w:spacing w:before="60" w:after="60"/>
      </w:pPr>
      <w:r>
        <w:rPr>
          <w:rFonts w:ascii="Arial" w:cs="Arial" w:eastAsia="Arial" w:hAnsi="Arial"/>
          <w:sz w:val="20"/>
          <w:szCs w:val="20"/>
        </w:rPr>
        <w:t xml:space="preserve">The "care team" model came up repeatedly: residents should be able to see who is helping them, what their next steps are, and who to contact — not navigate a faceless system alone.</w:t>
      </w:r>
    </w:p>
    <w:p>
      <w:r>
        <w:rPr>
          <w:rFonts w:ascii="Arial" w:cs="Arial" w:eastAsia="Arial" w:hAnsi="Arial"/>
          <w:sz w:val="10"/>
          <w:szCs w:val="10"/>
        </w:rPr>
        <w:t xml:space="preserve"/>
      </w:r>
    </w:p>
    <w:p>
      <w:pPr>
        <w:pStyle w:val="Heading2"/>
        <w:spacing w:before="240" w:after="80"/>
      </w:pPr>
      <w:r>
        <w:rPr>
          <w:rFonts w:ascii="Arial" w:cs="Arial" w:eastAsia="Arial" w:hAnsi="Arial"/>
          <w:b/>
          <w:bCs/>
          <w:color w:val="2E5090"/>
          <w:sz w:val="24"/>
          <w:szCs w:val="24"/>
        </w:rPr>
        <w:t xml:space="preserve">Theme 6: Communication and Awareness Are Major Gaps</w:t>
      </w:r>
    </w:p>
    <w:p>
      <w:pPr>
        <w:spacing w:before="60" w:after="60"/>
      </w:pPr>
      <w:r>
        <w:rPr>
          <w:rFonts w:ascii="Arial" w:cs="Arial" w:eastAsia="Arial" w:hAnsi="Arial"/>
          <w:sz w:val="20"/>
          <w:szCs w:val="20"/>
        </w:rPr>
        <w:t xml:space="preserve">Many residents and organizations are unaware of existing support systems, even when tools like Help1RVA already exist. The problem is not just access but awareness. Any solution must prioritize outreach and communication — using multilingual messaging, trusted community ambassadors, and repeated communication through channels residents already rely on, such as WhatsApp, faith communities, and community centers.</w:t>
      </w:r>
    </w:p>
    <w:p>
      <w:r>
        <w:rPr>
          <w:rFonts w:ascii="Arial" w:cs="Arial" w:eastAsia="Arial" w:hAnsi="Arial"/>
          <w:sz w:val="10"/>
          <w:szCs w:val="10"/>
        </w:rPr>
        <w:t xml:space="preserve"/>
      </w:r>
    </w:p>
    <w:p>
      <w:pPr>
        <w:spacing w:before="60" w:after="60"/>
      </w:pPr>
      <w:r>
        <w:rPr>
          <w:rFonts w:ascii="Arial" w:cs="Arial" w:eastAsia="Arial" w:hAnsi="Arial"/>
          <w:sz w:val="20"/>
          <w:szCs w:val="20"/>
        </w:rPr>
        <w:t xml:space="preserve">Building the tool is not enough. Getting people to know it exists, trust it, and use it is a separate and equally important challenge.</w:t>
      </w:r>
    </w:p>
    <w:p>
      <w:r>
        <w:rPr>
          <w:rFonts w:ascii="Arial" w:cs="Arial" w:eastAsia="Arial" w:hAnsi="Arial"/>
          <w:sz w:val="10"/>
          <w:szCs w:val="10"/>
        </w:rPr>
        <w:t xml:space="preserve"/>
      </w:r>
    </w:p>
    <w:p>
      <w:r>
        <w:br w:type="page"/>
      </w:r>
    </w:p>
    <w:p>
      <w:pPr>
        <w:pStyle w:val="Heading1"/>
        <w:spacing w:before="320" w:after="100"/>
      </w:pPr>
      <w:r>
        <w:rPr>
          <w:rFonts w:ascii="Arial" w:cs="Arial" w:eastAsia="Arial" w:hAnsi="Arial"/>
          <w:b/>
          <w:bCs/>
          <w:color w:val="1F3864"/>
          <w:sz w:val="28"/>
          <w:szCs w:val="28"/>
        </w:rPr>
        <w:t xml:space="preserve">Rubric Score Summary</w:t>
      </w:r>
    </w:p>
    <w:p>
      <w:pPr>
        <w:pBdr>
          <w:bottom w:val="single" w:color="9B2335" w:sz="6" w:space="1"/>
        </w:pBdr>
        <w:spacing w:before="60" w:after="60"/>
      </w:pPr>
      <w:r>
        <w:rPr>
          <w:rFonts w:ascii="Arial" w:cs="Arial" w:eastAsia="Arial" w:hAnsi="Arial"/>
        </w:rPr>
        <w:t xml:space="preserve"/>
      </w:r>
    </w:p>
    <w:tbl>
      <w:tblPr>
        <w:tblW w:type="dxa" w:w="8780"/>
        <w:tblBorders>
          <w:top w:val="single" w:color="auto" w:sz="4"/>
          <w:left w:val="single" w:color="auto" w:sz="4"/>
          <w:bottom w:val="single" w:color="auto" w:sz="4"/>
          <w:right w:val="single" w:color="auto" w:sz="4"/>
          <w:insideH w:val="single" w:color="auto" w:sz="4"/>
          <w:insideV w:val="single" w:color="auto" w:sz="4"/>
        </w:tblBorders>
      </w:tblPr>
      <w:tblGrid>
        <w:gridCol w:w="2500"/>
        <w:gridCol w:w="540"/>
        <w:gridCol w:w="540"/>
        <w:gridCol w:w="540"/>
        <w:gridCol w:w="540"/>
        <w:gridCol w:w="540"/>
        <w:gridCol w:w="540"/>
        <w:gridCol w:w="540"/>
        <w:gridCol w:w="540"/>
        <w:gridCol w:w="680"/>
        <w:gridCol w:w="1280"/>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Statement</w:t>
            </w:r>
          </w:p>
        </w:tc>
        <w:tc>
          <w:tcPr>
            <w:tcW w:type="dxa" w:w="5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D1</w:t>
            </w:r>
          </w:p>
        </w:tc>
        <w:tc>
          <w:tcPr>
            <w:tcW w:type="dxa" w:w="5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D2</w:t>
            </w:r>
          </w:p>
        </w:tc>
        <w:tc>
          <w:tcPr>
            <w:tcW w:type="dxa" w:w="5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D3</w:t>
            </w:r>
          </w:p>
        </w:tc>
        <w:tc>
          <w:tcPr>
            <w:tcW w:type="dxa" w:w="5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D4</w:t>
            </w:r>
          </w:p>
        </w:tc>
        <w:tc>
          <w:tcPr>
            <w:tcW w:type="dxa" w:w="5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D5</w:t>
            </w:r>
          </w:p>
        </w:tc>
        <w:tc>
          <w:tcPr>
            <w:tcW w:type="dxa" w:w="5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D6</w:t>
            </w:r>
          </w:p>
        </w:tc>
        <w:tc>
          <w:tcPr>
            <w:tcW w:type="dxa" w:w="5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D7</w:t>
            </w:r>
          </w:p>
        </w:tc>
        <w:tc>
          <w:tcPr>
            <w:tcW w:type="dxa" w:w="5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D8</w:t>
            </w:r>
          </w:p>
        </w:tc>
        <w:tc>
          <w:tcPr>
            <w:tcW w:type="dxa" w:w="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Total</w:t>
            </w:r>
          </w:p>
        </w:tc>
        <w:tc>
          <w:tcPr>
            <w:tcW w:type="dxa" w:w="12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Band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Immigrant Service Discovery</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4</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3</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2</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2</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4</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3</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3</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3</w:t>
            </w:r>
          </w:p>
        </w:tc>
        <w:tc>
          <w:tcPr>
            <w:tcW w:type="dxa" w:w="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24</w:t>
            </w:r>
          </w:p>
        </w:tc>
        <w:tc>
          <w:tcPr>
            <w:tcW w:type="dxa" w:w="12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Strong</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Cross-Agency Navigation</w:t>
            </w:r>
          </w:p>
        </w:tc>
        <w:tc>
          <w:tcPr>
            <w:tcW w:type="dxa" w:w="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4</w:t>
            </w:r>
          </w:p>
        </w:tc>
        <w:tc>
          <w:tcPr>
            <w:tcW w:type="dxa" w:w="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2</w:t>
            </w:r>
          </w:p>
        </w:tc>
        <w:tc>
          <w:tcPr>
            <w:tcW w:type="dxa" w:w="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1</w:t>
            </w:r>
          </w:p>
        </w:tc>
        <w:tc>
          <w:tcPr>
            <w:tcW w:type="dxa" w:w="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2</w:t>
            </w:r>
          </w:p>
        </w:tc>
        <w:tc>
          <w:tcPr>
            <w:tcW w:type="dxa" w:w="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4</w:t>
            </w:r>
          </w:p>
        </w:tc>
        <w:tc>
          <w:tcPr>
            <w:tcW w:type="dxa" w:w="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3</w:t>
            </w:r>
          </w:p>
        </w:tc>
        <w:tc>
          <w:tcPr>
            <w:tcW w:type="dxa" w:w="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3</w:t>
            </w:r>
          </w:p>
        </w:tc>
        <w:tc>
          <w:tcPr>
            <w:tcW w:type="dxa" w:w="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3</w:t>
            </w:r>
          </w:p>
        </w:tc>
        <w:tc>
          <w:tcPr>
            <w:tcW w:type="dxa" w:w="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22</w:t>
            </w:r>
          </w:p>
        </w:tc>
        <w:tc>
          <w:tcPr>
            <w:tcW w:type="dxa" w:w="12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Needs work</w:t>
            </w:r>
          </w:p>
        </w:tc>
      </w:tr>
    </w:tbl>
    <w:p>
      <w:r>
        <w:rPr>
          <w:rFonts w:ascii="Arial" w:cs="Arial" w:eastAsia="Arial" w:hAnsi="Arial"/>
          <w:sz w:val="10"/>
          <w:szCs w:val="10"/>
        </w:rPr>
        <w:t xml:space="preserve"/>
      </w:r>
    </w:p>
    <w:p>
      <w:pPr>
        <w:spacing w:before="60" w:after="60"/>
      </w:pPr>
      <w:r>
        <w:rPr>
          <w:rFonts w:ascii="Arial" w:cs="Arial" w:eastAsia="Arial" w:hAnsi="Arial"/>
          <w:color w:val="555555"/>
          <w:sz w:val="20"/>
          <w:szCs w:val="20"/>
        </w:rPr>
        <w:t xml:space="preserve">Dimension key: D1 Clarity  |  D2 Scope  |  D3 Data readiness  |  D4 Champion  |  D5 Population &amp; impact  |  D6 Operating environment  |  D7 Success criteria  |  D8 Accessibility</w:t>
      </w:r>
    </w:p>
    <w:p>
      <w:r>
        <w:rPr>
          <w:rFonts w:ascii="Arial" w:cs="Arial" w:eastAsia="Arial" w:hAnsi="Arial"/>
          <w:sz w:val="10"/>
          <w:szCs w:val="10"/>
        </w:rPr>
        <w:t xml:space="preserve"/>
      </w:r>
    </w:p>
    <w:p>
      <w:pPr>
        <w:spacing w:before="60" w:after="60"/>
      </w:pPr>
      <w:r>
        <w:rPr>
          <w:rFonts w:ascii="Arial" w:cs="Arial" w:eastAsia="Arial" w:hAnsi="Arial"/>
          <w:sz w:val="20"/>
          <w:szCs w:val="20"/>
        </w:rPr>
        <w:t xml:space="preserve">Quick-kill flags active: Both statements trigger "no continuation pathway." Cross-Agency Navigation also triggers "data not ready" — the systems involved are internal and protected by HIPAA and PII rules (D3=1, tied for the lowest data score across all 12 targeted statements).</w:t>
      </w:r>
    </w:p>
    <w:p>
      <w:r>
        <w:rPr>
          <w:rFonts w:ascii="Arial" w:cs="Arial" w:eastAsia="Arial" w:hAnsi="Arial"/>
          <w:sz w:val="10"/>
          <w:szCs w:val="10"/>
        </w:rPr>
        <w:t xml:space="preserve"/>
      </w:r>
    </w:p>
    <w:p>
      <w:r>
        <w:br w:type="page"/>
      </w:r>
    </w:p>
    <w:p>
      <w:pPr>
        <w:pStyle w:val="Heading1"/>
        <w:spacing w:before="320" w:after="100"/>
      </w:pPr>
      <w:r>
        <w:rPr>
          <w:rFonts w:ascii="Arial" w:cs="Arial" w:eastAsia="Arial" w:hAnsi="Arial"/>
          <w:b/>
          <w:bCs/>
          <w:color w:val="1F3864"/>
          <w:sz w:val="28"/>
          <w:szCs w:val="28"/>
        </w:rPr>
        <w:t xml:space="preserve">Targeted Statement 1: Help Residents Safely Discover and Connect to Trusted Support Services</w:t>
      </w:r>
    </w:p>
    <w:p>
      <w:pPr>
        <w:pBdr>
          <w:bottom w:val="single" w:color="9B2335" w:sz="6" w:space="1"/>
        </w:pBdr>
        <w:spacing w:before="60" w:after="60"/>
      </w:pPr>
      <w:r>
        <w:rPr>
          <w:rFonts w:ascii="Arial" w:cs="Arial" w:eastAsia="Arial" w:hAnsi="Arial"/>
        </w:rPr>
        <w:t xml:space="preserve"/>
      </w:r>
    </w:p>
    <w:p>
      <w:pPr>
        <w:spacing w:before="60" w:after="80"/>
      </w:pPr>
      <w:r>
        <w:rPr>
          <w:rFonts w:ascii="Arial" w:cs="Arial" w:eastAsia="Arial" w:hAnsi="Arial"/>
          <w:b/>
          <w:bCs/>
          <w:sz w:val="20"/>
          <w:szCs w:val="20"/>
        </w:rPr>
        <w:t xml:space="preserve">Score: </w:t>
      </w:r>
      <w:r>
        <w:rPr>
          <w:rFonts w:ascii="Arial" w:cs="Arial" w:eastAsia="Arial" w:hAnsi="Arial"/>
          <w:b/>
          <w:bCs/>
          <w:color w:val="2E5090"/>
          <w:sz w:val="22"/>
          <w:szCs w:val="22"/>
        </w:rPr>
        <w:t xml:space="preserve">24/32</w:t>
      </w:r>
      <w:r>
        <w:rPr>
          <w:rFonts w:ascii="Arial" w:cs="Arial" w:eastAsia="Arial" w:hAnsi="Arial"/>
          <w:sz w:val="20"/>
          <w:szCs w:val="20"/>
        </w:rPr>
        <w:t xml:space="preserve">    </w:t>
      </w:r>
      <w:r>
        <w:rPr>
          <w:rFonts w:ascii="Arial" w:cs="Arial" w:eastAsia="Arial" w:hAnsi="Arial"/>
          <w:b/>
          <w:bCs/>
          <w:color w:val="2E7D32"/>
          <w:sz w:val="20"/>
          <w:szCs w:val="20"/>
        </w:rPr>
        <w:t xml:space="preserve">Strong</w:t>
      </w:r>
    </w:p>
    <w:p>
      <w:r>
        <w:rPr>
          <w:rFonts w:ascii="Arial" w:cs="Arial" w:eastAsia="Arial" w:hAnsi="Arial"/>
          <w:sz w:val="10"/>
          <w:szCs w:val="10"/>
        </w:rPr>
        <w:t xml:space="preserve"/>
      </w:r>
    </w:p>
    <w:p>
      <w:pPr>
        <w:pStyle w:val="Heading2"/>
        <w:spacing w:before="240" w:after="80"/>
      </w:pPr>
      <w:r>
        <w:rPr>
          <w:rFonts w:ascii="Arial" w:cs="Arial" w:eastAsia="Arial" w:hAnsi="Arial"/>
          <w:b/>
          <w:bCs/>
          <w:color w:val="2E5090"/>
          <w:sz w:val="24"/>
          <w:szCs w:val="24"/>
        </w:rPr>
        <w:t xml:space="preserve">Problem Statement</w:t>
      </w:r>
    </w:p>
    <w:p>
      <w:pPr>
        <w:spacing w:before="60" w:after="60"/>
      </w:pPr>
      <w:r>
        <w:rPr>
          <w:rFonts w:ascii="Arial" w:cs="Arial" w:eastAsia="Arial" w:hAnsi="Arial"/>
          <w:sz w:val="20"/>
          <w:szCs w:val="20"/>
        </w:rPr>
        <w:t xml:space="preserve">While Richmond has a growing network of City programs, nonprofits, and community-based organizations that provide support to immigrant and refugee residents, many residents struggle to safely discover and connect to these services. Concerns about privacy, language barriers, and uncertainty about which organizations can be trusted often prevent residents from seeking help.</w:t>
      </w:r>
    </w:p>
    <w:p>
      <w:r>
        <w:rPr>
          <w:rFonts w:ascii="Arial" w:cs="Arial" w:eastAsia="Arial" w:hAnsi="Arial"/>
          <w:sz w:val="10"/>
          <w:szCs w:val="10"/>
        </w:rPr>
        <w:t xml:space="preserve"/>
      </w:r>
    </w:p>
    <w:p>
      <w:pPr>
        <w:pStyle w:val="Heading2"/>
        <w:spacing w:before="240" w:after="80"/>
      </w:pPr>
      <w:r>
        <w:rPr>
          <w:rFonts w:ascii="Arial" w:cs="Arial" w:eastAsia="Arial" w:hAnsi="Arial"/>
          <w:b/>
          <w:bCs/>
          <w:color w:val="2E5090"/>
          <w:sz w:val="24"/>
          <w:szCs w:val="24"/>
        </w:rPr>
        <w:t xml:space="preserve">Context</w:t>
      </w:r>
    </w:p>
    <w:p>
      <w:pPr>
        <w:spacing w:before="60" w:after="60"/>
      </w:pPr>
      <w:r>
        <w:rPr>
          <w:rFonts w:ascii="Arial" w:cs="Arial" w:eastAsia="Arial" w:hAnsi="Arial"/>
          <w:sz w:val="20"/>
          <w:szCs w:val="20"/>
        </w:rPr>
        <w:t xml:space="preserve">Support services for immigrant and refugee communities exist across many organizations and communication channels, but information about these services is fragmented and becomes outdated quickly. Residents may not know which services exist, how to access them, or whether engaging could expose personal information. Organizations providing support work in parallel without shared tools to coordinate communication or keep service information current.</w:t>
      </w:r>
    </w:p>
    <w:p>
      <w:r>
        <w:rPr>
          <w:rFonts w:ascii="Arial" w:cs="Arial" w:eastAsia="Arial" w:hAnsi="Arial"/>
          <w:sz w:val="10"/>
          <w:szCs w:val="10"/>
        </w:rPr>
        <w:t xml:space="preserve"/>
      </w:r>
    </w:p>
    <w:p>
      <w:pPr>
        <w:pStyle w:val="Heading2"/>
        <w:spacing w:before="240" w:after="80"/>
      </w:pPr>
      <w:r>
        <w:rPr>
          <w:rFonts w:ascii="Arial" w:cs="Arial" w:eastAsia="Arial" w:hAnsi="Arial"/>
          <w:b/>
          <w:bCs/>
          <w:color w:val="2E5090"/>
          <w:sz w:val="24"/>
          <w:szCs w:val="24"/>
        </w:rPr>
        <w:t xml:space="preserve">Constraints</w:t>
      </w:r>
    </w:p>
    <w:p>
      <w:pPr>
        <w:pStyle w:val="ListParagraph"/>
        <w:numPr>
          <w:ilvl w:val="0"/>
          <w:numId w:val="2"/>
        </w:numPr>
        <w:spacing w:before="40" w:after="40"/>
      </w:pPr>
      <w:r>
        <w:rPr>
          <w:rFonts w:ascii="Arial" w:cs="Arial" w:eastAsia="Arial" w:hAnsi="Arial"/>
          <w:sz w:val="20"/>
          <w:szCs w:val="20"/>
        </w:rPr>
        <w:t xml:space="preserve">Must prioritize strong privacy protections and anonymity</w:t>
      </w:r>
    </w:p>
    <w:p>
      <w:pPr>
        <w:pStyle w:val="ListParagraph"/>
        <w:numPr>
          <w:ilvl w:val="0"/>
          <w:numId w:val="2"/>
        </w:numPr>
        <w:spacing w:before="40" w:after="40"/>
      </w:pPr>
      <w:r>
        <w:rPr>
          <w:rFonts w:ascii="Arial" w:cs="Arial" w:eastAsia="Arial" w:hAnsi="Arial"/>
          <w:sz w:val="20"/>
          <w:szCs w:val="20"/>
        </w:rPr>
        <w:t xml:space="preserve">Must work with existing nonprofit and community-based support networks</w:t>
      </w:r>
    </w:p>
    <w:p>
      <w:pPr>
        <w:pStyle w:val="ListParagraph"/>
        <w:numPr>
          <w:ilvl w:val="0"/>
          <w:numId w:val="2"/>
        </w:numPr>
        <w:spacing w:before="40" w:after="40"/>
      </w:pPr>
      <w:r>
        <w:rPr>
          <w:rFonts w:ascii="Arial" w:cs="Arial" w:eastAsia="Arial" w:hAnsi="Arial"/>
          <w:sz w:val="20"/>
          <w:szCs w:val="20"/>
        </w:rPr>
        <w:t xml:space="preserve">Cannot require a full replacement of current systems</w:t>
      </w:r>
    </w:p>
    <w:p>
      <w:pPr>
        <w:pStyle w:val="ListParagraph"/>
        <w:numPr>
          <w:ilvl w:val="0"/>
          <w:numId w:val="2"/>
        </w:numPr>
        <w:spacing w:before="40" w:after="40"/>
      </w:pPr>
      <w:r>
        <w:rPr>
          <w:rFonts w:ascii="Arial" w:cs="Arial" w:eastAsia="Arial" w:hAnsi="Arial"/>
          <w:sz w:val="20"/>
          <w:szCs w:val="20"/>
        </w:rPr>
        <w:t xml:space="preserve">Should avoid collecting unnecessary personal data</w:t>
      </w:r>
    </w:p>
    <w:p>
      <w:pPr>
        <w:pStyle w:val="ListParagraph"/>
        <w:numPr>
          <w:ilvl w:val="0"/>
          <w:numId w:val="2"/>
        </w:numPr>
        <w:spacing w:before="40" w:after="40"/>
      </w:pPr>
      <w:r>
        <w:rPr>
          <w:rFonts w:ascii="Arial" w:cs="Arial" w:eastAsia="Arial" w:hAnsi="Arial"/>
          <w:sz w:val="20"/>
          <w:szCs w:val="20"/>
        </w:rPr>
        <w:t xml:space="preserve">Must operate within limited staffing capacity and budgets</w:t>
      </w:r>
    </w:p>
    <w:p>
      <w:pPr>
        <w:pStyle w:val="ListParagraph"/>
        <w:numPr>
          <w:ilvl w:val="0"/>
          <w:numId w:val="2"/>
        </w:numPr>
        <w:spacing w:before="40" w:after="40"/>
      </w:pPr>
      <w:r>
        <w:rPr>
          <w:rFonts w:ascii="Arial" w:cs="Arial" w:eastAsia="Arial" w:hAnsi="Arial"/>
          <w:sz w:val="20"/>
          <w:szCs w:val="20"/>
        </w:rPr>
        <w:t xml:space="preserve">Service information should be easily updated by trusted organizations</w:t>
      </w:r>
    </w:p>
    <w:p>
      <w:r>
        <w:rPr>
          <w:rFonts w:ascii="Arial" w:cs="Arial" w:eastAsia="Arial" w:hAnsi="Arial"/>
          <w:sz w:val="10"/>
          <w:szCs w:val="10"/>
        </w:rPr>
        <w:t xml:space="preserve"/>
      </w:r>
    </w:p>
    <w:p>
      <w:pPr>
        <w:pStyle w:val="Heading2"/>
        <w:spacing w:before="240" w:after="80"/>
      </w:pPr>
      <w:r>
        <w:rPr>
          <w:rFonts w:ascii="Arial" w:cs="Arial" w:eastAsia="Arial" w:hAnsi="Arial"/>
          <w:b/>
          <w:bCs/>
          <w:color w:val="2E5090"/>
          <w:sz w:val="24"/>
          <w:szCs w:val="24"/>
        </w:rPr>
        <w:t xml:space="preserve">Success Would Mean</w:t>
      </w:r>
    </w:p>
    <w:p>
      <w:pPr>
        <w:pStyle w:val="ListParagraph"/>
        <w:numPr>
          <w:ilvl w:val="0"/>
          <w:numId w:val="2"/>
        </w:numPr>
        <w:spacing w:before="40" w:after="40"/>
      </w:pPr>
      <w:r>
        <w:rPr>
          <w:rFonts w:ascii="Arial" w:cs="Arial" w:eastAsia="Arial" w:hAnsi="Arial"/>
          <w:sz w:val="20"/>
          <w:szCs w:val="20"/>
        </w:rPr>
        <w:t xml:space="preserve">Residents can safely discover and connect to trusted support services</w:t>
      </w:r>
    </w:p>
    <w:p>
      <w:pPr>
        <w:pStyle w:val="ListParagraph"/>
        <w:numPr>
          <w:ilvl w:val="0"/>
          <w:numId w:val="2"/>
        </w:numPr>
        <w:spacing w:before="40" w:after="40"/>
      </w:pPr>
      <w:r>
        <w:rPr>
          <w:rFonts w:ascii="Arial" w:cs="Arial" w:eastAsia="Arial" w:hAnsi="Arial"/>
          <w:sz w:val="20"/>
          <w:szCs w:val="20"/>
        </w:rPr>
        <w:t xml:space="preserve">Immigrant and refugee communities feel more comfortable seeking help</w:t>
      </w:r>
    </w:p>
    <w:p>
      <w:pPr>
        <w:pStyle w:val="ListParagraph"/>
        <w:numPr>
          <w:ilvl w:val="0"/>
          <w:numId w:val="2"/>
        </w:numPr>
        <w:spacing w:before="40" w:after="40"/>
      </w:pPr>
      <w:r>
        <w:rPr>
          <w:rFonts w:ascii="Arial" w:cs="Arial" w:eastAsia="Arial" w:hAnsi="Arial"/>
          <w:sz w:val="20"/>
          <w:szCs w:val="20"/>
        </w:rPr>
        <w:t xml:space="preserve">Service information is accurate, multilingual, and easy to access</w:t>
      </w:r>
    </w:p>
    <w:p>
      <w:pPr>
        <w:pStyle w:val="ListParagraph"/>
        <w:numPr>
          <w:ilvl w:val="0"/>
          <w:numId w:val="2"/>
        </w:numPr>
        <w:spacing w:before="40" w:after="40"/>
      </w:pPr>
      <w:r>
        <w:rPr>
          <w:rFonts w:ascii="Arial" w:cs="Arial" w:eastAsia="Arial" w:hAnsi="Arial"/>
          <w:sz w:val="20"/>
          <w:szCs w:val="20"/>
        </w:rPr>
        <w:t xml:space="preserve">Community organizations coordinate more effectively</w:t>
      </w:r>
    </w:p>
    <w:p>
      <w:pPr>
        <w:pStyle w:val="ListParagraph"/>
        <w:numPr>
          <w:ilvl w:val="0"/>
          <w:numId w:val="2"/>
        </w:numPr>
        <w:spacing w:before="40" w:after="40"/>
      </w:pPr>
      <w:r>
        <w:rPr>
          <w:rFonts w:ascii="Arial" w:cs="Arial" w:eastAsia="Arial" w:hAnsi="Arial"/>
          <w:sz w:val="20"/>
          <w:szCs w:val="20"/>
        </w:rPr>
        <w:t xml:space="preserve">Fewer residents fall through gaps between support programs</w:t>
      </w:r>
    </w:p>
    <w:p>
      <w:r>
        <w:rPr>
          <w:rFonts w:ascii="Arial" w:cs="Arial" w:eastAsia="Arial" w:hAnsi="Arial"/>
          <w:sz w:val="10"/>
          <w:szCs w:val="10"/>
        </w:rPr>
        <w:t xml:space="preserve"/>
      </w:r>
    </w:p>
    <w:p>
      <w:pPr>
        <w:pStyle w:val="Heading2"/>
        <w:spacing w:before="240" w:after="80"/>
      </w:pPr>
      <w:r>
        <w:rPr>
          <w:rFonts w:ascii="Arial" w:cs="Arial" w:eastAsia="Arial" w:hAnsi="Arial"/>
          <w:b/>
          <w:bCs/>
          <w:color w:val="2E5090"/>
          <w:sz w:val="24"/>
          <w:szCs w:val="24"/>
        </w:rPr>
        <w:t xml:space="preserve">Detailed Rubric 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580"/>
        <w:gridCol w:w="7480"/>
      </w:tblGrid>
      <w:tr>
        <w:trPr>
          <w:tblHeader/>
        </w:trPr>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Dimension</w:t>
            </w:r>
          </w:p>
        </w:tc>
        <w:tc>
          <w:tcPr>
            <w:tcW w:type="dxa" w:w="5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Score</w:t>
            </w:r>
          </w:p>
        </w:tc>
        <w:tc>
          <w:tcPr>
            <w:tcW w:type="dxa" w:w="7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Rationale</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D1: Clarity</w:t>
            </w:r>
          </w:p>
        </w:tc>
        <w:tc>
          <w:tcPr>
            <w:tcW w:type="dxa" w:w="580"/>
            <w:tcBorders>
              <w:top w:val="single" w:color="CCCCCC" w:sz="1"/>
              <w:left w:val="single" w:color="CCCCCC" w:sz="1"/>
              <w:bottom w:val="single" w:color="CCCCCC" w:sz="1"/>
              <w:right w:val="single" w:color="CCCCCC" w:sz="1"/>
            </w:tcBorders>
            <w:shd w:fill="DAEEF3"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4</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Specific: immigrant and refugee residents can’t safely discover support services due to privacy fears, language barriers, and trust gaps. Rooted in real behavioral barriers.</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D2: Scope</w:t>
            </w:r>
          </w:p>
        </w:tc>
        <w:tc>
          <w:tcPr>
            <w:tcW w:type="dxa" w:w="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3</w:t>
            </w:r>
          </w:p>
        </w:tc>
        <w:tc>
          <w:tcPr>
            <w:tcW w:type="dxa" w:w="7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Building a privacy-first service discovery tool is achievable. Risk: the trust dimension is fundamentally social, not technical — a weekend prototype can demonstrate a concept but not build actual trust.</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D3: Data</w:t>
            </w:r>
          </w:p>
        </w:tc>
        <w:tc>
          <w:tcPr>
            <w:tcW w:type="dxa" w:w="5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2</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No datasets or service directories linked. Help1RVA is mentioned in workshop notes but not in the targeted statement. Open data catalog doesn’t cover social service directories.</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D4: Champion</w:t>
            </w:r>
          </w:p>
        </w:tc>
        <w:tc>
          <w:tcPr>
            <w:tcW w:type="dxa" w:w="5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2</w:t>
            </w:r>
          </w:p>
        </w:tc>
        <w:tc>
          <w:tcPr>
            <w:tcW w:type="dxa" w:w="7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Nonprofits and community-based organizations mentioned generically. No named champion.</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D5: Population</w:t>
            </w:r>
          </w:p>
        </w:tc>
        <w:tc>
          <w:tcPr>
            <w:tcW w:type="dxa" w:w="580"/>
            <w:tcBorders>
              <w:top w:val="single" w:color="CCCCCC" w:sz="1"/>
              <w:left w:val="single" w:color="CCCCCC" w:sz="1"/>
              <w:bottom w:val="single" w:color="CCCCCC" w:sz="1"/>
              <w:right w:val="single" w:color="CCCCCC" w:sz="1"/>
            </w:tcBorders>
            <w:shd w:fill="DAEEF3"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4</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Clear and compelling: immigrant and refugee residents in Richmond.</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D6: Environment</w:t>
            </w:r>
          </w:p>
        </w:tc>
        <w:tc>
          <w:tcPr>
            <w:tcW w:type="dxa" w:w="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3</w:t>
            </w:r>
          </w:p>
        </w:tc>
        <w:tc>
          <w:tcPr>
            <w:tcW w:type="dxa" w:w="7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Strong privacy and anonymity constraints. Missing: what communication channels residents actually use (WhatsApp? SMS? in-person?), what languages most needed, what digital access looks like.</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D7: Success</w:t>
            </w:r>
          </w:p>
        </w:tc>
        <w:tc>
          <w:tcPr>
            <w:tcW w:type="dxa" w:w="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3</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Meaningful success criteria. Output type not specified.</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D8: Accessibility</w:t>
            </w:r>
          </w:p>
        </w:tc>
        <w:tc>
          <w:tcPr>
            <w:tcW w:type="dxa" w:w="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3</w:t>
            </w:r>
          </w:p>
        </w:tc>
        <w:tc>
          <w:tcPr>
            <w:tcW w:type="dxa" w:w="7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Translation, cultural competency research, community engagement, trust-building design are natural non-technical roles.</w:t>
            </w:r>
          </w:p>
        </w:tc>
      </w:tr>
    </w:tbl>
    <w:p>
      <w:r>
        <w:rPr>
          <w:rFonts w:ascii="Arial" w:cs="Arial" w:eastAsia="Arial" w:hAnsi="Arial"/>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9B2335" w:sz="14"/>
              <w:bottom w:val="single" w:color="CCCCCC" w:sz="1"/>
              <w:right w:val="single" w:color="CCCCCC" w:sz="1"/>
            </w:tcBorders>
            <w:shd w:fill="FCE4D6" w:val="clear"/>
            <w:tcMar>
              <w:top w:type="dxa" w:w="80"/>
              <w:left w:type="dxa" w:w="160"/>
              <w:bottom w:type="dxa" w:w="80"/>
              <w:right w:type="dxa" w:w="120"/>
            </w:tcMar>
          </w:tcPr>
          <w:p>
            <w:r>
              <w:rPr>
                <w:rFonts w:ascii="Arial" w:cs="Arial" w:eastAsia="Arial" w:hAnsi="Arial"/>
                <w:b/>
                <w:bCs/>
                <w:color w:val="9B2335"/>
                <w:sz w:val="18"/>
                <w:szCs w:val="18"/>
              </w:rPr>
              <w:t xml:space="preserve">⚑  Quick-Kill Flags</w:t>
            </w:r>
          </w:p>
          <w:p>
            <w:pPr>
              <w:spacing w:before="30" w:after="30"/>
            </w:pPr>
            <w:r>
              <w:rPr>
                <w:rFonts w:ascii="Arial" w:cs="Arial" w:eastAsia="Arial" w:hAnsi="Arial"/>
                <w:color w:val="7B1818"/>
                <w:sz w:val="18"/>
                <w:szCs w:val="18"/>
              </w:rPr>
              <w:t xml:space="preserve">• Missing continuation pathway — no named individual committed to working with outputs.</w:t>
            </w:r>
          </w:p>
        </w:tc>
      </w:tr>
    </w:tbl>
    <w:p>
      <w:r>
        <w:rPr>
          <w:rFonts w:ascii="Arial" w:cs="Arial" w:eastAsia="Arial" w:hAnsi="Arial"/>
          <w:sz w:val="10"/>
          <w:szCs w:val="10"/>
        </w:rPr>
        <w:t xml:space="preserve"/>
      </w:r>
    </w:p>
    <w:p>
      <w:pPr>
        <w:pStyle w:val="Heading2"/>
        <w:spacing w:before="240" w:after="80"/>
      </w:pPr>
      <w:r>
        <w:rPr>
          <w:rFonts w:ascii="Arial" w:cs="Arial" w:eastAsia="Arial" w:hAnsi="Arial"/>
          <w:b/>
          <w:bCs/>
          <w:color w:val="2E5090"/>
          <w:sz w:val="24"/>
          <w:szCs w:val="24"/>
        </w:rPr>
        <w:t xml:space="preserve">Gap Analysis</w:t>
      </w:r>
    </w:p>
    <w:p>
      <w:pPr>
        <w:spacing w:before="60" w:after="60"/>
      </w:pPr>
      <w:r>
        <w:rPr>
          <w:rFonts w:ascii="Arial" w:cs="Arial" w:eastAsia="Arial" w:hAnsi="Arial"/>
          <w:b/>
          <w:bCs/>
          <w:sz w:val="20"/>
          <w:szCs w:val="20"/>
        </w:rPr>
        <w:t xml:space="preserve">Missing datasets:</w:t>
      </w:r>
    </w:p>
    <w:p>
      <w:pPr>
        <w:pStyle w:val="ListParagraph"/>
        <w:numPr>
          <w:ilvl w:val="0"/>
          <w:numId w:val="2"/>
        </w:numPr>
        <w:spacing w:before="40" w:after="40"/>
      </w:pPr>
      <w:r>
        <w:rPr>
          <w:rFonts w:ascii="Arial" w:cs="Arial" w:eastAsia="Arial" w:hAnsi="Arial"/>
          <w:sz w:val="20"/>
          <w:szCs w:val="20"/>
        </w:rPr>
        <w:t xml:space="preserve">A current export or snapshot from Help1RVA showing services available to immigrant and refugee residents: categories, languages supported, eligibility, contact info</w:t>
      </w:r>
    </w:p>
    <w:p>
      <w:pPr>
        <w:pStyle w:val="ListParagraph"/>
        <w:numPr>
          <w:ilvl w:val="0"/>
          <w:numId w:val="2"/>
        </w:numPr>
        <w:spacing w:before="40" w:after="40"/>
      </w:pPr>
      <w:r>
        <w:rPr>
          <w:rFonts w:ascii="Arial" w:cs="Arial" w:eastAsia="Arial" w:hAnsi="Arial"/>
          <w:sz w:val="20"/>
          <w:szCs w:val="20"/>
        </w:rPr>
        <w:t xml:space="preserve">A list of trusted community organizations (nonprofits, faith organizations, cultural groups) that serve as intermediaries, with the languages and populations they serve</w:t>
      </w:r>
    </w:p>
    <w:p>
      <w:pPr>
        <w:pStyle w:val="ListParagraph"/>
        <w:numPr>
          <w:ilvl w:val="0"/>
          <w:numId w:val="2"/>
        </w:numPr>
        <w:spacing w:before="40" w:after="40"/>
      </w:pPr>
      <w:r>
        <w:rPr>
          <w:rFonts w:ascii="Arial" w:cs="Arial" w:eastAsia="Arial" w:hAnsi="Arial"/>
          <w:sz w:val="20"/>
          <w:szCs w:val="20"/>
        </w:rPr>
        <w:t xml:space="preserve">Documentation of which communication channels immigrant communities in Richmond actually use: WhatsApp, SMS, Facebook groups, in-person networks</w:t>
      </w:r>
    </w:p>
    <w:p>
      <w:r>
        <w:rPr>
          <w:rFonts w:ascii="Arial" w:cs="Arial" w:eastAsia="Arial" w:hAnsi="Arial"/>
          <w:sz w:val="10"/>
          <w:szCs w:val="10"/>
        </w:rPr>
        <w:t xml:space="preserve"/>
      </w:r>
    </w:p>
    <w:p>
      <w:pPr>
        <w:spacing w:before="60" w:after="60"/>
      </w:pPr>
      <w:r>
        <w:rPr>
          <w:rFonts w:ascii="Arial" w:cs="Arial" w:eastAsia="Arial" w:hAnsi="Arial"/>
          <w:sz w:val="20"/>
          <w:szCs w:val="20"/>
        </w:rPr>
        <w:t xml:space="preserve">Open data catalog blind spot: No social services and human services data section exists. No service directories, no Help1RVA data, no referral pathway documentation.</w:t>
      </w:r>
    </w:p>
    <w:p>
      <w:r>
        <w:rPr>
          <w:rFonts w:ascii="Arial" w:cs="Arial" w:eastAsia="Arial" w:hAnsi="Arial"/>
          <w:sz w:val="10"/>
          <w:szCs w:val="10"/>
        </w:rPr>
        <w:t xml:space="preserve"/>
      </w:r>
    </w:p>
    <w:p>
      <w:pPr>
        <w:spacing w:before="60" w:after="60"/>
      </w:pPr>
      <w:r>
        <w:rPr>
          <w:rFonts w:ascii="Arial" w:cs="Arial" w:eastAsia="Arial" w:hAnsi="Arial"/>
          <w:b/>
          <w:bCs/>
          <w:sz w:val="20"/>
          <w:szCs w:val="20"/>
        </w:rPr>
        <w:t xml:space="preserve">Other gaps:</w:t>
      </w:r>
    </w:p>
    <w:p>
      <w:pPr>
        <w:pStyle w:val="ListParagraph"/>
        <w:numPr>
          <w:ilvl w:val="0"/>
          <w:numId w:val="2"/>
        </w:numPr>
        <w:spacing w:before="40" w:after="40"/>
      </w:pPr>
      <w:r>
        <w:rPr>
          <w:rFonts w:ascii="Arial" w:cs="Arial" w:eastAsia="Arial" w:hAnsi="Arial"/>
          <w:sz w:val="20"/>
          <w:szCs w:val="20"/>
        </w:rPr>
        <w:t xml:space="preserve">Help1RVA: referenced in workshop notes but absent from the targeted statement</w:t>
      </w:r>
    </w:p>
    <w:p>
      <w:pPr>
        <w:pStyle w:val="ListParagraph"/>
        <w:numPr>
          <w:ilvl w:val="0"/>
          <w:numId w:val="2"/>
        </w:numPr>
        <w:spacing w:before="40" w:after="40"/>
      </w:pPr>
      <w:r>
        <w:rPr>
          <w:rFonts w:ascii="Arial" w:cs="Arial" w:eastAsia="Arial" w:hAnsi="Arial"/>
          <w:sz w:val="20"/>
          <w:szCs w:val="20"/>
        </w:rPr>
        <w:t xml:space="preserve">Priority languages (Spanish, Arabic, Nepali, Burmese all likely): unspecified</w:t>
      </w:r>
    </w:p>
    <w:p>
      <w:pPr>
        <w:pStyle w:val="ListParagraph"/>
        <w:numPr>
          <w:ilvl w:val="0"/>
          <w:numId w:val="2"/>
        </w:numPr>
        <w:spacing w:before="40" w:after="40"/>
      </w:pPr>
      <w:r>
        <w:rPr>
          <w:rFonts w:ascii="Arial" w:cs="Arial" w:eastAsia="Arial" w:hAnsi="Arial"/>
          <w:sz w:val="20"/>
          <w:szCs w:val="20"/>
        </w:rPr>
        <w:t xml:space="preserve">Digital literacy range of target population: undocumented</w:t>
      </w:r>
    </w:p>
    <w:p>
      <w:pPr>
        <w:pStyle w:val="ListParagraph"/>
        <w:numPr>
          <w:ilvl w:val="0"/>
          <w:numId w:val="2"/>
        </w:numPr>
        <w:spacing w:before="40" w:after="40"/>
      </w:pPr>
      <w:r>
        <w:rPr>
          <w:rFonts w:ascii="Arial" w:cs="Arial" w:eastAsia="Arial" w:hAnsi="Arial"/>
          <w:sz w:val="20"/>
          <w:szCs w:val="20"/>
        </w:rPr>
        <w:t xml:space="preserve">Output type unspecified</w:t>
      </w:r>
    </w:p>
    <w:p>
      <w:r>
        <w:rPr>
          <w:rFonts w:ascii="Arial" w:cs="Arial" w:eastAsia="Arial" w:hAnsi="Arial"/>
          <w:sz w:val="10"/>
          <w:szCs w:val="10"/>
        </w:rPr>
        <w:t xml:space="preserve"/>
      </w:r>
    </w:p>
    <w:p>
      <w:r>
        <w:br w:type="page"/>
      </w:r>
    </w:p>
    <w:p>
      <w:pPr>
        <w:pStyle w:val="Heading1"/>
        <w:spacing w:before="320" w:after="100"/>
      </w:pPr>
      <w:r>
        <w:rPr>
          <w:rFonts w:ascii="Arial" w:cs="Arial" w:eastAsia="Arial" w:hAnsi="Arial"/>
          <w:b/>
          <w:bCs/>
          <w:color w:val="1F3864"/>
          <w:sz w:val="28"/>
          <w:szCs w:val="28"/>
        </w:rPr>
        <w:t xml:space="preserve">Targeted Statement 2: Helping Residents Navigate the Right Support Services Without Repeating Their Story</w:t>
      </w:r>
    </w:p>
    <w:p>
      <w:pPr>
        <w:pBdr>
          <w:bottom w:val="single" w:color="9B2335" w:sz="6" w:space="1"/>
        </w:pBdr>
        <w:spacing w:before="60" w:after="60"/>
      </w:pPr>
      <w:r>
        <w:rPr>
          <w:rFonts w:ascii="Arial" w:cs="Arial" w:eastAsia="Arial" w:hAnsi="Arial"/>
        </w:rPr>
        <w:t xml:space="preserve"/>
      </w:r>
    </w:p>
    <w:p>
      <w:pPr>
        <w:spacing w:before="60" w:after="80"/>
      </w:pPr>
      <w:r>
        <w:rPr>
          <w:rFonts w:ascii="Arial" w:cs="Arial" w:eastAsia="Arial" w:hAnsi="Arial"/>
          <w:b/>
          <w:bCs/>
          <w:sz w:val="20"/>
          <w:szCs w:val="20"/>
        </w:rPr>
        <w:t xml:space="preserve">Score: </w:t>
      </w:r>
      <w:r>
        <w:rPr>
          <w:rFonts w:ascii="Arial" w:cs="Arial" w:eastAsia="Arial" w:hAnsi="Arial"/>
          <w:b/>
          <w:bCs/>
          <w:color w:val="2E5090"/>
          <w:sz w:val="22"/>
          <w:szCs w:val="22"/>
        </w:rPr>
        <w:t xml:space="preserve">22/32</w:t>
      </w:r>
      <w:r>
        <w:rPr>
          <w:rFonts w:ascii="Arial" w:cs="Arial" w:eastAsia="Arial" w:hAnsi="Arial"/>
          <w:sz w:val="20"/>
          <w:szCs w:val="20"/>
        </w:rPr>
        <w:t xml:space="preserve">    </w:t>
      </w:r>
      <w:r>
        <w:rPr>
          <w:rFonts w:ascii="Arial" w:cs="Arial" w:eastAsia="Arial" w:hAnsi="Arial"/>
          <w:b/>
          <w:bCs/>
          <w:color w:val="7B4F00"/>
          <w:sz w:val="20"/>
          <w:szCs w:val="20"/>
        </w:rPr>
        <w:t xml:space="preserve">Needs work</w:t>
      </w:r>
    </w:p>
    <w:p>
      <w:r>
        <w:rPr>
          <w:rFonts w:ascii="Arial" w:cs="Arial" w:eastAsia="Arial" w:hAnsi="Arial"/>
          <w:sz w:val="10"/>
          <w:szCs w:val="10"/>
        </w:rPr>
        <w:t xml:space="preserve"/>
      </w:r>
    </w:p>
    <w:p>
      <w:pPr>
        <w:pStyle w:val="Heading2"/>
        <w:spacing w:before="240" w:after="80"/>
      </w:pPr>
      <w:r>
        <w:rPr>
          <w:rFonts w:ascii="Arial" w:cs="Arial" w:eastAsia="Arial" w:hAnsi="Arial"/>
          <w:b/>
          <w:bCs/>
          <w:color w:val="2E5090"/>
          <w:sz w:val="24"/>
          <w:szCs w:val="24"/>
        </w:rPr>
        <w:t xml:space="preserve">Problem Statement</w:t>
      </w:r>
    </w:p>
    <w:p>
      <w:pPr>
        <w:spacing w:before="60" w:after="60"/>
      </w:pPr>
      <w:r>
        <w:rPr>
          <w:rFonts w:ascii="Arial" w:cs="Arial" w:eastAsia="Arial" w:hAnsi="Arial"/>
          <w:sz w:val="20"/>
          <w:szCs w:val="20"/>
        </w:rPr>
        <w:t xml:space="preserve">Residents seeking housing stability, workforce support, or reentry services often need assistance from multiple City departments and partner organizations. However, information about programs is spread across different agencies, eligibility requirements are complex, and residents frequently have to repeat their story to multiple providers.</w:t>
      </w:r>
    </w:p>
    <w:p>
      <w:r>
        <w:rPr>
          <w:rFonts w:ascii="Arial" w:cs="Arial" w:eastAsia="Arial" w:hAnsi="Arial"/>
          <w:sz w:val="10"/>
          <w:szCs w:val="10"/>
        </w:rPr>
        <w:t xml:space="preserve"/>
      </w:r>
    </w:p>
    <w:p>
      <w:pPr>
        <w:pStyle w:val="Heading2"/>
        <w:spacing w:before="240" w:after="80"/>
      </w:pPr>
      <w:r>
        <w:rPr>
          <w:rFonts w:ascii="Arial" w:cs="Arial" w:eastAsia="Arial" w:hAnsi="Arial"/>
          <w:b/>
          <w:bCs/>
          <w:color w:val="2E5090"/>
          <w:sz w:val="24"/>
          <w:szCs w:val="24"/>
        </w:rPr>
        <w:t xml:space="preserve">Context</w:t>
      </w:r>
    </w:p>
    <w:p>
      <w:pPr>
        <w:spacing w:before="60" w:after="60"/>
      </w:pPr>
      <w:r>
        <w:rPr>
          <w:rFonts w:ascii="Arial" w:cs="Arial" w:eastAsia="Arial" w:hAnsi="Arial"/>
          <w:sz w:val="20"/>
          <w:szCs w:val="20"/>
        </w:rPr>
        <w:t xml:space="preserve">Residents navigating housing, workforce development, or reentry services interact with multiple organizations: Social Services, Housing, workforce programs, and nonprofit partners. These programs operate independently on different systems. Residents determine eligibility on their own and contact multiple offices before finding the right support. Staff and volunteers spend significant time redirecting residents between programs.</w:t>
      </w:r>
    </w:p>
    <w:p>
      <w:r>
        <w:rPr>
          <w:rFonts w:ascii="Arial" w:cs="Arial" w:eastAsia="Arial" w:hAnsi="Arial"/>
          <w:sz w:val="10"/>
          <w:szCs w:val="10"/>
        </w:rPr>
        <w:t xml:space="preserve"/>
      </w:r>
    </w:p>
    <w:p>
      <w:pPr>
        <w:pStyle w:val="Heading2"/>
        <w:spacing w:before="240" w:after="80"/>
      </w:pPr>
      <w:r>
        <w:rPr>
          <w:rFonts w:ascii="Arial" w:cs="Arial" w:eastAsia="Arial" w:hAnsi="Arial"/>
          <w:b/>
          <w:bCs/>
          <w:color w:val="2E5090"/>
          <w:sz w:val="24"/>
          <w:szCs w:val="24"/>
        </w:rPr>
        <w:t xml:space="preserve">Constraints</w:t>
      </w:r>
    </w:p>
    <w:p>
      <w:pPr>
        <w:pStyle w:val="ListParagraph"/>
        <w:numPr>
          <w:ilvl w:val="0"/>
          <w:numId w:val="2"/>
        </w:numPr>
        <w:spacing w:before="40" w:after="40"/>
      </w:pPr>
      <w:r>
        <w:rPr>
          <w:rFonts w:ascii="Arial" w:cs="Arial" w:eastAsia="Arial" w:hAnsi="Arial"/>
          <w:sz w:val="20"/>
          <w:szCs w:val="20"/>
        </w:rPr>
        <w:t xml:space="preserve">Must respect privacy protections including HIPAA and PII rules</w:t>
      </w:r>
    </w:p>
    <w:p>
      <w:pPr>
        <w:pStyle w:val="ListParagraph"/>
        <w:numPr>
          <w:ilvl w:val="0"/>
          <w:numId w:val="2"/>
        </w:numPr>
        <w:spacing w:before="40" w:after="40"/>
      </w:pPr>
      <w:r>
        <w:rPr>
          <w:rFonts w:ascii="Arial" w:cs="Arial" w:eastAsia="Arial" w:hAnsi="Arial"/>
          <w:sz w:val="20"/>
          <w:szCs w:val="20"/>
        </w:rPr>
        <w:t xml:space="preserve">Must work across departments operating on different systems</w:t>
      </w:r>
    </w:p>
    <w:p>
      <w:pPr>
        <w:pStyle w:val="ListParagraph"/>
        <w:numPr>
          <w:ilvl w:val="0"/>
          <w:numId w:val="2"/>
        </w:numPr>
        <w:spacing w:before="40" w:after="40"/>
      </w:pPr>
      <w:r>
        <w:rPr>
          <w:rFonts w:ascii="Arial" w:cs="Arial" w:eastAsia="Arial" w:hAnsi="Arial"/>
          <w:sz w:val="20"/>
          <w:szCs w:val="20"/>
        </w:rPr>
        <w:t xml:space="preserve">Cannot require a full technology overhaul</w:t>
      </w:r>
    </w:p>
    <w:p>
      <w:pPr>
        <w:pStyle w:val="ListParagraph"/>
        <w:numPr>
          <w:ilvl w:val="0"/>
          <w:numId w:val="2"/>
        </w:numPr>
        <w:spacing w:before="40" w:after="40"/>
      </w:pPr>
      <w:r>
        <w:rPr>
          <w:rFonts w:ascii="Arial" w:cs="Arial" w:eastAsia="Arial" w:hAnsi="Arial"/>
          <w:sz w:val="20"/>
          <w:szCs w:val="20"/>
        </w:rPr>
        <w:t xml:space="preserve">Should support — not replace — human case managers and volunteers</w:t>
      </w:r>
    </w:p>
    <w:p>
      <w:pPr>
        <w:pStyle w:val="ListParagraph"/>
        <w:numPr>
          <w:ilvl w:val="0"/>
          <w:numId w:val="2"/>
        </w:numPr>
        <w:spacing w:before="40" w:after="40"/>
      </w:pPr>
      <w:r>
        <w:rPr>
          <w:rFonts w:ascii="Arial" w:cs="Arial" w:eastAsia="Arial" w:hAnsi="Arial"/>
          <w:sz w:val="20"/>
          <w:szCs w:val="20"/>
        </w:rPr>
        <w:t xml:space="preserve">Must function within existing staffing capacity</w:t>
      </w:r>
    </w:p>
    <w:p>
      <w:r>
        <w:rPr>
          <w:rFonts w:ascii="Arial" w:cs="Arial" w:eastAsia="Arial" w:hAnsi="Arial"/>
          <w:sz w:val="10"/>
          <w:szCs w:val="10"/>
        </w:rPr>
        <w:t xml:space="preserve"/>
      </w:r>
    </w:p>
    <w:p>
      <w:pPr>
        <w:pStyle w:val="Heading2"/>
        <w:spacing w:before="240" w:after="80"/>
      </w:pPr>
      <w:r>
        <w:rPr>
          <w:rFonts w:ascii="Arial" w:cs="Arial" w:eastAsia="Arial" w:hAnsi="Arial"/>
          <w:b/>
          <w:bCs/>
          <w:color w:val="2E5090"/>
          <w:sz w:val="24"/>
          <w:szCs w:val="24"/>
        </w:rPr>
        <w:t xml:space="preserve">Success Would Mean</w:t>
      </w:r>
    </w:p>
    <w:p>
      <w:pPr>
        <w:pStyle w:val="ListParagraph"/>
        <w:numPr>
          <w:ilvl w:val="0"/>
          <w:numId w:val="2"/>
        </w:numPr>
        <w:spacing w:before="40" w:after="40"/>
      </w:pPr>
      <w:r>
        <w:rPr>
          <w:rFonts w:ascii="Arial" w:cs="Arial" w:eastAsia="Arial" w:hAnsi="Arial"/>
          <w:sz w:val="20"/>
          <w:szCs w:val="20"/>
        </w:rPr>
        <w:t xml:space="preserve">Residents can quickly identify relevant services and eligibility</w:t>
      </w:r>
    </w:p>
    <w:p>
      <w:pPr>
        <w:pStyle w:val="ListParagraph"/>
        <w:numPr>
          <w:ilvl w:val="0"/>
          <w:numId w:val="2"/>
        </w:numPr>
        <w:spacing w:before="40" w:after="40"/>
      </w:pPr>
      <w:r>
        <w:rPr>
          <w:rFonts w:ascii="Arial" w:cs="Arial" w:eastAsia="Arial" w:hAnsi="Arial"/>
          <w:sz w:val="20"/>
          <w:szCs w:val="20"/>
        </w:rPr>
        <w:t xml:space="preserve">Residents do not have to repeat their story across agencies</w:t>
      </w:r>
    </w:p>
    <w:p>
      <w:pPr>
        <w:pStyle w:val="ListParagraph"/>
        <w:numPr>
          <w:ilvl w:val="0"/>
          <w:numId w:val="2"/>
        </w:numPr>
        <w:spacing w:before="40" w:after="40"/>
      </w:pPr>
      <w:r>
        <w:rPr>
          <w:rFonts w:ascii="Arial" w:cs="Arial" w:eastAsia="Arial" w:hAnsi="Arial"/>
          <w:sz w:val="20"/>
          <w:szCs w:val="20"/>
        </w:rPr>
        <w:t xml:space="preserve">More residents successfully connect to housing, workforce, or reentry support</w:t>
      </w:r>
    </w:p>
    <w:p>
      <w:pPr>
        <w:pStyle w:val="ListParagraph"/>
        <w:numPr>
          <w:ilvl w:val="0"/>
          <w:numId w:val="2"/>
        </w:numPr>
        <w:spacing w:before="40" w:after="40"/>
      </w:pPr>
      <w:r>
        <w:rPr>
          <w:rFonts w:ascii="Arial" w:cs="Arial" w:eastAsia="Arial" w:hAnsi="Arial"/>
          <w:sz w:val="20"/>
          <w:szCs w:val="20"/>
        </w:rPr>
        <w:t xml:space="preserve">Staff spend less time redirecting residents between programs</w:t>
      </w:r>
    </w:p>
    <w:p>
      <w:pPr>
        <w:pStyle w:val="ListParagraph"/>
        <w:numPr>
          <w:ilvl w:val="0"/>
          <w:numId w:val="2"/>
        </w:numPr>
        <w:spacing w:before="40" w:after="40"/>
      </w:pPr>
      <w:r>
        <w:rPr>
          <w:rFonts w:ascii="Arial" w:cs="Arial" w:eastAsia="Arial" w:hAnsi="Arial"/>
          <w:sz w:val="20"/>
          <w:szCs w:val="20"/>
        </w:rPr>
        <w:t xml:space="preserve">Organizations coordinate more effectively across service pathways</w:t>
      </w:r>
    </w:p>
    <w:p>
      <w:r>
        <w:rPr>
          <w:rFonts w:ascii="Arial" w:cs="Arial" w:eastAsia="Arial" w:hAnsi="Arial"/>
          <w:sz w:val="10"/>
          <w:szCs w:val="10"/>
        </w:rPr>
        <w:t xml:space="preserve"/>
      </w:r>
    </w:p>
    <w:p>
      <w:pPr>
        <w:pStyle w:val="Heading2"/>
        <w:spacing w:before="240" w:after="80"/>
      </w:pPr>
      <w:r>
        <w:rPr>
          <w:rFonts w:ascii="Arial" w:cs="Arial" w:eastAsia="Arial" w:hAnsi="Arial"/>
          <w:b/>
          <w:bCs/>
          <w:color w:val="2E5090"/>
          <w:sz w:val="24"/>
          <w:szCs w:val="24"/>
        </w:rPr>
        <w:t xml:space="preserve">Example Ideas Hackathon Teams Might Create</w:t>
      </w:r>
    </w:p>
    <w:p>
      <w:pPr>
        <w:spacing w:before="60" w:after="60"/>
      </w:pPr>
      <w:r>
        <w:rPr>
          <w:rFonts w:ascii="Arial" w:cs="Arial" w:eastAsia="Arial" w:hAnsi="Arial"/>
          <w:b/>
          <w:bCs/>
          <w:sz w:val="20"/>
          <w:szCs w:val="20"/>
        </w:rPr>
        <w:t xml:space="preserve">Next-Generation Help1RVA Interface:</w:t>
      </w:r>
    </w:p>
    <w:p>
      <w:pPr>
        <w:spacing w:before="60" w:after="60"/>
      </w:pPr>
      <w:r>
        <w:rPr>
          <w:rFonts w:ascii="Arial" w:cs="Arial" w:eastAsia="Arial" w:hAnsi="Arial"/>
          <w:sz w:val="20"/>
          <w:szCs w:val="20"/>
        </w:rPr>
        <w:t xml:space="preserve">A redesigned, multilingual interface for Help1RVA that makes it easier for residents to discover services safely and anonymously — using voice navigation, audio explanations, and culturally informed translations to address literacy and language barriers.</w:t>
      </w:r>
    </w:p>
    <w:p>
      <w:r>
        <w:rPr>
          <w:rFonts w:ascii="Arial" w:cs="Arial" w:eastAsia="Arial" w:hAnsi="Arial"/>
          <w:sz w:val="10"/>
          <w:szCs w:val="10"/>
        </w:rPr>
        <w:t xml:space="preserve"/>
      </w:r>
    </w:p>
    <w:p>
      <w:pPr>
        <w:spacing w:before="60" w:after="60"/>
      </w:pPr>
      <w:r>
        <w:rPr>
          <w:rFonts w:ascii="Arial" w:cs="Arial" w:eastAsia="Arial" w:hAnsi="Arial"/>
          <w:b/>
          <w:bCs/>
          <w:sz w:val="20"/>
          <w:szCs w:val="20"/>
        </w:rPr>
        <w:t xml:space="preserve">Trusted Community Messenger Tool:</w:t>
      </w:r>
    </w:p>
    <w:p>
      <w:pPr>
        <w:spacing w:before="60" w:after="60"/>
      </w:pPr>
      <w:r>
        <w:rPr>
          <w:rFonts w:ascii="Arial" w:cs="Arial" w:eastAsia="Arial" w:hAnsi="Arial"/>
          <w:sz w:val="20"/>
          <w:szCs w:val="20"/>
        </w:rPr>
        <w:t xml:space="preserve">A system that distributes verified service information through trusted channels such as WhatsApp, SMS, community leaders, or faith organizations — helping residents access information through sources they already trust rather than only through City websites.</w:t>
      </w:r>
    </w:p>
    <w:p>
      <w:r>
        <w:rPr>
          <w:rFonts w:ascii="Arial" w:cs="Arial" w:eastAsia="Arial" w:hAnsi="Arial"/>
          <w:sz w:val="10"/>
          <w:szCs w:val="10"/>
        </w:rPr>
        <w:t xml:space="preserve"/>
      </w:r>
    </w:p>
    <w:p>
      <w:pPr>
        <w:spacing w:before="60" w:after="60"/>
      </w:pPr>
      <w:r>
        <w:rPr>
          <w:rFonts w:ascii="Arial" w:cs="Arial" w:eastAsia="Arial" w:hAnsi="Arial"/>
          <w:b/>
          <w:bCs/>
          <w:sz w:val="20"/>
          <w:szCs w:val="20"/>
        </w:rPr>
        <w:t xml:space="preserve">Privacy-First Help Connector:</w:t>
      </w:r>
    </w:p>
    <w:p>
      <w:pPr>
        <w:spacing w:before="60" w:after="60"/>
      </w:pPr>
      <w:r>
        <w:rPr>
          <w:rFonts w:ascii="Arial" w:cs="Arial" w:eastAsia="Arial" w:hAnsi="Arial"/>
          <w:sz w:val="20"/>
          <w:szCs w:val="20"/>
        </w:rPr>
        <w:t xml:space="preserve">A tool that allows residents to describe their needs anonymously and receive a curated list of relevant services without entering personal information, helping build trust before residents engage directly with organizations.</w:t>
      </w:r>
    </w:p>
    <w:p>
      <w:r>
        <w:rPr>
          <w:rFonts w:ascii="Arial" w:cs="Arial" w:eastAsia="Arial" w:hAnsi="Arial"/>
          <w:sz w:val="10"/>
          <w:szCs w:val="10"/>
        </w:rPr>
        <w:t xml:space="preserve"/>
      </w:r>
    </w:p>
    <w:p>
      <w:pPr>
        <w:pStyle w:val="Heading2"/>
        <w:spacing w:before="240" w:after="80"/>
      </w:pPr>
      <w:r>
        <w:rPr>
          <w:rFonts w:ascii="Arial" w:cs="Arial" w:eastAsia="Arial" w:hAnsi="Arial"/>
          <w:b/>
          <w:bCs/>
          <w:color w:val="2E5090"/>
          <w:sz w:val="24"/>
          <w:szCs w:val="24"/>
        </w:rPr>
        <w:t xml:space="preserve">Detailed Rubric 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580"/>
        <w:gridCol w:w="7480"/>
      </w:tblGrid>
      <w:tr>
        <w:trPr>
          <w:tblHeader/>
        </w:trPr>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Dimension</w:t>
            </w:r>
          </w:p>
        </w:tc>
        <w:tc>
          <w:tcPr>
            <w:tcW w:type="dxa" w:w="5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Score</w:t>
            </w:r>
          </w:p>
        </w:tc>
        <w:tc>
          <w:tcPr>
            <w:tcW w:type="dxa" w:w="7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Rationale</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D1: Clarity</w:t>
            </w:r>
          </w:p>
        </w:tc>
        <w:tc>
          <w:tcPr>
            <w:tcW w:type="dxa" w:w="580"/>
            <w:tcBorders>
              <w:top w:val="single" w:color="CCCCCC" w:sz="1"/>
              <w:left w:val="single" w:color="CCCCCC" w:sz="1"/>
              <w:bottom w:val="single" w:color="CCCCCC" w:sz="1"/>
              <w:right w:val="single" w:color="CCCCCC" w:sz="1"/>
            </w:tcBorders>
            <w:shd w:fill="DAEEF3"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4</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Concrete: residents must repeat their story across disconnected agencies. Immediately recognizable.</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D2: Scope</w:t>
            </w:r>
          </w:p>
        </w:tc>
        <w:tc>
          <w:tcPr>
            <w:tcW w:type="dxa" w:w="5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2</w:t>
            </w:r>
          </w:p>
        </w:tc>
        <w:tc>
          <w:tcPr>
            <w:tcW w:type="dxa" w:w="7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Cross-agency interoperability challenge. Building something that prevents story repetition requires integration across Social Services, Housing, workforce programs, and nonprofits — each with separate systems. A weekend team can prototype a concept but the core problem is structural.</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D3: Data</w:t>
            </w:r>
          </w:p>
        </w:tc>
        <w:tc>
          <w:tcPr>
            <w:tcW w:type="dxa" w:w="5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1</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No data provided. The systems involved (Social Services intake, Housing programs, workforce databases) are internal and likely protected by HIPAA and PII rules. No alternative (training data, mock data, API documentation) offered.</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D4: Champion</w:t>
            </w:r>
          </w:p>
        </w:tc>
        <w:tc>
          <w:tcPr>
            <w:tcW w:type="dxa" w:w="5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2</w:t>
            </w:r>
          </w:p>
        </w:tc>
        <w:tc>
          <w:tcPr>
            <w:tcW w:type="dxa" w:w="7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Multiple agencies listed but no named champion.</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D5: Population</w:t>
            </w:r>
          </w:p>
        </w:tc>
        <w:tc>
          <w:tcPr>
            <w:tcW w:type="dxa" w:w="580"/>
            <w:tcBorders>
              <w:top w:val="single" w:color="CCCCCC" w:sz="1"/>
              <w:left w:val="single" w:color="CCCCCC" w:sz="1"/>
              <w:bottom w:val="single" w:color="CCCCCC" w:sz="1"/>
              <w:right w:val="single" w:color="CCCCCC" w:sz="1"/>
            </w:tcBorders>
            <w:shd w:fill="DAEEF3"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4</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Clear: residents navigating housing stability, workforce support, or reentry services.</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D6: Environment</w:t>
            </w:r>
          </w:p>
        </w:tc>
        <w:tc>
          <w:tcPr>
            <w:tcW w:type="dxa" w:w="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3</w:t>
            </w:r>
          </w:p>
        </w:tc>
        <w:tc>
          <w:tcPr>
            <w:tcW w:type="dxa" w:w="7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Good constraints (HIPAA, PII, no technology overhaul, must support human case managers). Missing: what systems agencies actually use, what current intake looks like.</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D7: Success</w:t>
            </w:r>
          </w:p>
        </w:tc>
        <w:tc>
          <w:tcPr>
            <w:tcW w:type="dxa" w:w="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3</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Clear and practical. Output type not specified.</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D8: Accessibility</w:t>
            </w:r>
          </w:p>
        </w:tc>
        <w:tc>
          <w:tcPr>
            <w:tcW w:type="dxa" w:w="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3</w:t>
            </w:r>
          </w:p>
        </w:tc>
        <w:tc>
          <w:tcPr>
            <w:tcW w:type="dxa" w:w="7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Service design, user research, and intake workflow mapping create roles for non-coders.</w:t>
            </w:r>
          </w:p>
        </w:tc>
      </w:tr>
    </w:tbl>
    <w:p>
      <w:r>
        <w:rPr>
          <w:rFonts w:ascii="Arial" w:cs="Arial" w:eastAsia="Arial" w:hAnsi="Arial"/>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9B2335" w:sz="14"/>
              <w:bottom w:val="single" w:color="CCCCCC" w:sz="1"/>
              <w:right w:val="single" w:color="CCCCCC" w:sz="1"/>
            </w:tcBorders>
            <w:shd w:fill="FCE4D6" w:val="clear"/>
            <w:tcMar>
              <w:top w:type="dxa" w:w="80"/>
              <w:left w:type="dxa" w:w="160"/>
              <w:bottom w:type="dxa" w:w="80"/>
              <w:right w:type="dxa" w:w="120"/>
            </w:tcMar>
          </w:tcPr>
          <w:p>
            <w:r>
              <w:rPr>
                <w:rFonts w:ascii="Arial" w:cs="Arial" w:eastAsia="Arial" w:hAnsi="Arial"/>
                <w:b/>
                <w:bCs/>
                <w:color w:val="9B2335"/>
                <w:sz w:val="18"/>
                <w:szCs w:val="18"/>
              </w:rPr>
              <w:t xml:space="preserve">⚑  Quick-Kill Flags</w:t>
            </w:r>
          </w:p>
          <w:p>
            <w:pPr>
              <w:spacing w:before="30" w:after="30"/>
            </w:pPr>
            <w:r>
              <w:rPr>
                <w:rFonts w:ascii="Arial" w:cs="Arial" w:eastAsia="Arial" w:hAnsi="Arial"/>
                <w:color w:val="7B1818"/>
                <w:sz w:val="18"/>
                <w:szCs w:val="18"/>
              </w:rPr>
              <w:t xml:space="preserve">• Missing continuation pathway — no named individual committed to working with outputs.</w:t>
            </w:r>
          </w:p>
          <w:p>
            <w:pPr>
              <w:spacing w:before="30" w:after="30"/>
            </w:pPr>
            <w:r>
              <w:rPr>
                <w:rFonts w:ascii="Arial" w:cs="Arial" w:eastAsia="Arial" w:hAnsi="Arial"/>
                <w:color w:val="7B1818"/>
                <w:sz w:val="18"/>
                <w:szCs w:val="18"/>
              </w:rPr>
              <w:t xml:space="preserve">• Data readiness is critically low (D3=1) — systems are internal and protected by HIPAA and PII rules. No mock data, API documentation, or alternative offered.</w:t>
            </w:r>
          </w:p>
        </w:tc>
      </w:tr>
    </w:tbl>
    <w:p>
      <w:r>
        <w:rPr>
          <w:rFonts w:ascii="Arial" w:cs="Arial" w:eastAsia="Arial" w:hAnsi="Arial"/>
          <w:sz w:val="10"/>
          <w:szCs w:val="10"/>
        </w:rPr>
        <w:t xml:space="preserve"/>
      </w:r>
    </w:p>
    <w:p>
      <w:pPr>
        <w:pStyle w:val="Heading2"/>
        <w:spacing w:before="240" w:after="80"/>
      </w:pPr>
      <w:r>
        <w:rPr>
          <w:rFonts w:ascii="Arial" w:cs="Arial" w:eastAsia="Arial" w:hAnsi="Arial"/>
          <w:b/>
          <w:bCs/>
          <w:color w:val="2E5090"/>
          <w:sz w:val="24"/>
          <w:szCs w:val="24"/>
        </w:rPr>
        <w:t xml:space="preserve">Gap Analysis</w:t>
      </w:r>
    </w:p>
    <w:p>
      <w:pPr>
        <w:spacing w:before="60" w:after="60"/>
      </w:pPr>
      <w:r>
        <w:rPr>
          <w:rFonts w:ascii="Arial" w:cs="Arial" w:eastAsia="Arial" w:hAnsi="Arial"/>
          <w:b/>
          <w:bCs/>
          <w:sz w:val="20"/>
          <w:szCs w:val="20"/>
        </w:rPr>
        <w:t xml:space="preserve">Gap Analysis — Critical (D3=1)</w:t>
      </w:r>
    </w:p>
    <w:p>
      <w:pPr>
        <w:spacing w:before="60" w:after="60"/>
      </w:pPr>
      <w:r>
        <w:rPr>
          <w:rFonts w:ascii="Arial" w:cs="Arial" w:eastAsia="Arial" w:hAnsi="Arial"/>
          <w:sz w:val="20"/>
          <w:szCs w:val="20"/>
        </w:rPr>
        <w:t xml:space="preserve">This statement has one of the two lowest data readiness scores across all 12 targeted statements. Teams face an effective data wall.</w:t>
      </w:r>
    </w:p>
    <w:p>
      <w:r>
        <w:rPr>
          <w:rFonts w:ascii="Arial" w:cs="Arial" w:eastAsia="Arial" w:hAnsi="Arial"/>
          <w:sz w:val="10"/>
          <w:szCs w:val="10"/>
        </w:rPr>
        <w:t xml:space="preserve"/>
      </w:r>
    </w:p>
    <w:p>
      <w:pPr>
        <w:spacing w:before="60" w:after="60"/>
      </w:pPr>
      <w:r>
        <w:rPr>
          <w:rFonts w:ascii="Arial" w:cs="Arial" w:eastAsia="Arial" w:hAnsi="Arial"/>
          <w:b/>
          <w:bCs/>
          <w:sz w:val="20"/>
          <w:szCs w:val="20"/>
        </w:rPr>
        <w:t xml:space="preserve">Missing datasets:</w:t>
      </w:r>
    </w:p>
    <w:p>
      <w:pPr>
        <w:pStyle w:val="ListParagraph"/>
        <w:numPr>
          <w:ilvl w:val="0"/>
          <w:numId w:val="2"/>
        </w:numPr>
        <w:spacing w:before="40" w:after="40"/>
      </w:pPr>
      <w:r>
        <w:rPr>
          <w:rFonts w:ascii="Arial" w:cs="Arial" w:eastAsia="Arial" w:hAnsi="Arial"/>
          <w:sz w:val="20"/>
          <w:szCs w:val="20"/>
        </w:rPr>
        <w:t xml:space="preserve">A mock or anonymized intake dataset showing the structure of a cross-agency referral: fields, handoff points, eligibility criteria</w:t>
      </w:r>
    </w:p>
    <w:p>
      <w:pPr>
        <w:pStyle w:val="ListParagraph"/>
        <w:numPr>
          <w:ilvl w:val="0"/>
          <w:numId w:val="2"/>
        </w:numPr>
        <w:spacing w:before="40" w:after="40"/>
      </w:pPr>
      <w:r>
        <w:rPr>
          <w:rFonts w:ascii="Arial" w:cs="Arial" w:eastAsia="Arial" w:hAnsi="Arial"/>
          <w:sz w:val="20"/>
          <w:szCs w:val="20"/>
        </w:rPr>
        <w:t xml:space="preserve">A service directory export from Help1RVA / FindHelp / UniteUs showing categories, eligibility rules, and contact info — even a static snapshot</w:t>
      </w:r>
    </w:p>
    <w:p>
      <w:pPr>
        <w:pStyle w:val="ListParagraph"/>
        <w:numPr>
          <w:ilvl w:val="0"/>
          <w:numId w:val="2"/>
        </w:numPr>
        <w:spacing w:before="40" w:after="40"/>
      </w:pPr>
      <w:r>
        <w:rPr>
          <w:rFonts w:ascii="Arial" w:cs="Arial" w:eastAsia="Arial" w:hAnsi="Arial"/>
          <w:sz w:val="20"/>
          <w:szCs w:val="20"/>
        </w:rPr>
        <w:t xml:space="preserve">A process map showing how a resident currently moves between Social Services, Housing, workforce programs, and nonprofits</w:t>
      </w:r>
    </w:p>
    <w:p>
      <w:r>
        <w:rPr>
          <w:rFonts w:ascii="Arial" w:cs="Arial" w:eastAsia="Arial" w:hAnsi="Arial"/>
          <w:sz w:val="10"/>
          <w:szCs w:val="10"/>
        </w:rPr>
        <w:t xml:space="preserve"/>
      </w:r>
    </w:p>
    <w:p>
      <w:pPr>
        <w:spacing w:before="60" w:after="60"/>
      </w:pPr>
      <w:r>
        <w:rPr>
          <w:rFonts w:ascii="Arial" w:cs="Arial" w:eastAsia="Arial" w:hAnsi="Arial"/>
          <w:b/>
          <w:bCs/>
          <w:sz w:val="20"/>
          <w:szCs w:val="20"/>
        </w:rPr>
        <w:t xml:space="preserve">Missing process documentation (critical):</w:t>
      </w:r>
    </w:p>
    <w:p>
      <w:pPr>
        <w:spacing w:before="60" w:after="60"/>
      </w:pPr>
      <w:r>
        <w:rPr>
          <w:rFonts w:ascii="Arial" w:cs="Arial" w:eastAsia="Arial" w:hAnsi="Arial"/>
          <w:sz w:val="20"/>
          <w:szCs w:val="20"/>
        </w:rPr>
        <w:t xml:space="preserve">The referral pathway between Social Services, Housing, workforce programs, and nonprofits is not mapped. A workflow diagram showing handoff points and decision criteria would give teams a buildable foundation.</w:t>
      </w:r>
    </w:p>
    <w:p>
      <w:r>
        <w:rPr>
          <w:rFonts w:ascii="Arial" w:cs="Arial" w:eastAsia="Arial" w:hAnsi="Arial"/>
          <w:sz w:val="10"/>
          <w:szCs w:val="10"/>
        </w:rPr>
        <w:t xml:space="preserve"/>
      </w:r>
    </w:p>
    <w:p>
      <w:pPr>
        <w:spacing w:before="60" w:after="60"/>
      </w:pPr>
      <w:r>
        <w:rPr>
          <w:rFonts w:ascii="Arial" w:cs="Arial" w:eastAsia="Arial" w:hAnsi="Arial"/>
          <w:b/>
          <w:bCs/>
          <w:sz w:val="20"/>
          <w:szCs w:val="20"/>
        </w:rPr>
        <w:t xml:space="preserve">Other gaps:</w:t>
      </w:r>
    </w:p>
    <w:p>
      <w:pPr>
        <w:pStyle w:val="ListParagraph"/>
        <w:numPr>
          <w:ilvl w:val="0"/>
          <w:numId w:val="2"/>
        </w:numPr>
        <w:spacing w:before="40" w:after="40"/>
      </w:pPr>
      <w:r>
        <w:rPr>
          <w:rFonts w:ascii="Arial" w:cs="Arial" w:eastAsia="Arial" w:hAnsi="Arial"/>
          <w:sz w:val="20"/>
          <w:szCs w:val="20"/>
        </w:rPr>
        <w:t xml:space="preserve">Agency systems currently in use: undocumented</w:t>
      </w:r>
    </w:p>
    <w:p>
      <w:pPr>
        <w:pStyle w:val="ListParagraph"/>
        <w:numPr>
          <w:ilvl w:val="0"/>
          <w:numId w:val="2"/>
        </w:numPr>
        <w:spacing w:before="40" w:after="40"/>
      </w:pPr>
      <w:r>
        <w:rPr>
          <w:rFonts w:ascii="Arial" w:cs="Arial" w:eastAsia="Arial" w:hAnsi="Arial"/>
          <w:sz w:val="20"/>
          <w:szCs w:val="20"/>
        </w:rPr>
        <w:t xml:space="preserve">Current intake experience in practice: undocumented</w:t>
      </w:r>
    </w:p>
    <w:p>
      <w:pPr>
        <w:pStyle w:val="ListParagraph"/>
        <w:numPr>
          <w:ilvl w:val="0"/>
          <w:numId w:val="2"/>
        </w:numPr>
        <w:spacing w:before="40" w:after="40"/>
      </w:pPr>
      <w:r>
        <w:rPr>
          <w:rFonts w:ascii="Arial" w:cs="Arial" w:eastAsia="Arial" w:hAnsi="Arial"/>
          <w:sz w:val="20"/>
          <w:szCs w:val="20"/>
        </w:rPr>
        <w:t xml:space="preserve">Output type unspecified</w:t>
      </w:r>
    </w:p>
    <w:p>
      <w:r>
        <w:rPr>
          <w:rFonts w:ascii="Arial" w:cs="Arial" w:eastAsia="Arial" w:hAnsi="Arial"/>
          <w:sz w:val="10"/>
          <w:szCs w:val="10"/>
        </w:rPr>
        <w:t xml:space="preserve"/>
      </w:r>
    </w:p>
    <w:p>
      <w:r>
        <w:br w:type="page"/>
      </w:r>
    </w:p>
    <w:p>
      <w:pPr>
        <w:pStyle w:val="Heading1"/>
        <w:spacing w:before="320" w:after="100"/>
      </w:pPr>
      <w:r>
        <w:rPr>
          <w:rFonts w:ascii="Arial" w:cs="Arial" w:eastAsia="Arial" w:hAnsi="Arial"/>
          <w:b/>
          <w:bCs/>
          <w:color w:val="1F3864"/>
          <w:sz w:val="28"/>
          <w:szCs w:val="28"/>
        </w:rPr>
        <w:t xml:space="preserve">Blue Sky Problem Statements</w:t>
      </w:r>
    </w:p>
    <w:p>
      <w:pPr>
        <w:pBdr>
          <w:bottom w:val="single" w:color="9B2335" w:sz="6" w:space="1"/>
        </w:pBdr>
        <w:spacing w:before="60" w:after="60"/>
      </w:pPr>
      <w:r>
        <w:rPr>
          <w:rFonts w:ascii="Arial" w:cs="Arial" w:eastAsia="Arial" w:hAnsi="Arial"/>
        </w:rPr>
        <w:t xml:space="preserve"/>
      </w:r>
    </w:p>
    <w:p>
      <w:pPr>
        <w:pStyle w:val="Heading2"/>
        <w:spacing w:before="240" w:after="80"/>
      </w:pPr>
      <w:r>
        <w:rPr>
          <w:rFonts w:ascii="Arial" w:cs="Arial" w:eastAsia="Arial" w:hAnsi="Arial"/>
          <w:b/>
          <w:bCs/>
          <w:color w:val="2E5090"/>
          <w:sz w:val="24"/>
          <w:szCs w:val="24"/>
        </w:rPr>
        <w:t xml:space="preserve">A City Where Everyone Knows Where to Turn for Help — 20/27 (Strong)</w:t>
      </w:r>
    </w:p>
    <w:p>
      <w:pPr>
        <w:spacing w:before="60" w:after="60"/>
      </w:pPr>
      <w:r>
        <w:rPr>
          <w:rFonts w:ascii="Arial" w:cs="Arial" w:eastAsia="Arial" w:hAnsi="Arial"/>
          <w:sz w:val="20"/>
          <w:szCs w:val="20"/>
        </w:rPr>
        <w:t xml:space="preserve">How might we create a system where any Richmond resident — regardless of language, background, or familiarity with City services — can easily find the right help through a single trusted entry point?</w:t>
      </w:r>
    </w:p>
    <w:p>
      <w:r>
        <w:rPr>
          <w:rFonts w:ascii="Arial" w:cs="Arial" w:eastAsia="Arial" w:hAnsi="Arial"/>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580"/>
        <w:gridCol w:w="7480"/>
      </w:tblGrid>
      <w:tr>
        <w:trPr>
          <w:tblHeader/>
        </w:trPr>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Dimension</w:t>
            </w:r>
          </w:p>
        </w:tc>
        <w:tc>
          <w:tcPr>
            <w:tcW w:type="dxa" w:w="5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Score</w:t>
            </w:r>
          </w:p>
        </w:tc>
        <w:tc>
          <w:tcPr>
            <w:tcW w:type="dxa" w:w="7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Rationale</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D1</w:t>
            </w:r>
          </w:p>
        </w:tc>
        <w:tc>
          <w:tcPr>
            <w:tcW w:type="dxa" w:w="580"/>
            <w:tcBorders>
              <w:top w:val="single" w:color="CCCCCC" w:sz="1"/>
              <w:left w:val="single" w:color="CCCCCC" w:sz="1"/>
              <w:bottom w:val="single" w:color="CCCCCC" w:sz="1"/>
              <w:right w:val="single" w:color="CCCCCC" w:sz="1"/>
            </w:tcBorders>
            <w:shd w:fill="DAEEF3"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4</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Clear: residents can’t find the right help. "Single trusted entry point" crystallizes the aspiration.</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D2</w:t>
            </w:r>
          </w:p>
        </w:tc>
        <w:tc>
          <w:tcPr>
            <w:tcW w:type="dxa" w:w="5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2</w:t>
            </w:r>
          </w:p>
        </w:tc>
        <w:tc>
          <w:tcPr>
            <w:tcW w:type="dxa" w:w="7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"Any resident," "any service," "single entry point" — entire service delivery apparatus.</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D3</w:t>
            </w:r>
          </w:p>
        </w:tc>
        <w:tc>
          <w:tcPr>
            <w:tcW w:type="dxa" w:w="5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1</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No data referenced. Help1RVA exists but isn’t mentioned.</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D4</w:t>
            </w:r>
          </w:p>
        </w:tc>
        <w:tc>
          <w:tcPr>
            <w:tcW w:type="dxa" w:w="5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1</w:t>
            </w:r>
          </w:p>
        </w:tc>
        <w:tc>
          <w:tcPr>
            <w:tcW w:type="dxa" w:w="7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No stakeholder area named.</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D5</w:t>
            </w:r>
          </w:p>
        </w:tc>
        <w:tc>
          <w:tcPr>
            <w:tcW w:type="dxa" w:w="580"/>
            <w:tcBorders>
              <w:top w:val="single" w:color="CCCCCC" w:sz="1"/>
              <w:left w:val="single" w:color="CCCCCC" w:sz="1"/>
              <w:bottom w:val="single" w:color="CCCCCC" w:sz="1"/>
              <w:right w:val="single" w:color="CCCCCC" w:sz="1"/>
            </w:tcBorders>
            <w:shd w:fill="DAEEF3"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4</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"Any Richmond resident" with explicit equity qualifiers.</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D6</w:t>
            </w:r>
          </w:p>
        </w:tc>
        <w:tc>
          <w:tcPr>
            <w:tcW w:type="dxa" w:w="5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2</w:t>
            </w:r>
          </w:p>
        </w:tc>
        <w:tc>
          <w:tcPr>
            <w:tcW w:type="dxa" w:w="7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Implies real access barriers without describing them.</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D7</w:t>
            </w:r>
          </w:p>
        </w:tc>
        <w:tc>
          <w:tcPr>
            <w:tcW w:type="dxa" w:w="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3</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"Easily find the right help through a single trusted entry point" — specific directional framing.</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D8</w:t>
            </w:r>
          </w:p>
        </w:tc>
        <w:tc>
          <w:tcPr>
            <w:tcW w:type="dxa" w:w="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3</w:t>
            </w:r>
          </w:p>
        </w:tc>
        <w:tc>
          <w:tcPr>
            <w:tcW w:type="dxa" w:w="7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Translation, community engagement, service mapping, UX — broad entry points.</w:t>
            </w:r>
          </w:p>
        </w:tc>
      </w:tr>
    </w:tbl>
    <w:p>
      <w:r>
        <w:rPr>
          <w:rFonts w:ascii="Arial" w:cs="Arial" w:eastAsia="Arial" w:hAnsi="Arial"/>
          <w:sz w:val="10"/>
          <w:szCs w:val="10"/>
        </w:rPr>
        <w:t xml:space="preserve"/>
      </w:r>
    </w:p>
    <w:p>
      <w:pPr>
        <w:pStyle w:val="Heading2"/>
        <w:spacing w:before="240" w:after="80"/>
      </w:pPr>
      <w:r>
        <w:rPr>
          <w:rFonts w:ascii="Arial" w:cs="Arial" w:eastAsia="Arial" w:hAnsi="Arial"/>
          <w:b/>
          <w:bCs/>
          <w:color w:val="2E5090"/>
          <w:sz w:val="24"/>
          <w:szCs w:val="24"/>
        </w:rPr>
        <w:t xml:space="preserve">A Community Support Network That Works Like a Care Team — 17/27 (Needs work)</w:t>
      </w:r>
    </w:p>
    <w:p>
      <w:pPr>
        <w:spacing w:before="60" w:after="60"/>
      </w:pPr>
      <w:r>
        <w:rPr>
          <w:rFonts w:ascii="Arial" w:cs="Arial" w:eastAsia="Arial" w:hAnsi="Arial"/>
          <w:sz w:val="20"/>
          <w:szCs w:val="20"/>
        </w:rPr>
        <w:t xml:space="preserve">How might we create a coordinated support ecosystem where residents, nonprofits, volunteers, and City agencies work together seamlessly to guide people toward the help they need?</w:t>
      </w:r>
    </w:p>
    <w:p>
      <w:r>
        <w:rPr>
          <w:rFonts w:ascii="Arial" w:cs="Arial" w:eastAsia="Arial" w:hAnsi="Arial"/>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580"/>
        <w:gridCol w:w="7480"/>
      </w:tblGrid>
      <w:tr>
        <w:trPr>
          <w:tblHeader/>
        </w:trPr>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Dimension</w:t>
            </w:r>
          </w:p>
        </w:tc>
        <w:tc>
          <w:tcPr>
            <w:tcW w:type="dxa" w:w="5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Score</w:t>
            </w:r>
          </w:p>
        </w:tc>
        <w:tc>
          <w:tcPr>
            <w:tcW w:type="dxa" w:w="7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Rationale</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D1</w:t>
            </w:r>
          </w:p>
        </w:tc>
        <w:tc>
          <w:tcPr>
            <w:tcW w:type="dxa" w:w="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3</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Problem implied (support is uncoordinated) rather than stated. Describes desired state more than broken current state.</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D2</w:t>
            </w:r>
          </w:p>
        </w:tc>
        <w:tc>
          <w:tcPr>
            <w:tcW w:type="dxa" w:w="5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2</w:t>
            </w:r>
          </w:p>
        </w:tc>
        <w:tc>
          <w:tcPr>
            <w:tcW w:type="dxa" w:w="7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Systems-level transformation.</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D3</w:t>
            </w:r>
          </w:p>
        </w:tc>
        <w:tc>
          <w:tcPr>
            <w:tcW w:type="dxa" w:w="5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1</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No data referenced.</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D4</w:t>
            </w:r>
          </w:p>
        </w:tc>
        <w:tc>
          <w:tcPr>
            <w:tcW w:type="dxa" w:w="5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2</w:t>
            </w:r>
          </w:p>
        </w:tc>
        <w:tc>
          <w:tcPr>
            <w:tcW w:type="dxa" w:w="7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Multiple actor types named.</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D5</w:t>
            </w:r>
          </w:p>
        </w:tc>
        <w:tc>
          <w:tcPr>
            <w:tcW w:type="dxa" w:w="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3</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"People" who need help — broad.</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D6</w:t>
            </w:r>
          </w:p>
        </w:tc>
        <w:tc>
          <w:tcPr>
            <w:tcW w:type="dxa" w:w="5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1</w:t>
            </w:r>
          </w:p>
        </w:tc>
        <w:tc>
          <w:tcPr>
            <w:tcW w:type="dxa" w:w="7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No constraints or context.</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D7</w:t>
            </w:r>
          </w:p>
        </w:tc>
        <w:tc>
          <w:tcPr>
            <w:tcW w:type="dxa" w:w="5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2</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"Work together seamlessly" — aspirational but no practical framing.</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D8</w:t>
            </w:r>
          </w:p>
        </w:tc>
        <w:tc>
          <w:tcPr>
            <w:tcW w:type="dxa" w:w="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3</w:t>
            </w:r>
          </w:p>
        </w:tc>
        <w:tc>
          <w:tcPr>
            <w:tcW w:type="dxa" w:w="7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Coordination design, nonprofit outreach, volunteer management — multiple roles.</w:t>
            </w:r>
          </w:p>
        </w:tc>
      </w:tr>
    </w:tbl>
    <w:p>
      <w:r>
        <w:rPr>
          <w:rFonts w:ascii="Arial" w:cs="Arial" w:eastAsia="Arial" w:hAnsi="Arial"/>
          <w:sz w:val="10"/>
          <w:szCs w:val="10"/>
        </w:rPr>
        <w:t xml:space="preserve"/>
      </w:r>
    </w:p>
    <w:p>
      <w:pPr>
        <w:pStyle w:val="Heading2"/>
        <w:spacing w:before="240" w:after="80"/>
      </w:pPr>
      <w:r>
        <w:rPr>
          <w:rFonts w:ascii="Arial" w:cs="Arial" w:eastAsia="Arial" w:hAnsi="Arial"/>
          <w:b/>
          <w:bCs/>
          <w:color w:val="2E5090"/>
          <w:sz w:val="24"/>
          <w:szCs w:val="24"/>
        </w:rPr>
        <w:t xml:space="preserve">A City That Makes Every Resident Feel Seen and Supported — 17/27 (Needs work)</w:t>
      </w:r>
    </w:p>
    <w:p>
      <w:pPr>
        <w:spacing w:before="60" w:after="60"/>
      </w:pPr>
      <w:r>
        <w:rPr>
          <w:rFonts w:ascii="Arial" w:cs="Arial" w:eastAsia="Arial" w:hAnsi="Arial"/>
          <w:sz w:val="20"/>
          <w:szCs w:val="20"/>
        </w:rPr>
        <w:t xml:space="preserve">How might technology help Richmond residents feel less alone in their struggles by making support resources visible, accessible, and culturally responsive?</w:t>
      </w:r>
    </w:p>
    <w:p>
      <w:r>
        <w:rPr>
          <w:rFonts w:ascii="Arial" w:cs="Arial" w:eastAsia="Arial" w:hAnsi="Arial"/>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580"/>
        <w:gridCol w:w="7480"/>
      </w:tblGrid>
      <w:tr>
        <w:trPr>
          <w:tblHeader/>
        </w:trPr>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Dimension</w:t>
            </w:r>
          </w:p>
        </w:tc>
        <w:tc>
          <w:tcPr>
            <w:tcW w:type="dxa" w:w="5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Score</w:t>
            </w:r>
          </w:p>
        </w:tc>
        <w:tc>
          <w:tcPr>
            <w:tcW w:type="dxa" w:w="7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Rationale</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D1</w:t>
            </w:r>
          </w:p>
        </w:tc>
        <w:tc>
          <w:tcPr>
            <w:tcW w:type="dxa" w:w="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3</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Emotionally resonant ("feel less alone") but problem stated in experiential rather than structural terms.</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D2</w:t>
            </w:r>
          </w:p>
        </w:tc>
        <w:tc>
          <w:tcPr>
            <w:tcW w:type="dxa" w:w="5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2</w:t>
            </w:r>
          </w:p>
        </w:tc>
        <w:tc>
          <w:tcPr>
            <w:tcW w:type="dxa" w:w="7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All support resources, all residents, all cultural contexts.</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D3</w:t>
            </w:r>
          </w:p>
        </w:tc>
        <w:tc>
          <w:tcPr>
            <w:tcW w:type="dxa" w:w="5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1</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No data referenced.</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D4</w:t>
            </w:r>
          </w:p>
        </w:tc>
        <w:tc>
          <w:tcPr>
            <w:tcW w:type="dxa" w:w="5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1</w:t>
            </w:r>
          </w:p>
        </w:tc>
        <w:tc>
          <w:tcPr>
            <w:tcW w:type="dxa" w:w="7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No stakeholder area named.</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D5</w:t>
            </w:r>
          </w:p>
        </w:tc>
        <w:tc>
          <w:tcPr>
            <w:tcW w:type="dxa" w:w="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3</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Implies vulnerable populations but doesn’t name them.</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D6</w:t>
            </w:r>
          </w:p>
        </w:tc>
        <w:tc>
          <w:tcPr>
            <w:tcW w:type="dxa" w:w="5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2</w:t>
            </w:r>
          </w:p>
        </w:tc>
        <w:tc>
          <w:tcPr>
            <w:tcW w:type="dxa" w:w="7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"Culturally responsive" gestures at a real constraint.</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D7</w:t>
            </w:r>
          </w:p>
        </w:tc>
        <w:tc>
          <w:tcPr>
            <w:tcW w:type="dxa" w:w="5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2</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Directional but abstract.</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D8</w:t>
            </w:r>
          </w:p>
        </w:tc>
        <w:tc>
          <w:tcPr>
            <w:tcW w:type="dxa" w:w="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3</w:t>
            </w:r>
          </w:p>
        </w:tc>
        <w:tc>
          <w:tcPr>
            <w:tcW w:type="dxa" w:w="7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Cultural competency, translation, community engagement, design — multiple entry points.</w:t>
            </w:r>
          </w:p>
        </w:tc>
      </w:tr>
    </w:tbl>
    <w:p>
      <w:r>
        <w:rPr>
          <w:rFonts w:ascii="Arial" w:cs="Arial" w:eastAsia="Arial" w:hAnsi="Arial"/>
          <w:sz w:val="10"/>
          <w:szCs w:val="10"/>
        </w:rPr>
        <w:t xml:space="preserve"/>
      </w:r>
    </w:p>
    <w:p>
      <w:pPr>
        <w:pStyle w:val="Heading2"/>
        <w:spacing w:before="240" w:after="80"/>
      </w:pPr>
      <w:r>
        <w:rPr>
          <w:rFonts w:ascii="Arial" w:cs="Arial" w:eastAsia="Arial" w:hAnsi="Arial"/>
          <w:b/>
          <w:bCs/>
          <w:color w:val="2E5090"/>
          <w:sz w:val="24"/>
          <w:szCs w:val="24"/>
        </w:rPr>
        <w:t xml:space="preserve">Universal Access to City Services — 21/27 (Strong)</w:t>
      </w:r>
    </w:p>
    <w:p>
      <w:pPr>
        <w:spacing w:before="60" w:after="60"/>
      </w:pPr>
      <w:r>
        <w:rPr>
          <w:rFonts w:ascii="Arial" w:cs="Arial" w:eastAsia="Arial" w:hAnsi="Arial"/>
          <w:sz w:val="20"/>
          <w:szCs w:val="20"/>
        </w:rPr>
        <w:t xml:space="preserve">How might we ensure every Richmond resident — regardless of language, literacy, or digital access — can easily discover, understand, and use the services available to them?</w:t>
      </w:r>
    </w:p>
    <w:p>
      <w:r>
        <w:rPr>
          <w:rFonts w:ascii="Arial" w:cs="Arial" w:eastAsia="Arial" w:hAnsi="Arial"/>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580"/>
        <w:gridCol w:w="7480"/>
      </w:tblGrid>
      <w:tr>
        <w:trPr>
          <w:tblHeader/>
        </w:trPr>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Dimension</w:t>
            </w:r>
          </w:p>
        </w:tc>
        <w:tc>
          <w:tcPr>
            <w:tcW w:type="dxa" w:w="5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Score</w:t>
            </w:r>
          </w:p>
        </w:tc>
        <w:tc>
          <w:tcPr>
            <w:tcW w:type="dxa" w:w="7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Rationale</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D1</w:t>
            </w:r>
          </w:p>
        </w:tc>
        <w:tc>
          <w:tcPr>
            <w:tcW w:type="dxa" w:w="580"/>
            <w:tcBorders>
              <w:top w:val="single" w:color="CCCCCC" w:sz="1"/>
              <w:left w:val="single" w:color="CCCCCC" w:sz="1"/>
              <w:bottom w:val="single" w:color="CCCCCC" w:sz="1"/>
              <w:right w:val="single" w:color="CCCCCC" w:sz="1"/>
            </w:tcBorders>
            <w:shd w:fill="DAEEF3"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4</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Clear and well-structured: barriers explicitly named (language, literacy, digital access). Three verbs map a user journey.</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D2</w:t>
            </w:r>
          </w:p>
        </w:tc>
        <w:tc>
          <w:tcPr>
            <w:tcW w:type="dxa" w:w="5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2</w:t>
            </w:r>
          </w:p>
        </w:tc>
        <w:tc>
          <w:tcPr>
            <w:tcW w:type="dxa" w:w="7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"Every service" for "every resident" — broad by design.</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D3</w:t>
            </w:r>
          </w:p>
        </w:tc>
        <w:tc>
          <w:tcPr>
            <w:tcW w:type="dxa" w:w="5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1</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No data referenced.</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D4</w:t>
            </w:r>
          </w:p>
        </w:tc>
        <w:tc>
          <w:tcPr>
            <w:tcW w:type="dxa" w:w="5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1</w:t>
            </w:r>
          </w:p>
        </w:tc>
        <w:tc>
          <w:tcPr>
            <w:tcW w:type="dxa" w:w="7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No stakeholder area named.</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D5</w:t>
            </w:r>
          </w:p>
        </w:tc>
        <w:tc>
          <w:tcPr>
            <w:tcW w:type="dxa" w:w="580"/>
            <w:tcBorders>
              <w:top w:val="single" w:color="CCCCCC" w:sz="1"/>
              <w:left w:val="single" w:color="CCCCCC" w:sz="1"/>
              <w:bottom w:val="single" w:color="CCCCCC" w:sz="1"/>
              <w:right w:val="single" w:color="CCCCCC" w:sz="1"/>
            </w:tcBorders>
            <w:shd w:fill="DAEEF3"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4</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"Every Richmond resident" with explicit equity qualifiers.</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D6</w:t>
            </w:r>
          </w:p>
        </w:tc>
        <w:tc>
          <w:tcPr>
            <w:tcW w:type="dxa" w:w="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3</w:t>
            </w:r>
          </w:p>
        </w:tc>
        <w:tc>
          <w:tcPr>
            <w:tcW w:type="dxa" w:w="7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The three barriers named are themselves operating environment constraints. Most context-aware blue sky statement in this pillar.</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D7</w:t>
            </w:r>
          </w:p>
        </w:tc>
        <w:tc>
          <w:tcPr>
            <w:tcW w:type="dxa" w:w="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3</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"Discover, understand, and use" — specific three-step definition.</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D8</w:t>
            </w:r>
          </w:p>
        </w:tc>
        <w:tc>
          <w:tcPr>
            <w:tcW w:type="dxa" w:w="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3</w:t>
            </w:r>
          </w:p>
        </w:tc>
        <w:tc>
          <w:tcPr>
            <w:tcW w:type="dxa" w:w="7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Accessibility design, translation, community testing, plain-language writing — strong non-technical entry points.</w:t>
            </w:r>
          </w:p>
        </w:tc>
      </w:tr>
    </w:tbl>
    <w:p>
      <w:r>
        <w:rPr>
          <w:rFonts w:ascii="Arial" w:cs="Arial" w:eastAsia="Arial" w:hAnsi="Arial"/>
          <w:sz w:val="10"/>
          <w:szCs w:val="10"/>
        </w:rPr>
        <w:t xml:space="preserve"/>
      </w:r>
    </w:p>
    <w:p>
      <w:pPr>
        <w:pStyle w:val="Heading2"/>
        <w:spacing w:before="240" w:after="80"/>
      </w:pPr>
      <w:r>
        <w:rPr>
          <w:rFonts w:ascii="Arial" w:cs="Arial" w:eastAsia="Arial" w:hAnsi="Arial"/>
          <w:b/>
          <w:bCs/>
          <w:color w:val="2E5090"/>
          <w:sz w:val="24"/>
          <w:szCs w:val="24"/>
        </w:rPr>
        <w:t xml:space="preserve">A Trusted Civic Infrastructure for Community Support — 13/27 (Redesign required)</w:t>
      </w:r>
    </w:p>
    <w:p>
      <w:pPr>
        <w:spacing w:before="60" w:after="60"/>
      </w:pPr>
      <w:r>
        <w:rPr>
          <w:rFonts w:ascii="Arial" w:cs="Arial" w:eastAsia="Arial" w:hAnsi="Arial"/>
          <w:sz w:val="20"/>
          <w:szCs w:val="20"/>
        </w:rPr>
        <w:t xml:space="preserve">How might Richmond build a trusted digital infrastructure that connects residents, nonprofits, volunteers, and City services so communities can coordinate support more effectively?</w:t>
      </w:r>
    </w:p>
    <w:p>
      <w:r>
        <w:rPr>
          <w:rFonts w:ascii="Arial" w:cs="Arial" w:eastAsia="Arial" w:hAnsi="Arial"/>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580"/>
        <w:gridCol w:w="7480"/>
      </w:tblGrid>
      <w:tr>
        <w:trPr>
          <w:tblHeader/>
        </w:trPr>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Dimension</w:t>
            </w:r>
          </w:p>
        </w:tc>
        <w:tc>
          <w:tcPr>
            <w:tcW w:type="dxa" w:w="5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Score</w:t>
            </w:r>
          </w:p>
        </w:tc>
        <w:tc>
          <w:tcPr>
            <w:tcW w:type="dxa" w:w="7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Rationale</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D1</w:t>
            </w:r>
          </w:p>
        </w:tc>
        <w:tc>
          <w:tcPr>
            <w:tcW w:type="dxa" w:w="5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2</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"Trusted digital infrastructure" is vague — could mean a platform, data standard, API layer, or coordination protocol. Describes desired infrastructure rather than the problem.</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D2</w:t>
            </w:r>
          </w:p>
        </w:tc>
        <w:tc>
          <w:tcPr>
            <w:tcW w:type="dxa" w:w="5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1</w:t>
            </w:r>
          </w:p>
        </w:tc>
        <w:tc>
          <w:tcPr>
            <w:tcW w:type="dxa" w:w="7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"Digital infrastructure" connecting all actors across all services. Multi-year systems integration program, not a hackathon challenge.</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D3</w:t>
            </w:r>
          </w:p>
        </w:tc>
        <w:tc>
          <w:tcPr>
            <w:tcW w:type="dxa" w:w="5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1</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No data referenced.</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D4</w:t>
            </w:r>
          </w:p>
        </w:tc>
        <w:tc>
          <w:tcPr>
            <w:tcW w:type="dxa" w:w="5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1</w:t>
            </w:r>
          </w:p>
        </w:tc>
        <w:tc>
          <w:tcPr>
            <w:tcW w:type="dxa" w:w="7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"Richmond" as actor — maximally generic.</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D5</w:t>
            </w:r>
          </w:p>
        </w:tc>
        <w:tc>
          <w:tcPr>
            <w:tcW w:type="dxa" w:w="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3</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Broad but named: residents, nonprofits, volunteers, City services.</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D6</w:t>
            </w:r>
          </w:p>
        </w:tc>
        <w:tc>
          <w:tcPr>
            <w:tcW w:type="dxa" w:w="5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1</w:t>
            </w:r>
          </w:p>
        </w:tc>
        <w:tc>
          <w:tcPr>
            <w:tcW w:type="dxa" w:w="7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No constraints or context.</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D7</w:t>
            </w:r>
          </w:p>
        </w:tc>
        <w:tc>
          <w:tcPr>
            <w:tcW w:type="dxa" w:w="5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2</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"Coordinate support more effectively" — directional but unmeasurable.</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D8</w:t>
            </w:r>
          </w:p>
        </w:tc>
        <w:tc>
          <w:tcPr>
            <w:tcW w:type="dxa" w:w="5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2</w:t>
            </w:r>
          </w:p>
        </w:tc>
        <w:tc>
          <w:tcPr>
            <w:tcW w:type="dxa" w:w="7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"Digital infrastructure" framing skews heavily technical.</w:t>
            </w:r>
          </w:p>
        </w:tc>
      </w:tr>
    </w:tbl>
    <w:p>
      <w:r>
        <w:rPr>
          <w:rFonts w:ascii="Arial" w:cs="Arial" w:eastAsia="Arial" w:hAnsi="Arial"/>
          <w:sz w:val="10"/>
          <w:szCs w:val="10"/>
        </w:rPr>
        <w:t xml:space="preserve"/>
      </w:r>
    </w:p>
    <w:p>
      <w:r>
        <w:br w:type="page"/>
      </w:r>
    </w:p>
    <w:p>
      <w:pPr>
        <w:pStyle w:val="Heading1"/>
        <w:spacing w:before="320" w:after="100"/>
      </w:pPr>
      <w:r>
        <w:rPr>
          <w:rFonts w:ascii="Arial" w:cs="Arial" w:eastAsia="Arial" w:hAnsi="Arial"/>
          <w:b/>
          <w:bCs/>
          <w:color w:val="1F3864"/>
          <w:sz w:val="28"/>
          <w:szCs w:val="28"/>
        </w:rPr>
        <w:t xml:space="preserve">Prioritized Actions Before March 27, 2026</w:t>
      </w:r>
    </w:p>
    <w:p>
      <w:pPr>
        <w:pBdr>
          <w:bottom w:val="single" w:color="9B2335" w:sz="6" w:space="1"/>
        </w:pBdr>
        <w:spacing w:before="60" w:after="60"/>
      </w:pPr>
      <w:r>
        <w:rPr>
          <w:rFonts w:ascii="Arial" w:cs="Arial" w:eastAsia="Arial" w:hAnsi="Arial"/>
        </w:rPr>
        <w:t xml:space="preserve"/>
      </w:r>
    </w:p>
    <w:p>
      <w:pPr>
        <w:pStyle w:val="Heading3"/>
        <w:spacing w:before="180" w:after="60"/>
      </w:pPr>
      <w:r>
        <w:rPr>
          <w:rFonts w:ascii="Arial" w:cs="Arial" w:eastAsia="Arial" w:hAnsi="Arial"/>
          <w:b/>
          <w:bCs/>
          <w:color w:val="222222"/>
          <w:sz w:val="21"/>
          <w:szCs w:val="21"/>
        </w:rPr>
        <w:t xml:space="preserve">1. Compile a starter data package for Cross-Agency Navigation</w:t>
      </w:r>
    </w:p>
    <w:p>
      <w:pPr>
        <w:spacing w:before="60" w:after="60"/>
      </w:pPr>
      <w:r>
        <w:rPr>
          <w:rFonts w:ascii="Arial" w:cs="Arial" w:eastAsia="Arial" w:hAnsi="Arial"/>
          <w:sz w:val="20"/>
          <w:szCs w:val="20"/>
        </w:rPr>
        <w:t xml:space="preserve">This is tied for the most data-deprived statement. Even a lightweight package — a mock intake dataset, a service directory snapshot from Help1RVA, a process map of referral handoffs — changes viability. This is Tier 1 urgent.</w:t>
      </w:r>
    </w:p>
    <w:p>
      <w:r>
        <w:rPr>
          <w:rFonts w:ascii="Arial" w:cs="Arial" w:eastAsia="Arial" w:hAnsi="Arial"/>
          <w:sz w:val="10"/>
          <w:szCs w:val="10"/>
        </w:rPr>
        <w:t xml:space="preserve"/>
      </w:r>
    </w:p>
    <w:p>
      <w:pPr>
        <w:pStyle w:val="Heading3"/>
        <w:spacing w:before="180" w:after="60"/>
      </w:pPr>
      <w:r>
        <w:rPr>
          <w:rFonts w:ascii="Arial" w:cs="Arial" w:eastAsia="Arial" w:hAnsi="Arial"/>
          <w:b/>
          <w:bCs/>
          <w:color w:val="222222"/>
          <w:sz w:val="21"/>
          <w:szCs w:val="21"/>
        </w:rPr>
        <w:t xml:space="preserve">2. Name a departmental champion</w:t>
      </w:r>
    </w:p>
    <w:p>
      <w:pPr>
        <w:spacing w:before="60" w:after="60"/>
      </w:pPr>
      <w:r>
        <w:rPr>
          <w:rFonts w:ascii="Arial" w:cs="Arial" w:eastAsia="Arial" w:hAnsi="Arial"/>
          <w:sz w:val="20"/>
          <w:szCs w:val="20"/>
        </w:rPr>
        <w:t xml:space="preserve">Kate Ayers or Helen Rai (ReEstablish Richmond), Will Thornton or Sidney Edwards (YMCA), or Karla Almendarez-Ramos or Aneesah Smith (NCS) are the committee members. At least one must commit to demo day on March 29, 2026.</w:t>
      </w:r>
    </w:p>
    <w:p>
      <w:r>
        <w:rPr>
          <w:rFonts w:ascii="Arial" w:cs="Arial" w:eastAsia="Arial" w:hAnsi="Arial"/>
          <w:sz w:val="10"/>
          <w:szCs w:val="10"/>
        </w:rPr>
        <w:t xml:space="preserve"/>
      </w:r>
    </w:p>
    <w:p>
      <w:pPr>
        <w:pStyle w:val="Heading3"/>
        <w:spacing w:before="180" w:after="60"/>
      </w:pPr>
      <w:r>
        <w:rPr>
          <w:rFonts w:ascii="Arial" w:cs="Arial" w:eastAsia="Arial" w:hAnsi="Arial"/>
          <w:b/>
          <w:bCs/>
          <w:color w:val="222222"/>
          <w:sz w:val="21"/>
          <w:szCs w:val="21"/>
        </w:rPr>
        <w:t xml:space="preserve">3. Reference Help1RVA directly in the Immigrant Service Discovery statement</w:t>
      </w:r>
    </w:p>
    <w:p>
      <w:pPr>
        <w:spacing w:before="60" w:after="60"/>
      </w:pPr>
      <w:r>
        <w:rPr>
          <w:rFonts w:ascii="Arial" w:cs="Arial" w:eastAsia="Arial" w:hAnsi="Arial"/>
          <w:sz w:val="20"/>
          <w:szCs w:val="20"/>
        </w:rPr>
        <w:t xml:space="preserve">It’s mentioned in workshop notes but not the statement itself. Adding it — with whatever access details are available — immediately raises D3.</w:t>
      </w:r>
    </w:p>
    <w:p>
      <w:r>
        <w:rPr>
          <w:rFonts w:ascii="Arial" w:cs="Arial" w:eastAsia="Arial" w:hAnsi="Arial"/>
          <w:sz w:val="10"/>
          <w:szCs w:val="10"/>
        </w:rPr>
        <w:t xml:space="preserve"/>
      </w:r>
    </w:p>
    <w:p>
      <w:pPr>
        <w:pStyle w:val="Heading3"/>
        <w:spacing w:before="180" w:after="60"/>
      </w:pPr>
      <w:r>
        <w:rPr>
          <w:rFonts w:ascii="Arial" w:cs="Arial" w:eastAsia="Arial" w:hAnsi="Arial"/>
          <w:b/>
          <w:bCs/>
          <w:color w:val="222222"/>
          <w:sz w:val="21"/>
          <w:szCs w:val="21"/>
        </w:rPr>
        <w:t xml:space="preserve">4. Map the cross-agency referral pathway</w:t>
      </w:r>
    </w:p>
    <w:p>
      <w:pPr>
        <w:spacing w:before="60" w:after="60"/>
      </w:pPr>
      <w:r>
        <w:rPr>
          <w:rFonts w:ascii="Arial" w:cs="Arial" w:eastAsia="Arial" w:hAnsi="Arial"/>
          <w:sz w:val="20"/>
          <w:szCs w:val="20"/>
        </w:rPr>
        <w:t xml:space="preserve">A workflow diagram showing how a resident moves between Social Services, Housing, workforce programs, and nonprofits would give teams a buildable foundation.</w:t>
      </w:r>
    </w:p>
    <w:p>
      <w:r>
        <w:rPr>
          <w:rFonts w:ascii="Arial" w:cs="Arial" w:eastAsia="Arial" w:hAnsi="Arial"/>
          <w:sz w:val="10"/>
          <w:szCs w:val="10"/>
        </w:rPr>
        <w:t xml:space="preserve"/>
      </w:r>
    </w:p>
    <w:p>
      <w:pPr>
        <w:pStyle w:val="Heading3"/>
        <w:spacing w:before="180" w:after="60"/>
      </w:pPr>
      <w:r>
        <w:rPr>
          <w:rFonts w:ascii="Arial" w:cs="Arial" w:eastAsia="Arial" w:hAnsi="Arial"/>
          <w:b/>
          <w:bCs/>
          <w:color w:val="222222"/>
          <w:sz w:val="21"/>
          <w:szCs w:val="21"/>
        </w:rPr>
        <w:t xml:space="preserve">5. Add a social services/human services section to the open data catalog</w:t>
      </w:r>
    </w:p>
    <w:p>
      <w:pPr>
        <w:spacing w:before="60" w:after="60"/>
      </w:pPr>
      <w:r>
        <w:rPr>
          <w:rFonts w:ascii="Arial" w:cs="Arial" w:eastAsia="Arial" w:hAnsi="Arial"/>
          <w:sz w:val="20"/>
          <w:szCs w:val="20"/>
        </w:rPr>
        <w:t xml:space="preserve">This is one of three catalog blind spots.</w:t>
      </w:r>
    </w:p>
    <w:p>
      <w:r>
        <w:rPr>
          <w:rFonts w:ascii="Arial" w:cs="Arial" w:eastAsia="Arial" w:hAnsi="Arial"/>
          <w:sz w:val="10"/>
          <w:szCs w:val="10"/>
        </w:rPr>
        <w:t xml:space="preserve"/>
      </w:r>
    </w:p>
    <w:p>
      <w:pPr>
        <w:pStyle w:val="Heading3"/>
        <w:spacing w:before="180" w:after="60"/>
      </w:pPr>
      <w:r>
        <w:rPr>
          <w:rFonts w:ascii="Arial" w:cs="Arial" w:eastAsia="Arial" w:hAnsi="Arial"/>
          <w:b/>
          <w:bCs/>
          <w:color w:val="222222"/>
          <w:sz w:val="21"/>
          <w:szCs w:val="21"/>
        </w:rPr>
        <w:t xml:space="preserve">6. Document communication channels and priority languages</w:t>
      </w:r>
    </w:p>
    <w:p>
      <w:pPr>
        <w:spacing w:before="60" w:after="60"/>
      </w:pPr>
      <w:r>
        <w:rPr>
          <w:rFonts w:ascii="Arial" w:cs="Arial" w:eastAsia="Arial" w:hAnsi="Arial"/>
          <w:sz w:val="20"/>
          <w:szCs w:val="20"/>
        </w:rPr>
        <w:t xml:space="preserve">For the target population (immigrant and refugee residents).</w:t>
      </w:r>
    </w:p>
    <w:p>
      <w:r>
        <w:rPr>
          <w:rFonts w:ascii="Arial" w:cs="Arial" w:eastAsia="Arial" w:hAnsi="Arial"/>
          <w:sz w:val="10"/>
          <w:szCs w:val="10"/>
        </w:rPr>
        <w:t xml:space="preserve"/>
      </w:r>
    </w:p>
    <w:p>
      <w:pPr>
        <w:pStyle w:val="Heading3"/>
        <w:spacing w:before="180" w:after="60"/>
      </w:pPr>
      <w:r>
        <w:rPr>
          <w:rFonts w:ascii="Arial" w:cs="Arial" w:eastAsia="Arial" w:hAnsi="Arial"/>
          <w:b/>
          <w:bCs/>
          <w:color w:val="222222"/>
          <w:sz w:val="21"/>
          <w:szCs w:val="21"/>
        </w:rPr>
        <w:t xml:space="preserve">7. Specify output types</w:t>
      </w:r>
    </w:p>
    <w:p>
      <w:pPr>
        <w:spacing w:before="60" w:after="60"/>
      </w:pPr>
      <w:r>
        <w:rPr>
          <w:rFonts w:ascii="Arial" w:cs="Arial" w:eastAsia="Arial" w:hAnsi="Arial"/>
          <w:sz w:val="20"/>
          <w:szCs w:val="20"/>
        </w:rPr>
        <w:t xml:space="preserve">Add one sentence to each statement’s "Success Would Mean" section.</w:t>
      </w:r>
    </w:p>
    <w:p>
      <w:r>
        <w:rPr>
          <w:rFonts w:ascii="Arial" w:cs="Arial" w:eastAsia="Arial" w:hAnsi="Arial"/>
          <w:sz w:val="10"/>
          <w:szCs w:val="10"/>
        </w:rPr>
        <w:t xml:space="preserve"/>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B2335" w:sz="4" w:space="1"/>
      </w:pBdr>
      <w:jc w:val="right"/>
    </w:pPr>
    <w:r>
      <w:rPr>
        <w:rFonts w:ascii="Arial" w:cs="Arial" w:eastAsia="Arial" w:hAnsi="Arial"/>
        <w:color w:val="888888"/>
        <w:sz w:val="16"/>
        <w:szCs w:val="16"/>
      </w:rPr>
      <w:t xml:space="preserve">Christian Markow, et al.  |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B2335" w:sz="4" w:space="1"/>
      </w:pBdr>
    </w:pPr>
    <w:r>
      <w:rPr>
        <w:rFonts w:ascii="Arial" w:cs="Arial" w:eastAsia="Arial" w:hAnsi="Arial"/>
        <w:color w:val="888888"/>
        <w:sz w:val="16"/>
        <w:szCs w:val="16"/>
      </w:rPr>
      <w:t xml:space="preserve">Richmond Civic Hackathon  |  Pillar 5: Thriving and Inclusive Communities  |  Rubric Evaluation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00"/>
      <w:outlineLvl w:val="0"/>
    </w:pPr>
    <w:rPr>
      <w:rFonts w:ascii="Arial" w:cs="Arial" w:eastAsia="Arial" w:hAnsi="Arial"/>
      <w:b/>
      <w:bCs/>
      <w:sz w:val="28"/>
      <w:szCs w:val="28"/>
    </w:rPr>
  </w:style>
  <w:style w:type="paragraph" w:styleId="Heading2">
    <w:name w:val="Heading 2"/>
    <w:basedOn w:val="Normal"/>
    <w:next w:val="Normal"/>
    <w:qFormat/>
    <w:pPr>
      <w:spacing w:before="240" w:after="80"/>
      <w:outlineLvl w:val="1"/>
    </w:pPr>
    <w:rPr>
      <w:rFonts w:ascii="Arial" w:cs="Arial" w:eastAsia="Arial" w:hAnsi="Arial"/>
      <w:b/>
      <w:bCs/>
      <w:sz w:val="24"/>
      <w:szCs w:val="24"/>
    </w:rPr>
  </w:style>
  <w:style w:type="paragraph" w:styleId="Heading3">
    <w:name w:val="Heading 3"/>
    <w:basedOn w:val="Normal"/>
    <w:next w:val="Normal"/>
    <w:qFormat/>
    <w:pPr>
      <w:spacing w:before="180" w:after="60"/>
      <w:outlineLvl w:val="2"/>
    </w:pPr>
    <w:rPr>
      <w:rFonts w:ascii="Arial" w:cs="Arial" w:eastAsia="Arial" w:hAnsi="Arial"/>
      <w:b/>
      <w:bCs/>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2026-03-16T17:22:02.925Z</dcterms:created>
  <dcterms:modified xsi:type="dcterms:W3CDTF">2026-03-16T17:22:02.926Z</dcterms:modified>
</cp:coreProperties>
</file>

<file path=docProps/custom.xml><?xml version="1.0" encoding="utf-8"?>
<Properties xmlns="http://schemas.openxmlformats.org/officeDocument/2006/custom-properties" xmlns:vt="http://schemas.openxmlformats.org/officeDocument/2006/docPropsVTypes"/>
</file>