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Logo" descr="Richmond Civic Hackathon logo" title="Hack for R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14"/>
          <w:szCs w:val="14"/>
        </w:rPr>
        <w:t xml:space="preserve">HACK FOR RVA  ·  RICHMOND CIVIC HACKATHON  ·  MARCH 27–29, 2026  ·  SCIENCE MUSEUM OF VIRGINIA</w:t>
      </w:r>
    </w:p>
    <w:p>
      <w:pPr>
        <w:pBdr>
          <w:bottom w:val="single" w:color="B91C1C" w:sz="8" w:space="1"/>
        </w:pBdr>
        <w:spacing w:before="0" w:after="180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THRIVING NEIGHBORHOODS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Challenge Track 2  ·  Housing Affordability, Compliance &amp; Community Development</w:t>
      </w:r>
    </w:p>
    <w:p>
      <w:pPr>
        <w:shd w:fill="1B2A4A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WHAT THIS PILLAR IS ABOUT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Meet the housing needs of a growing city so that Richmonders across income levels can access affordable housing in safe neighborhoods with strong public amenities. Richmond is aggressively investing — but monitoring compliance and keeping residents informed remains a critical challenge.</w:t>
      </w:r>
    </w:p>
    <w:p>
      <w:pPr>
        <w:pBdr>
          <w:left w:val="thick" w:color="1B2A4A" w:sz="14" w:space="1"/>
        </w:pBdr>
        <w:shd w:fill="F8F9FC" w:val="clear"/>
        <w:spacing w:before="140" w:after="140"/>
        <w:ind w:left="400" w:right="20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“This has been from zero to 25 projects in two years or less. The compliance work is growing faster than manual systems can sustain — and these are 30-year commitments.”</w:t>
      </w: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  — Woody, Partnership for Housing Affordability</w:t>
      </w:r>
    </w:p>
    <w:p>
      <w:pPr>
        <w:shd w:fill="1B2A4A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WHO LED THIS WORKSHOP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Rachel Hyman (City of Richmond, Department of Housing and Community Development), joined by Woody (Partnership for Housing Affordability), Elizabeth (Plan RVA), and Annika (Homer, Virginia). HCD manages roughly $43 million in housing investment and a portfolio of nearly 3,000 affordable units across multiple funding programs.</w:t>
      </w:r>
    </w:p>
    <w:p>
      <w:pPr>
        <w:shd w:fill="1B2A4A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TARGETED PROBLEM 1: AFFORDABLE HOUSING COMPLIANCE</w:t>
      </w:r>
    </w:p>
    <w:p>
      <w:pPr>
        <w:pBdr>
          <w:bottom w:val="single" w:color="D1D5DB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The Problem in Plain Language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City gives performance grants to housing developers in exchange for keeping rents affordable — sometimes for 30+ years. Right now, compliance monitoring is done through a complex spreadsheet that even Rachel called 'a bear.' As the portfolio grows, the current approach won't scale.</w:t>
      </w:r>
    </w:p>
    <w:p>
      <w:pPr>
        <w:pBdr>
          <w:bottom w:val="single" w:color="D1D5DB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City Leadership Actually Said</w:t>
      </w:r>
    </w:p>
    <w:p>
      <w:pPr>
        <w:pBdr>
          <w:left w:val="thick" w:color="1B2A4A" w:sz="14" w:space="1"/>
        </w:pBdr>
        <w:shd w:fill="F8F9FC" w:val="clear"/>
        <w:spacing w:before="140" w:after="140"/>
        <w:ind w:left="400" w:right="20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“The compliance process is a bear of a spreadsheet. It requires manual transposition from the management side, then our team reviews it with formulas built in. How do we go from this spreadsheet to a more streamlined process? That's really the question.”</w:t>
      </w: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  — Rachel Hyman, HCD</w:t>
      </w:r>
    </w:p>
    <w:p>
      <w:pPr>
        <w:pBdr>
          <w:left w:val="thick" w:color="1B2A4A" w:sz="14" w:space="1"/>
        </w:pBdr>
        <w:shd w:fill="F8F9FC" w:val="clear"/>
        <w:spacing w:before="140" w:after="140"/>
        <w:ind w:left="400" w:right="20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“You could get to year three and not have a project. The point of the performance grant is to be an incentive to create housing. If it's not creating housing, something has gone wrong — whether you didn't get your plan of development, or you got halfway into construction and couldn't finish.”</w:t>
      </w: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  — Rachel Hyman, HCD</w:t>
      </w:r>
    </w:p>
    <w:p>
      <w:pPr>
        <w:pBdr>
          <w:left w:val="thick" w:color="1B2A4A" w:sz="14" w:space="1"/>
        </w:pBdr>
        <w:shd w:fill="F8F9FC" w:val="clear"/>
        <w:spacing w:before="140" w:after="140"/>
        <w:ind w:left="400" w:right="20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“Going wrong could be a developer submitting incorrect information, taking a really long time to review, having to go back and forth — or getting to a place where we've received everything and we're looking at the information saying: you're not in compliance. That's where we don't want to be. We want to proactively ensure compliance.”</w:t>
      </w: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  — Rachel Hyman, HCD</w:t>
      </w:r>
    </w:p>
    <w:p>
      <w:pPr>
        <w:pBdr>
          <w:left w:val="thick" w:color="1B2A4A" w:sz="14" w:space="1"/>
        </w:pBdr>
        <w:shd w:fill="F8F9FC" w:val="clear"/>
        <w:spacing w:before="140" w:after="140"/>
        <w:ind w:left="400" w:right="20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“People who are paying more in rent than they should have been for the last year — that's a problem. We said we're investing in this project so it can be affordable. Both proactive action and not ending up reactive really matters.”</w:t>
      </w: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  — Rachel Hyman, HCD</w:t>
      </w:r>
    </w:p>
    <w:p>
      <w:pPr>
        <w:pBdr>
          <w:bottom w:val="single" w:color="D1D5DB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How the Compliance Process Actually Works (Step by Step)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Rachel walked through this in detail during the workshop:</w:t>
      </w:r>
    </w:p>
    <w:p>
      <w:pPr>
        <w:spacing w:before="0" w:after="80"/>
        <w:ind w:left="360" w:hanging="2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Application received and reviewed — includes development proforma, operating proforma, unit counts, ownership, other financing</w:t>
      </w:r>
    </w:p>
    <w:p>
      <w:pPr>
        <w:spacing w:before="0" w:after="80"/>
        <w:ind w:left="360" w:hanging="2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Ordinance process — contract goes to City Council for approval, then to Economic Development Authority (EDA) for signature. Contract is three-party: City, developer/owner, and EDA.</w:t>
      </w:r>
    </w:p>
    <w:p>
      <w:pPr>
        <w:spacing w:before="0" w:after="80"/>
        <w:ind w:left="360" w:hanging="2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Milestone 1: Submission of Plan of Development</w:t>
      </w:r>
    </w:p>
    <w:p>
      <w:pPr>
        <w:spacing w:before="0" w:after="80"/>
        <w:ind w:left="360" w:hanging="2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Milestone 2: Commencement of construction (verified through building permits — public record)</w:t>
      </w:r>
    </w:p>
    <w:p>
      <w:pPr>
        <w:spacing w:before="0" w:after="80"/>
        <w:ind w:left="360" w:hanging="2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Milestone 3: Receipt of Certificate of Occupancy — triggers the first grant request</w:t>
      </w:r>
    </w:p>
    <w:p>
      <w:pPr>
        <w:spacing w:before="0" w:after="80"/>
        <w:ind w:left="360" w:hanging="2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Annual cycle: Developer submits rent and occupancy report + tax payment documentation → HCD reviews for compliance → grant payment issued</w:t>
      </w:r>
    </w:p>
    <w:p>
      <w:pPr>
        <w:shd w:fill="FFFBEB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⚙  Affordability Limits Update: 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The affordability reporting sheet must be manually updated every year as HUD and Virginia Housing publish new income and rent limits. This is a recurring maintenance task baked into the annual cycle.</w:t>
      </w:r>
    </w:p>
    <w:p>
      <w:pPr>
        <w:shd w:fill="FFFBEB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⚙  Email-Based Submission: 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Currently, everything — compliance reports, grant requests, tax documentation — is submitted via email. Not ideal for a portfolio that will eventually have dozens of active projects on 30-year timelines.</w:t>
      </w:r>
    </w:p>
    <w:p>
      <w:pPr>
        <w:shd w:fill="FFFBEB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⚙  Salesforce Exists But Is Partial: 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The Department of Economic Development has built out a Salesforce for performance grant management. It handles automated email reminders and deadline tracking — but does NOT do annual affordability review or proactive compliance monitoring.</w:t>
      </w:r>
    </w:p>
    <w:p>
      <w:pPr>
        <w:pBdr>
          <w:bottom w:val="single" w:color="D1D5DB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Success Looks Like</w:t>
      </w:r>
    </w:p>
    <w:p>
      <w:pPr>
        <w:spacing w:before="0" w:after="80"/>
        <w:ind w:left="360" w:hanging="2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Staff can easily track affordability requirements across all funded developments</w:t>
      </w:r>
    </w:p>
    <w:p>
      <w:pPr>
        <w:spacing w:before="0" w:after="80"/>
        <w:ind w:left="360" w:hanging="2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Compliance risks are flagged earlier — not after the developer is already out of compliance</w:t>
      </w:r>
    </w:p>
    <w:p>
      <w:pPr>
        <w:spacing w:before="0" w:after="80"/>
        <w:ind w:left="360" w:hanging="2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The solution is maintainable — it has to work in 15 years, not just this weekend</w:t>
      </w:r>
    </w:p>
    <w:p>
      <w:pPr>
        <w:spacing w:before="0" w:after="80"/>
        <w:ind w:left="360" w:hanging="2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It can eventually be extended to other housing programs with different compliance rules</w:t>
      </w:r>
    </w:p>
    <w:p>
      <w:pPr>
        <w:pBdr>
          <w:left w:val="thick" w:color="16A34A" w:sz="10" w:space="1"/>
        </w:pBdr>
        <w:shd w:fill="F0FDF4" w:val="clear"/>
        <w:spacing w:before="100" w:after="10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  💡 </w:t>
      </w:r>
      <w:r>
        <w:rPr>
          <w:rFonts w:ascii="Arial" w:cs="Arial" w:eastAsia="Arial" w:hAnsi="Arial"/>
          <w:color w:val="166534"/>
          <w:sz w:val="20"/>
          <w:szCs w:val="20"/>
        </w:rPr>
        <w:t xml:space="preserve">This is explicitly a pilot. Build it for the Affordable Housing Performance Grant program — but design it so the approach can be extended to the City's other housing funding programs over time.</w:t>
      </w:r>
    </w:p>
    <w:p>
      <w:pPr>
        <w:pBdr>
          <w:bottom w:val="single" w:color="D1D5DB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Available Data</w:t>
      </w:r>
    </w:p>
    <w:p>
      <w:pPr>
        <w:spacing w:before="0" w:after="80"/>
        <w:ind w:left="360" w:hanging="2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Spreadsheet-based compliance tracker (shared with participants — formulas visible)</w:t>
      </w:r>
    </w:p>
    <w:p>
      <w:pPr>
        <w:spacing w:before="0" w:after="80"/>
        <w:ind w:left="360" w:hanging="2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Contract templates for the Performance Grant program (available via Legistar — publicly accessible since all contracts pass through City Council)</w:t>
      </w:r>
    </w:p>
    <w:p>
      <w:pPr>
        <w:spacing w:before="0" w:after="80"/>
        <w:ind w:left="360" w:hanging="2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Annual rent and occupancy report structure</w:t>
      </w:r>
    </w:p>
    <w:p>
      <w:pPr>
        <w:spacing w:before="0" w:after="80"/>
        <w:ind w:left="360" w:hanging="2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ArcGIS project maps, building permit data (public)</w:t>
      </w:r>
    </w:p>
    <w:p>
      <w:pPr>
        <w:pBdr>
          <w:bottom w:val="single" w:color="D1D5DB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Example Ideas</w:t>
      </w:r>
    </w:p>
    <w:p>
      <w:pPr>
        <w:shd w:fill="EFF6FF" w:val="clear"/>
        <w:spacing w:before="120" w:after="4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   →  Affordable Housing Compliance Dashboard</w:t>
      </w:r>
    </w:p>
    <w:p>
      <w:pPr>
        <w:shd w:fill="EFF6FF" w:val="clear"/>
        <w:spacing w:before="0"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centralized system tracking funded housing developments by milestone, monitoring affordability requirements against annual limits, and flagging projects approaching deadlines or at risk of non-compliance.</w:t>
      </w:r>
    </w:p>
    <w:p>
      <w:pPr>
        <w:shd w:fill="EFF6FF" w:val="clear"/>
        <w:spacing w:before="120" w:after="4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   →  Housing Investment Transparency Map</w:t>
      </w:r>
    </w:p>
    <w:p>
      <w:pPr>
        <w:shd w:fill="EFF6FF" w:val="clear"/>
        <w:spacing w:before="0"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public interface showing where City housing investments exist, what stage they're in, and whether affordability commitments are being maintained — turning compliance into a public accountability tool.</w:t>
      </w:r>
    </w:p>
    <w:p>
      <w:pPr>
        <w:shd w:fill="EFF6FF" w:val="clear"/>
        <w:spacing w:before="120" w:after="4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   →  Automated Compliance Monitoring Tool</w:t>
      </w:r>
    </w:p>
    <w:p>
      <w:pPr>
        <w:shd w:fill="EFF6FF" w:val="clear"/>
        <w:spacing w:before="0"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system integrating City records and public rental data to identify units potentially exceeding affordability limits — and alerting staff before the annual report cycle rather than after.</w:t>
      </w:r>
    </w:p>
    <w:p>
      <w:pPr>
        <w:shd w:fill="1B2A4A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TARGETED PROBLEM 2: RESIDENT DISCOVERY OF NEIGHBORHOOD DEVELOPMENT</w:t>
      </w:r>
    </w:p>
    <w:p>
      <w:pPr>
        <w:pBdr>
          <w:bottom w:val="single" w:color="D1D5DB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The Problem in Plain Language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Residents frequently show up at Planning Commission or City Council hearings saying they had no idea a development was happening in their neighborhood. By then it's too late to meaningfully shape the project. The data is technically public — but finding and interpreting it requires knowing the system.</w:t>
      </w:r>
    </w:p>
    <w:p>
      <w:pPr>
        <w:pBdr>
          <w:bottom w:val="single" w:color="D1D5DB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City Leadership Actually Said</w:t>
      </w:r>
    </w:p>
    <w:p>
      <w:pPr>
        <w:pBdr>
          <w:left w:val="thick" w:color="1B2A4A" w:sz="14" w:space="1"/>
        </w:pBdr>
        <w:shd w:fill="F8F9FC" w:val="clear"/>
        <w:spacing w:before="140" w:after="140"/>
        <w:ind w:left="400" w:right="20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“The City has really worked to improve its efficiency and communication in zoning and permitting processes — which is often the point of frustration and where you see a lot of public engagement. But residents have to know what to search for and where to look. That's the barrier.”</w:t>
      </w: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  — Rachel Hyman, HCD</w:t>
      </w:r>
    </w:p>
    <w:p>
      <w:pPr>
        <w:pBdr>
          <w:left w:val="thick" w:color="1B2A4A" w:sz="14" w:space="1"/>
        </w:pBdr>
        <w:shd w:fill="F8F9FC" w:val="clear"/>
        <w:spacing w:before="140" w:after="140"/>
        <w:ind w:left="400" w:right="20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“I think when there's been really clear engagement between the people building the housing and who's going to be impacted by it — especially in the neighborhood — that just makes it feel so much less scary. And then there are lots of examples of the opposite.”</w:t>
      </w: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  — Woody, Partnership for Housing Affordability</w:t>
      </w:r>
    </w:p>
    <w:p>
      <w:pPr>
        <w:pBdr>
          <w:left w:val="thick" w:color="1B2A4A" w:sz="14" w:space="1"/>
        </w:pBdr>
        <w:shd w:fill="F8F9FC" w:val="clear"/>
        <w:spacing w:before="140" w:after="140"/>
        <w:ind w:left="400" w:right="20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“A great example: the site of the old Oak Grove School. The school had been the center of neighborhood life for decades. At the beginning of the redevelopment process, the developer asked: how do we make sure whatever we get to at the end is still something that can be the center of your neighborhood? That's the process going very well.”</w:t>
      </w: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  — Rachel Hyman, HCD</w:t>
      </w:r>
    </w:p>
    <w:p>
      <w:pPr>
        <w:pBdr>
          <w:left w:val="thick" w:color="1B2A4A" w:sz="14" w:space="1"/>
        </w:pBdr>
        <w:shd w:fill="F8F9FC" w:val="clear"/>
        <w:spacing w:before="140" w:after="140"/>
        <w:ind w:left="400" w:right="20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“Misinformation gets spread about new development when information is inaccessible. When residents can't figure out the source of truth, their neighbor tells them something — which may or may not be what the project really is or who it's really serving.”</w:t>
      </w: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  — Woody, Partnership for Housing Affordability</w:t>
      </w:r>
    </w:p>
    <w:p>
      <w:pPr>
        <w:pBdr>
          <w:bottom w:val="single" w:color="D1D5DB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The Data Landscape</w:t>
      </w:r>
    </w:p>
    <w:p>
      <w:pPr>
        <w:shd w:fill="FFFBEB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⚙  Development Tracker: 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The Department of Planning and Development Review maintains a development tracker with Excel databases and an ArcGIS layer showing projects by stage — ideation, proposal, permitted, under construction, complete. Until recently this wasn't even publicly available.</w:t>
      </w:r>
    </w:p>
    <w:p>
      <w:pPr>
        <w:shd w:fill="FFFBEB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⚙  Legistar: 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All projects going through City Council are in Legistar (the City's legislative record system), but it requires familiarity with City processes to navigate and find relevant projects.</w:t>
      </w:r>
    </w:p>
    <w:p>
      <w:pPr>
        <w:shd w:fill="FFFBEB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⚙  InnerGov: 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Permitting and plans of development are tracked in InnerGov — another system residents would need to know to find independently.</w:t>
      </w:r>
    </w:p>
    <w:p>
      <w:pPr>
        <w:pBdr>
          <w:bottom w:val="single" w:color="D1D5DB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Example Ideas</w:t>
      </w:r>
    </w:p>
    <w:p>
      <w:pPr>
        <w:shd w:fill="EFF6FF" w:val="clear"/>
        <w:spacing w:before="120" w:after="4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   →  Neighborhood Development Alert System</w:t>
      </w:r>
    </w:p>
    <w:p>
      <w:pPr>
        <w:shd w:fill="EFF6FF" w:val="clear"/>
        <w:spacing w:before="0"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Residents enter their address or neighborhood and receive notifications when new development proposals are introduced nearby — early, at the ideation or pre-plan-of-development stage when input can still matter.</w:t>
      </w:r>
    </w:p>
    <w:p>
      <w:pPr>
        <w:shd w:fill="EFF6FF" w:val="clear"/>
        <w:spacing w:before="120" w:after="4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   →  Development Proposal Map Explorer</w:t>
      </w:r>
    </w:p>
    <w:p>
      <w:pPr>
        <w:shd w:fill="EFF6FF" w:val="clear"/>
        <w:spacing w:before="0"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map-based interface that aggregates Legistar, the development tracker, and InnerGov data into one place — showing pending applications with plain-language summaries, timelines, and contact information.</w:t>
      </w:r>
    </w:p>
    <w:p>
      <w:pPr>
        <w:shd w:fill="EFF6FF" w:val="clear"/>
        <w:spacing w:before="120" w:after="4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   →  Plain-Language Planning Translator</w:t>
      </w:r>
    </w:p>
    <w:p>
      <w:pPr>
        <w:shd w:fill="EFF6FF" w:val="clear"/>
        <w:spacing w:before="0"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tool that converts technical planning documents and zoning language into short, understandable summaries — explaining what a project is, what it means for the neighborhood, and how residents can participate.</w:t>
      </w:r>
    </w:p>
    <w:p>
      <w:pPr>
        <w:shd w:fill="1B2A4A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BLUE SKY CHALLENGES</w:t>
      </w:r>
    </w:p>
    <w:p>
      <w:pPr>
        <w:spacing w:before="0" w:after="80"/>
        <w:ind w:left="360" w:hanging="2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Reimagining Attainable Homeownership — How might Richmond rethink the design, financing, and delivery of housing so that middle-income households — teachers, nurses, firefighters — can realistically afford to buy a home in the city? (New 'affordable' homes currently run ~$350K.)</w:t>
      </w:r>
    </w:p>
    <w:p>
      <w:pPr>
        <w:spacing w:before="0" w:after="80"/>
        <w:ind w:left="360" w:hanging="2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Making Neighborhood Change Easier to Understand — How might we help residents clearly see and understand how their neighborhoods are evolving so that growth feels transparent and collaborative rather than surprising?</w:t>
      </w:r>
    </w:p>
    <w:p>
      <w:pPr>
        <w:spacing w:before="0" w:after="80"/>
        <w:ind w:left="360" w:hanging="2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Unlocking More Housing Through Smarter Regulation — How might the City identify small zoning, financing, or policy changes that could unlock significantly more attainable housing? The current code refresh is live — solutions here could inform real policy.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1"/>
      </w:pBdr>
    </w:pPr>
    <w:r>
      <w:rPr>
        <w:rFonts w:ascii="Arial" w:cs="Arial" w:eastAsia="Arial" w:hAnsi="Arial"/>
        <w:color w:val="6B7280"/>
        <w:sz w:val="16"/>
        <w:szCs w:val="16"/>
      </w:rPr>
      <w:t xml:space="preserve">Hack for RVA  ·  hackforrva.com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·  All challenge content drawn from city stakeholder workshops,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3733b2c4c2ee10221e47e5eb65f7d37c7d764a4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2026-03-29T01:08:00.345Z</dcterms:created>
  <dcterms:modified xsi:type="dcterms:W3CDTF">2026-03-29T01:08:00.345Z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