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t>
        <w:br/>
        <w:t xml:space="preserve">            -ArabuluculukSürecineİlişkinBilgilendirmeTutanağı-</w:t>
        <w:br/>
        <w:t xml:space="preserve">        ..... /..... /..... tarihindeaşağıda ad veunvanlarıyazılıtaraflarbirlikte/ayrıayrı 6325 sayılıHukukUyuşmazlıklarındaArabuluculukKanunugereğincearabuluculuksürecineilişkinolarakaşağıdakikonularda,davetmektubuekindeyazılıolarakvetoplantıdakatılımlarıylasözlüolarakbilgilendirilmişlerdir:</w:t>
        <w:br/>
        <w:t xml:space="preserve">        GENEL BİLGİLER:</w:t>
        <w:br/>
        <w:t xml:space="preserve">        </w:t>
        <w:tab/>
        <w:t>Taraflar, arabulucuyabaşvurmak, sürecidevamettirmek, sonuçlandırmakveyabusüreçtenvazgeçmekkonusundatamamenserbesttirler. (Ek cümle:6/12/20187155/22 md.)  Şukadarkidavaşartıolarakarabuluculuğailişkin 18/A maddesihükmüsaklıdır. Taraflarzorlabusüreciniçinedâhiledilemeyeceklerigibi her aşamadauyuşmazlığıarabuluculukyoluylasonuçlandırmaktan davazgeçebilirler. Taraflar, gerekarabulucuyabaşvururkengereksesüreçboyuncaeşithaklarasahiptirler. Taraflardanbiriarabuluculuksürecinindışındabırakılamayacağıgibisözhakkıdadiğerinegörekısıtlanamaz.Arabuluculukyoluylauyuşmazlığınçözümügönüllülükesasınadayalıdır.</w:t>
        <w:br/>
        <w:t xml:space="preserve">        </w:t>
        <w:tab/>
        <w:t>Arabulucutaraflararasındakihukukiuyuşmazlığınçözümündetarafsızvebağımsızbirüçüncükişiolarakyeralırvetaraflararasındakiiletişimortamınıkolaylaştırarakkendiçözümlerinikendilerininüretmelerikonusundaonlarayardımcıolur. Taraflarınçözümüretemediklerininortayaçıkmasıhâlindearabulucubirçözümönerisinde de bulunabilir.</w:t>
        <w:br/>
        <w:t xml:space="preserve">        </w:t>
        <w:tab/>
        <w:t>Taraflarcaaksikararlaştırılmadıkçaarabuluculukgörüşmelerindegizlilikilkesineuyulmasıesastır. Taraflarcaaksikararlaştırılmadıkçaarabulucu, taraflarvearabuluculuğakatılanüçüncükişiler, taraflarcayapılanarabuluculukdavetiveyabirtarafınarabuluculukfaaliyetinekatılmaisteği; uyuşmazlığınarabuluculukyoluilesonaerdirilmesiiçintaraflarcailerisürülengörüşveteklifler; arabuluculukfaaliyetiesnasındataraflarcailerisürülenönerilerveyaherhangibirvakıaveyaiddianınkabulü; sadecearabuluculukfaaliyetidolayısıylahazırlananbelgeleridelilolarakilerisüremezvebunlarhakkındatanıklıkyapamaz.Buyükümlülüğeaykırıhareketederekbirkişininhukukenkorunanmenfaatininzarargörmesinenedenolankişialtıayakadarhapiscezasıilecezalandırılır.</w:t>
        <w:tab/>
        <w:br/>
        <w:t xml:space="preserve">        </w:t>
        <w:tab/>
        <w:t>Arabuluculuksüreci,davaaçılmadanöncearabulucuyabaşvuruhalinde, taraflarınilktoplantıyadavetedilmelerivetaraflarlaarabulucuarasındasürecindevamettirilmesikonusundaanlaşmayavarılıpbudurumunbirtutanaklabelgelendirildiğitarihtenitibarenişlemeyebaşlar. Davaaçılmasındansonraarabulucuyabaşvuruhalindeisebusüreç,mahkemenintaraflarıarabuluculuğadavetinintaraflarcakabuledilmesiveyataraflarınarabulucuyabaşvurmakonusundaanlaşmayavardıklarınımahkemeyeyazılıolarakbeyanettikleriyadaduruşmadabubeyanlarınıntutanağageçirildiğitarihtenitibarenişlemeyebaşlar. (Davaşartıarabuluculuksüreci, adliyearabuluculukbürosunabaşvurulanhallerde, başvurununyapıldığıtarihtebaşlar.)</w:t>
        <w:br/>
        <w:t xml:space="preserve">        </w:t>
        <w:tab/>
        <w:t>Arabuluculuksürecininbaşlamasındansonaermesinekadargeçensüre, zamanaşımıvehakdüşürücüsürelerinhesaplanmasındadikkatealınmaz.</w:t>
        <w:br/>
        <w:t xml:space="preserve">        </w:t>
        <w:tab/>
        <w:t>Arabulucu, busıfatlagörevyaptığıuyuşmazlıkileilgiliolarakaçılan da- vada, dahasonraavukatolarakgörevüstlenemez.</w:t>
        <w:br/>
        <w:t xml:space="preserve">        </w:t>
        <w:tab/>
        <w:t xml:space="preserve">Arabuluculukyoluylaçözümlenenhukukiuyuşmazlıklarkonusundaarabuluculukfaaliyetisonucundaanlaşmayavarılmasıhalindeanlaşmabelgesidüzenlenir. Bu anlaşmanıngereklerinintaraflardanherhangibiritarafındanyerinegetirilmemesidurumundadiğertarafarabuluculukanlaşmabelgesiniyetkilimahkemeyeibrazederekicraedilebilirlikşerhiverilmesinitalepedebilir, bubelgeyetkilimahkemetarafındanşerhverilmesiilebirlikteilâmniteliğindebelgevasfınıkazanarakmahkemekararıgibiicraedilir.Arabulucuileavukatlarvetaraflarcabirlikteimzaaltınaalınanarabuluculukanlaşmalarıdoğrudanilamniteliğindebelgevasfınıhaizolur. </w:t>
        <w:br/>
        <w:t xml:space="preserve">        </w:t>
        <w:tab/>
        <w:t>DAVA ŞARTI ARABULUCULUK HAKKINDA BİLGİLER:</w:t>
        <w:br/>
        <w:t xml:space="preserve">        </w:t>
        <w:tab/>
        <w:t xml:space="preserve">İŞ HUKUKUNDA DAVA ŞARTI OLARAK DÜZENLENEN ARABULUCULUK SÜRECİ </w:t>
        <w:br/>
        <w:t xml:space="preserve">        </w:t>
        <w:tab/>
        <w:t>İş Mahkemeleri Kanunu m. 5/1,a hükmü uyarınca, 5953 sayılı Basın Mesleğinde Çalışanlarla Çalıştıranlar Arasındaki Münasebetlerin Tanzimi Hakkında Kanuna tâbi gazeteciler, 854 sayılı Deniz İş Kanununa tâbi gemiadamları, 22/5/2003 tarihli ve 4857 sayılı İş Kanununa veya 11/1/2011 tarihli ve 6098 sayılı Türk Borçlar Kanununun İkinci Kısmının Altıncı Bölümünde düzenlenen hizmet sözleşmelerine tâbi işçiler ile işveren veya işveren vekilleri arasında, iş ilişkisi nedeniyle sözleşmeden veya kanundan doğan her türlü hukuk uyuşmazlıklarına iş mahkemelerinde bakılacaktır.</w:t>
        <w:br/>
        <w:t xml:space="preserve">        </w:t>
        <w:tab/>
        <w:t>İşçiveişverenarasındakiuyuşmazlıklarda,davaşartıolarakarabuluculuk, 7036 SayılıİşMahkemeleriKanununun3.maddesinde düzenlemealtınaalınmıştır.Bunagöre;</w:t>
        <w:br/>
        <w:t xml:space="preserve">        </w:t>
        <w:tab/>
        <w:t xml:space="preserve">(1) Kanuna, bireysel veya toplu iş sözleşmesine dayanan işçi veya işveren alacağı ve tazminatı ile işe iade talebiyle açılan davalarda, arabulucuya başvurulmuş olması dava şartıdır. </w:t>
        <w:br/>
        <w:t xml:space="preserve">        </w:t>
        <w:tab/>
        <w:t xml:space="preserve">(2) Davacı, arabuluculuk faaliyeti sonunda anlaşmaya varılamadığına ilişkin son tutanağın aslını veya arabulucu tarafından onaylanmış bir örneğini dava dilekçesine eklemek zorundadır. Bu zorunluluğa uyulmaması hâlinde mahkemece davacıya, son tutanağın bir haftalık kesin süre içinde mahkemeye sunulması gerektiği, aksi takdirde davanın usulden reddedileceği ihtarını içeren davetiye gönderilir. İhtarın gereği yerine getirilmez ise dava dilekçesi karşı tarafa tebliğe çıkarılmaksızın davanın usulden reddine karar verilir. Arabulucuya başvurulmadan dava açıldığının anlaşılması hâlinde herhangi bir işlem yapılmaksızın davanın, dava şartı yokluğu sebebiyle usulden reddine karar verilir. </w:t>
        <w:br/>
        <w:t xml:space="preserve">        </w:t>
        <w:tab/>
        <w:t xml:space="preserve">(3) İş kazası veya meslek hastalığından kaynaklanan maddi ve manevi tazminat ile bunlarla ilgili tespit, itiraz ve rücu davaları hakkında birinci fıkra hükmü uygulanmaz.  </w:t>
        <w:br/>
        <w:t xml:space="preserve">        </w:t>
        <w:tab/>
        <w:t xml:space="preserve">(4) Arabuluculuk Daire Başkanlığı, sicile kayıtlı arabuluculardan bu madde uyarınca arabuluculuk yapmak isteyenleri, varsa uzmanlık alanlarını da belirterek, görev yapmak istedikleri adli yargı ilk derece mahkemesi adalet komisyonlarına göre listeler ve listeleri ilgili komisyon başkanlıklarına bildirir. Komisyon başkanlıkları, bu listeleri kendi yargı çevrelerindeki arabuluculuk bürolarına, arabuluculuk bürosu kurulmayan yerlerde ise görevlendirecekleri sulh hukuk mahkemesi yazı işleri müdürlüğüne gönderir. (5) Başvuru karşı tarafın, karşı taraf birden fazla ise bunlardan birinin yerleşim yerindeki veya işin yapıldığı yerdeki arabuluculuk bürosuna, arabuluculuk bürosu kurulmayan yerlerde ise görevlendirilen yazı işleri müdürlüğüne yapılır. </w:t>
        <w:br/>
        <w:t xml:space="preserve">        </w:t>
        <w:tab/>
        <w:t xml:space="preserve">(6) Arabulucu, komisyon başkanlıklarına bildirilen listeden büro tarafından belirlenir. Ancak tarafların listede yer alan herhangi bir arabulucu üzerinde anlaşmaları hâlinde bu arabulucu görevlendirilir. </w:t>
        <w:br/>
        <w:t xml:space="preserve">        </w:t>
        <w:tab/>
        <w:t xml:space="preserve">(7) Başvuran taraf, kendisine ve elinde bulunması hâlinde karşı tarafa ait her türlü iletişim bilgisini arabuluculuk bürosuna verir. Büro, tarafların resmi kayıtlarda yer alan iletişim bilgilerini araştırmaya da yetkilidir. İlgili kurum ve kuruluşlar, büro tarafından talep edilen bilgi ve belgeleri vermekle yükümlüdür. </w:t>
        <w:br/>
        <w:t xml:space="preserve">        </w:t>
        <w:tab/>
        <w:t>(8) Taraflara ait iletişim bilgileri, görevlendirilen arabulucuya büro tarafından verilir. Arabulucu bu iletişim bilgilerini esas alır, ihtiyaç duyduğunda kendiliğinden araştırma da yapabilir. Elindeki bilgiler itibarıyla her türlü iletişim vasıtasını kullanarak görevlendirme konusunda tarafları bilgilendirir ve ilk toplantıya davet eder. Bilgilendirme ve davete ilişkin işlemlerini belgeye bağlar.</w:t>
        <w:br/>
        <w:t xml:space="preserve">        </w:t>
        <w:tab/>
        <w:t xml:space="preserve"> (9) Arabulucu, görevlendirmeyi yapan büronun yetkili olup olmadığını kendiliğinden dikkate alamaz. Karşı taraf en geç ilk toplantıda, yerleşim yeri ve işin yapıldığı yere ilişkin belgelerini sunmak suretiyle arabuluculuk bürosunun yetkisine itiraz edebilir. Bu durumda arabulucu, dosyayı derhâl ilgili sulh hukuk mahkemesine gönderilmek üzere büroya teslim eder. Mahkeme, harç alınmaksızın dosya üzerinden yapacağı inceleme sonunda yetkili büroyu kesin olarak karara bağlar ve dosyayı büroya iade eder. Mahkeme kararı büro tarafından 11/2/1959 tarihli ve 7201 sayılı Tebligat Kanunu hükümleri uyarınca taraflara tebliğ edilir. </w:t>
        <w:br/>
        <w:t xml:space="preserve">            Yetki itirazının reddi durumunda aynı arabulucu yeniden görevlendirilir ve onuncu fıkrada belirtilen süreler yeni görevlendirme tarihinden başlar. Yetki itirazının kabulü durumunda ise kararın tebliğinden itibaren bir hafta içinde yetkili büroya başvurulabilir. Bu takdirde yetkisiz büroya başvurma tarihi yetkili büroya başvurma tarihi olarak kabul edilir. Yetkili büro, altıncı fıkra uyarınca arabulucu görevlendirir. </w:t>
        <w:br/>
        <w:t xml:space="preserve">        </w:t>
        <w:tab/>
        <w:t xml:space="preserve">(10) Arabulucu, yapılan başvuruyu görevlendirildiği tarihten itibaren üç hafta içinde sonuçlandırır. Bu süre zorunlu hâllerde arabulucu tarafından en fazla bir hafta uzatılabilir. </w:t>
        <w:br/>
        <w:t xml:space="preserve">        </w:t>
        <w:tab/>
        <w:t xml:space="preserve">(11) Arabulucu, taraflara ulaşılamaması, taraflar katılmadığı için görüşme yapılamaması yahut yapılan görüşmeler sonucunda anlaşmaya varılması veya varılamaması hâllerinde arabuluculuk faaliyetini sona erdirir ve son tutanağı düzenleyerek durumu derhâl arabuluculuk bürosuna bildirir. </w:t>
        <w:br/>
        <w:t xml:space="preserve">        </w:t>
        <w:tab/>
        <w:t xml:space="preserve">12) Taraflardan birinin geçerli bir mazeret göstermeksizin ilk toplantıya katılmaması sebebiyle arabuluculuk faaliyetinin sona ermesi durumunda toplantıya katılmayan taraf, son tutanakta belirtilir ve bu taraf davada kısmen veya tamamen haklı çıksa bile yargılama giderinin tamamından sorumlu tutulur. Ayrıca bu taraf lehine vekâlet ücretine hükmedilmez. Her iki tarafın da ilk toplantıya katılmaması sebebiyle sona eren arabuluculuk faaliyeti üzerine açılacak davalarda tarafların yaptıkları yargılama giderleri kendi üzerlerinde bırakılır. </w:t>
        <w:br/>
        <w:t xml:space="preserve">        </w:t>
        <w:tab/>
        <w:t xml:space="preserve">(13) Tarafların arabuluculuk faaliyeti sonunda anlaşmaları hâlinde, arabuluculuk ücreti, Arabuluculuk Asgari Ücret Tarifesinin eki Arabuluculuk Ücret Tarifesinin İkinci Kısmına göre aksi kararlaştırılmadıkça taraflarca eşit şekilde karşılanır. Bu durumda ücret, Tarifenin Birinci Kısmında belirlenen iki saatlik ücret tutarından az olamaz. İşe iade talebiyle yapılan görüşmelerde tarafların anlaşmaları durumunda, arabulucuya ödenecek ücretin belirlenmesinde işçiye işe başlatılmaması hâlinde ödenecek tazminat miktarı ile çalıştırılmadığı süre için ödenecek ücret ve diğer haklarının toplamı, Tarifenin İkinci Kısmı uyarınca üzerinde anlaşılan miktar olarak kabul edilir. </w:t>
        <w:br/>
        <w:t xml:space="preserve">        </w:t>
        <w:tab/>
        <w:t xml:space="preserve">(14) Arabuluculuk faaliyeti sonunda taraflara ulaşılamaması, taraflar katılmadığı için görüşme yapılamaması veya iki saatten az süren görüşmeler sonunda tarafların anlaşamamaları hâllerinde, iki saatlik ücret tutarı Tarifenin Birinci Kısmına göre Adalet Bakanlığı bütçesinden ödenir. İki saatten fazla süren görüşmeler sonunda tarafların anlaşamamaları hâlinde ise iki saati aşan kısma ilişkin ücret aksi kararlaştırılmadıkça taraflarca eşit şekilde Tarifenin Birinci Kısmına göre karşılanır. Adalet Bakanlığı bütçesinden ödenen ve taraflarca karşılanan arabuluculuk ücreti, yargılama giderlerinden sayılır. </w:t>
        <w:br/>
        <w:t xml:space="preserve">        </w:t>
        <w:tab/>
        <w:t xml:space="preserve">(15) Asıl işveren-alt işveren ilişkisinin varlığı hâlinde işe iade talebiyle arabulucuya başvurulduğunda, anlaşmanın gerçekleşebilmesi için işverenlerin arabuluculuk görüşmelerine birlikte katılmaları ve iradelerinin birbirine uygun olması aranır. </w:t>
        <w:br/>
        <w:t xml:space="preserve">        </w:t>
        <w:tab/>
        <w:t>Ayrıca;“Arabuluculuk faaliyeti sonunda tarafların, işçinin işe başlatılması konusunda anlaşmaları hâlinde;  a) İşe başlatma tarihini, b) Üçüncü fıkrada düzenlenen ücret ve diğer hakların parasal miktarını, c) İşçinin işe başlatılmaması durumunda ikinci fıkrada düzenlenen tazminatın parasal miktarını, belirlemeleri zorunludur. Aksi takdirde anlaşma sağlanamamış sayılır ve son tutanak buna göre düzenlenir. İşçinin kararlaştırılan tarihte işe başlamaması hâlinde fesih geçerli hâle gelir ve işveren sadece bunun hukuki sonuçları ile sorumlu olur”</w:t>
        <w:br/>
        <w:t xml:space="preserve">        </w:t>
        <w:tab/>
        <w:t xml:space="preserve">(16) Bu madde uyarınca arabuluculuk bürosu tarafından yapılması gereken zaruri giderler; arabuluculuk faaliyeti sonunda anlaşmaya varılması hâlinde anlaşma uyarınca taraflarca ödenmek, anlaşmaya varılamaması hâlinde ise ileride haksız çıkacak taraftan tahsil olunmak üzere Adalet Bakanlığı bütçesinden karşılanır. </w:t>
        <w:br/>
        <w:t xml:space="preserve">        </w:t>
        <w:tab/>
        <w:t xml:space="preserve">(17) Arabuluculuk bürosuna başvurulmasından son tutanağın düzenlendiği tarihe kadar geçen sürede zamanaşımı durur ve hak düşürücü süre işlemez. </w:t>
        <w:br/>
        <w:t xml:space="preserve">        </w:t>
        <w:tab/>
        <w:t xml:space="preserve">(18) Arabuluculuk görüşmelerine taraflar bizzat, kanuni temsilcileri veya avukatları aracılığıyla katılabilirler. İşverenin yazılı belgeyle yetkilendirdiği çalışanı da görüşmelerde işvereni temsil edebilir ve son tutanağı imzalayabilir. </w:t>
        <w:br/>
        <w:t xml:space="preserve">        </w:t>
        <w:tab/>
        <w:t xml:space="preserve">(19) Arabuluculuk görüşmeleri, taraflarca aksi kararlaştırılmadıkça, arabulucuyu görevlendiren büronun bağlı bulunduğu adli yargı ilk derece mahkemesi adalet komisyonunun yetki alanı içinde yürütülür. </w:t>
        <w:br/>
        <w:t xml:space="preserve">        </w:t>
        <w:tab/>
        <w:t xml:space="preserve">(20) 13/6/1952 tarihli ve 5953 sayılı Basın Mesleğinde Çalışanlarla Çalıştıranlar Arasındaki Münasebetlerin Tanzimi Hakkında Kanunda düzenlenen gazeteci ile 20/4/1967 tarihli ve 854 sayılı Deniz İş Kanununda düzenlenen gemiadamı, bu madde kapsamında işçi sayılır. </w:t>
        <w:br/>
        <w:t xml:space="preserve">        </w:t>
        <w:tab/>
        <w:t xml:space="preserve">(21) Bu maddede hüküm bulunmayan hâllerde niteliğine uygun düştüğü ölçüde 7/6/2012 tarihli ve 6325 sayılı Hukuk Uyuşmazlıklarında Arabuluculuk Kanunu hükümleri uygulanır. </w:t>
        <w:br/>
        <w:t xml:space="preserve">        </w:t>
        <w:tab/>
        <w:t>(22) Arabuluculuğa başvuru usulü, arabulucunun görevlendirilmesi ve arabuluculuk görüşmelerine ilişkin diğer hususlar Adalet Bakanlığınca yürürlüğe konulan yönetmelikle belirlenir.</w:t>
        <w:br/>
        <w:t xml:space="preserve">        </w:t>
        <w:tab/>
        <w:t xml:space="preserve">Taraflararabuluculuksüreçveesaslarıileanlaşmanınhukukiniteliğiileilgili, işbuimzayakonubelgeiçindekiaçıklamalarıanladıklarınıvearabulucununtarafsızlığındanşüpheedilmesinigerektirecekhiçbirhalveşartınolmadığındanbahislearabuluculuksürecinebaşlamakistedikleriniifadeettiler. </w:t>
        <w:br/>
        <w:t xml:space="preserve">        </w:t>
        <w:tab/>
        <w:t>İşbututanaküçnüshaolarakdüzenlenmiştir. ..... /..... /.....</w:t>
        <w:br/>
        <w:t xml:space="preserve">        (Ad,soyad, TC Kimlik no.veimza)</w:t>
        <w:tab/>
        <w:t>(Ad, soyad, TC Kimlik no. veimza)</w:t>
        <w:br/>
        <w:t xml:space="preserve">            Taraf</w:t>
        <w:tab/>
        <w:t xml:space="preserve">                                                                    Taraf</w:t>
        <w:br/>
        <w:t xml:space="preserve">             Güngör Bulga  1231231231</w:t>
        <w:br/>
        <w:t xml:space="preserve">            ArabulucuAv.Arb.DilekYumrutaş</w:t>
        <w:br/>
        <w:t xml:space="preserve">        ArabuluculukSicil No: 83 ...........</w:t>
        <w:br/>
        <w:br/>
        <w:t xml:space="preserve">        Bu Tutanaktarafsayısındanbirfazlanüshaolarakdüzenlenir; taraflardavearabulucununkendisindekalır.</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