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0F172A"/>
          <w:sz w:val="80"/>
          <w:szCs w:val="80"/>
        </w:rPr>
        <w:t xml:space="preserve">CIBUSCHAIN</w:t>
      </w:r>
    </w:p>
    <w:p>
      <w:pPr>
        <w:spacing w:before="80"/>
        <w:jc w:val="center"/>
      </w:pPr>
      <w:r>
        <w:rPr>
          <w:rFonts w:ascii="Arial" w:cs="Arial" w:eastAsia="Arial" w:hAnsi="Arial"/>
          <w:i/>
          <w:iCs/>
          <w:color w:val="4F46E5"/>
          <w:sz w:val="28"/>
          <w:szCs w:val="28"/>
        </w:rPr>
        <w:t xml:space="preserve">Documento de Justificación — Versión Completa</w:t>
      </w:r>
    </w:p>
    <w:p>
      <w:pPr>
        <w:spacing w:before="40"/>
      </w:pPr>
      <w:r>
        <w:t xml:space="preserve"/>
      </w:r>
    </w:p>
    <w:p>
      <w:pPr>
        <w:pBdr>
          <w:bottom w:val="single" w:color="4F46E5" w:sz="6" w:space="1"/>
        </w:pBdr>
        <w:jc w:val="center"/>
      </w:pPr>
      <w:r>
        <w:t xml:space="preserve"/>
      </w:r>
    </w:p>
    <w:p>
      <w:pPr>
        <w:spacing w:before="80"/>
      </w:pPr>
      <w:r>
        <w:t xml:space="preserve"/>
      </w:r>
    </w:p>
    <w:p>
      <w:pPr>
        <w:jc w:val="center"/>
      </w:pPr>
      <w:r>
        <w:rPr>
          <w:rFonts w:ascii="Arial" w:cs="Arial" w:eastAsia="Arial" w:hAnsi="Arial"/>
          <w:i/>
          <w:iCs/>
          <w:color w:val="64748B"/>
          <w:sz w:val="22"/>
          <w:szCs w:val="22"/>
        </w:rPr>
        <w:t xml:space="preserve">Infraestructura tecnológica para el rescate de alimentos preparados en el sector de comida rápida</w:t>
      </w:r>
    </w:p>
    <w:p>
      <w:pPr>
        <w:spacing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Hackathon</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Feed the Future — Genius Arena 2026 (McDonald's Track)</w:t>
            </w:r>
          </w:p>
        </w:tc>
      </w:tr>
      <w:tr>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Entrega</w:t>
            </w:r>
          </w:p>
        </w:tc>
        <w:tc>
          <w:tcPr>
            <w:tcW w:type="dxa" w:w="6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Fase 1 — Justificación de la solución y problemática</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Fecha</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Febrero 2026</w:t>
            </w:r>
          </w:p>
        </w:tc>
      </w:tr>
      <w:tr>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Versión del documento</w:t>
            </w:r>
          </w:p>
        </w:tc>
        <w:tc>
          <w:tcPr>
            <w:tcW w:type="dxa" w:w="6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1.0 — Completa con fuentes</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Clasificación</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Documento técnico-empresarial de respaldo</w:t>
            </w:r>
          </w:p>
        </w:tc>
      </w:tr>
    </w:tbl>
    <w:p>
      <w:r>
        <w:br w:type="page"/>
      </w:r>
    </w:p>
    <w:p>
      <w:pPr>
        <w:pStyle w:val="Heading1"/>
        <w:pBdr>
          <w:bottom w:val="single" w:color="4F46E5" w:sz="16" w:space="6"/>
        </w:pBdr>
        <w:spacing w:before="560" w:after="200"/>
      </w:pPr>
      <w:r>
        <w:rPr>
          <w:rFonts w:ascii="Arial" w:cs="Arial" w:eastAsia="Arial" w:hAnsi="Arial"/>
          <w:b/>
          <w:bCs/>
          <w:color w:val="0F172A"/>
          <w:sz w:val="36"/>
          <w:szCs w:val="36"/>
        </w:rPr>
        <w:t xml:space="preserve">1. La Paradoja Alimentaria de México</w:t>
      </w:r>
    </w:p>
    <w:p>
      <w:pPr>
        <w:spacing w:before="80" w:after="120"/>
        <w:jc w:val="both"/>
      </w:pPr>
      <w:r>
        <w:rPr>
          <w:rFonts w:ascii="Arial" w:cs="Arial" w:eastAsia="Arial" w:hAnsi="Arial"/>
          <w:b w:val="false"/>
          <w:bCs w:val="false"/>
          <w:i w:val="false"/>
          <w:iCs w:val="false"/>
          <w:color w:val="334155"/>
          <w:sz w:val="21"/>
          <w:szCs w:val="21"/>
        </w:rPr>
        <w:t xml:space="preserve">México enfrenta una contradicción estructural que ninguna política pública ha resuelto de forma integral: el país produce alimentos suficientes para alimentar a toda su población y simultáneamente despilfarra más de un tercio de ellos, mientras millones de hogares no tienen acceso seguro a la alimentación.</w:t>
      </w:r>
    </w:p>
    <w:p>
      <w:pPr>
        <w:spacing w:before="80"/>
      </w:pPr>
      <w:r>
        <w:t xml:space="preserve"/>
      </w:r>
    </w:p>
    <w:p>
      <w:pPr>
        <w:spacing w:before="300" w:after="100"/>
      </w:pPr>
      <w:r>
        <w:rPr>
          <w:rFonts w:ascii="Arial" w:cs="Arial" w:eastAsia="Arial" w:hAnsi="Arial"/>
          <w:b/>
          <w:bCs/>
          <w:color w:val="4F46E5"/>
          <w:sz w:val="22"/>
          <w:szCs w:val="22"/>
        </w:rPr>
        <w:t xml:space="preserve">1.1  La Magnitud del Desperdicio</w:t>
      </w:r>
    </w:p>
    <w:p>
      <w:pPr>
        <w:spacing w:before="80" w:after="120"/>
        <w:jc w:val="both"/>
      </w:pPr>
      <w:r>
        <w:rPr>
          <w:rFonts w:ascii="Arial" w:cs="Arial" w:eastAsia="Arial" w:hAnsi="Arial"/>
          <w:b w:val="false"/>
          <w:bCs w:val="false"/>
          <w:i w:val="false"/>
          <w:iCs w:val="false"/>
          <w:color w:val="334155"/>
          <w:sz w:val="21"/>
          <w:szCs w:val="21"/>
        </w:rPr>
        <w:t xml:space="preserve">De acuerdo con la Red de Bancos de Alimentos de México (Red BAMX, enero 2025), México desperdicia más de 30 millones de toneladas de alimentos al año, equivalentes al 40% de la producción total nacional. Esta cifra es consistente con estimaciones previas: el Banco Mundial (2022) documentó al menos 20 millones de toneladas anuales desperdiciadas desde la granja hasta el punto de venta, y la FAO reporta que alrededor del 37% de los alimentos disponibles para consumo humano en México se pierden o desperdician (BID / SAGARPA, citado en múltiples estudios). WRAP (2022) estimó el costo económico de esta ineficiencia en 25,000 millones de dólares anuales, equivalente al 2.5% del PIB nacional.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Indicador</w:t>
            </w:r>
          </w:p>
        </w:tc>
        <w:tc>
          <w:tcPr>
            <w:tcW w:type="dxa" w:w="676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 y Fuente</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Desperdicio anual de alimentos</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30+ millones de toneladas — 40% de la producción total (Red BAMX, 2025)</w:t>
            </w:r>
          </w:p>
        </w:tc>
      </w:tr>
      <w:tr>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Costo económico del desperdicio</w:t>
            </w:r>
          </w:p>
        </w:tc>
        <w:tc>
          <w:tcPr>
            <w:tcW w:type="dxa" w:w="6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USD $25,000 millones/año — 2.5% del PIB (Banco Mundial / WRAP, 2022)</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Alimentos desperdiciados por mexicano</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90 kg per cápita al año (Red BAMX / The Food Tech, 2024)</w:t>
            </w:r>
          </w:p>
        </w:tc>
      </w:tr>
      <w:tr>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Alimentos rescatados por la Red BAMX</w:t>
            </w:r>
          </w:p>
        </w:tc>
        <w:tc>
          <w:tcPr>
            <w:tcW w:type="dxa" w:w="6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171,649 toneladas en 2023 — menos del 0.8% del total desperdiciado (Pie de Página / BAMX, 2024)</w:t>
            </w:r>
          </w:p>
        </w:tc>
      </w:tr>
      <w:tr>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Gap estructural de rescate</w:t>
            </w:r>
          </w:p>
        </w:tc>
        <w:tc>
          <w:tcPr>
            <w:tcW w:type="dxa" w:w="6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&gt;99.2% del alimento apto para donación nunca es rescatado (BAMX, The Food Tech, 2024)</w:t>
            </w:r>
          </w:p>
        </w:tc>
      </w:tr>
    </w:tbl>
    <w:p>
      <w:pPr>
        <w:spacing w:before="120"/>
      </w:pPr>
      <w:r>
        <w:t xml:space="preserve"/>
      </w:r>
    </w:p>
    <w:p>
      <w:pPr>
        <w:spacing w:before="300" w:after="100"/>
      </w:pPr>
      <w:r>
        <w:rPr>
          <w:rFonts w:ascii="Arial" w:cs="Arial" w:eastAsia="Arial" w:hAnsi="Arial"/>
          <w:b/>
          <w:bCs/>
          <w:color w:val="4F46E5"/>
          <w:sz w:val="22"/>
          <w:szCs w:val="22"/>
        </w:rPr>
        <w:t xml:space="preserve">1.2  La Inseguridad Alimentaria Simultánea</w:t>
      </w:r>
    </w:p>
    <w:p>
      <w:pPr>
        <w:spacing w:before="80" w:after="120"/>
        <w:jc w:val="both"/>
      </w:pPr>
      <w:r>
        <w:rPr>
          <w:rFonts w:ascii="Arial" w:cs="Arial" w:eastAsia="Arial" w:hAnsi="Arial"/>
          <w:b w:val="false"/>
          <w:bCs w:val="false"/>
          <w:i w:val="false"/>
          <w:iCs w:val="false"/>
          <w:color w:val="334155"/>
          <w:sz w:val="21"/>
          <w:szCs w:val="21"/>
        </w:rPr>
        <w:t xml:space="preserve">Al mismo tiempo que se desperdician decenas de millones de toneladas, el 33.1% de los hogares mexicanos experimentó algún grado de inseguridad alimentaria en 2024 (INEGI, 2024), equivalente a 12.85 millones de hogares. La FAO reporta que el alimento desperdiciado solo en América Latina podría alimentar a 300 millones de personas. De acuerdo con CONEVAL (2024), 24 millones de personas en México no tienen acceso regular a una alimentación segura y suficiente.</w:t>
      </w:r>
    </w:p>
    <w:p>
      <w:pPr>
        <w:spacing w:before="80" w:after="120"/>
        <w:jc w:val="both"/>
      </w:pPr>
      <w:r>
        <w:rPr>
          <w:rFonts w:ascii="Arial" w:cs="Arial" w:eastAsia="Arial" w:hAnsi="Arial"/>
          <w:b w:val="false"/>
          <w:bCs w:val="false"/>
          <w:i w:val="false"/>
          <w:iCs w:val="false"/>
          <w:color w:val="334155"/>
          <w:sz w:val="21"/>
          <w:szCs w:val="21"/>
        </w:rPr>
        <w:t xml:space="preserve">Esta es la paradoja que CibusChain ataca directamente: la solución al hambre existe materialmente en forma de alimento ya producido, ya cocinado, y ya declarado excedente por las propias empresas del sector de comida rápida. El problema no es de producción — es de infraestructura de distribución en el momento crítico.</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2. Por Qué las Soluciones Existentes Son Insuficientes</w:t>
      </w:r>
    </w:p>
    <w:p>
      <w:pPr>
        <w:spacing w:before="80" w:after="120"/>
        <w:jc w:val="both"/>
      </w:pPr>
      <w:r>
        <w:rPr>
          <w:rFonts w:ascii="Arial" w:cs="Arial" w:eastAsia="Arial" w:hAnsi="Arial"/>
          <w:b w:val="false"/>
          <w:bCs w:val="false"/>
          <w:i w:val="false"/>
          <w:iCs w:val="false"/>
          <w:color w:val="334155"/>
          <w:sz w:val="21"/>
          <w:szCs w:val="21"/>
        </w:rPr>
        <w:t xml:space="preserve">Que el problema exista no es suficiente para justificar una solución nueva. Es necesario demostrar por qué los mecanismos actuales son estructuralmente incapaces de resolverlo en el contexto específico del sector de comida rápida con producto preparado.</w:t>
      </w:r>
    </w:p>
    <w:p>
      <w:pPr>
        <w:spacing w:before="80"/>
      </w:pPr>
      <w:r>
        <w:t xml:space="preserve"/>
      </w:r>
    </w:p>
    <w:p>
      <w:pPr>
        <w:spacing w:before="300" w:after="100"/>
      </w:pPr>
      <w:r>
        <w:rPr>
          <w:rFonts w:ascii="Arial" w:cs="Arial" w:eastAsia="Arial" w:hAnsi="Arial"/>
          <w:b/>
          <w:bCs/>
          <w:color w:val="4F46E5"/>
          <w:sz w:val="22"/>
          <w:szCs w:val="22"/>
        </w:rPr>
        <w:t xml:space="preserve">2.1  Bancos de Alimentos — El Modelo Logístico Incompatible</w:t>
      </w:r>
    </w:p>
    <w:p>
      <w:pPr>
        <w:spacing w:before="80" w:after="120"/>
        <w:jc w:val="both"/>
      </w:pPr>
      <w:r>
        <w:rPr>
          <w:rFonts w:ascii="Arial" w:cs="Arial" w:eastAsia="Arial" w:hAnsi="Arial"/>
          <w:b w:val="false"/>
          <w:bCs w:val="false"/>
          <w:i w:val="false"/>
          <w:iCs w:val="false"/>
          <w:color w:val="334155"/>
          <w:sz w:val="21"/>
          <w:szCs w:val="21"/>
        </w:rPr>
        <w:t xml:space="preserve">La Red BAMX opera 60 bancos de alimentos en 30 estados y rescató 171,649 toneladas en 2023 — un logro significativo. Sin embargo, la propia Red BAMX reconoce públicamente que esto representa menos del 0.8% del total desperdiciado a nivel nacional (BAMX, The Food Tech, 2024). La razón estructural de este techo es el modelo logístico:</w:t>
      </w:r>
    </w:p>
    <w:p>
      <w:pPr>
        <w:pStyle w:val="ListParagraph"/>
        <w:numPr>
          <w:ilvl w:val="0"/>
          <w:numId w:val="2"/>
        </w:numPr>
        <w:spacing w:before="60" w:after="60"/>
      </w:pPr>
      <w:r>
        <w:rPr>
          <w:rFonts w:ascii="Arial" w:cs="Arial" w:eastAsia="Arial" w:hAnsi="Arial"/>
          <w:color w:val="334155"/>
          <w:sz w:val="21"/>
          <w:szCs w:val="21"/>
        </w:rPr>
        <w:t xml:space="preserve">Los bancos de alimentos operan con rutas programadas de recolección y capacidad de almacenamiento fría. Sus procesos están optimizados para productos no perecederos, frutas y verduras, y alimentos a nivel de cadena de suministro.</w:t>
      </w:r>
    </w:p>
    <w:p>
      <w:pPr>
        <w:pStyle w:val="ListParagraph"/>
        <w:numPr>
          <w:ilvl w:val="0"/>
          <w:numId w:val="2"/>
        </w:numPr>
        <w:spacing w:before="60" w:after="60"/>
      </w:pPr>
      <w:r>
        <w:rPr>
          <w:rFonts w:ascii="Arial" w:cs="Arial" w:eastAsia="Arial" w:hAnsi="Arial"/>
          <w:color w:val="334155"/>
          <w:sz w:val="21"/>
          <w:szCs w:val="21"/>
        </w:rPr>
        <w:t xml:space="preserve">El 52% de lo que rescata Red BAMX son no perecederos; el 45% son frutas y verduras. El producto preparado de comida rápida — con vida útil de 15 minutos a 4 horas — no es compatible con este modelo.</w:t>
      </w:r>
    </w:p>
    <w:p>
      <w:pPr>
        <w:pStyle w:val="ListParagraph"/>
        <w:numPr>
          <w:ilvl w:val="0"/>
          <w:numId w:val="2"/>
        </w:numPr>
        <w:spacing w:before="60" w:after="60"/>
      </w:pPr>
      <w:r>
        <w:rPr>
          <w:rFonts w:ascii="Arial" w:cs="Arial" w:eastAsia="Arial" w:hAnsi="Arial"/>
          <w:color w:val="334155"/>
          <w:sz w:val="21"/>
          <w:szCs w:val="21"/>
        </w:rPr>
        <w:t xml:space="preserve">Un banco de alimentos no puede responder en 10 minutos. Sus protocolos de recepción, clasificación y distribución están diseñados para horas o días, no para minutos.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1E293B" w:val="clear"/>
            <w:tcMar>
              <w:top w:type="dxa" w:w="110"/>
              <w:left w:type="dxa" w:w="200"/>
              <w:bottom w:type="dxa" w:w="110"/>
              <w:right w:type="dxa" w:w="200"/>
            </w:tcMar>
          </w:tcPr>
          <w:p>
            <w:r>
              <w:rPr>
                <w:rFonts w:ascii="Arial" w:cs="Arial" w:eastAsia="Arial" w:hAnsi="Arial"/>
                <w:b/>
                <w:bCs/>
                <w:color w:val="4F46E5"/>
                <w:sz w:val="21"/>
                <w:szCs w:val="21"/>
              </w:rPr>
              <w:t xml:space="preserve">La incompatibilidad central</w:t>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Un banco de alimentos llega a la sucursal de McDonald's cuando tiene ruta programada.</w:t>
            </w:r>
          </w:p>
        </w:tc>
      </w:tr>
      <w:tr>
        <w:tc>
          <w:tcPr>
            <w:tcW w:type="dxa" w:w="9360"/>
            <w:tcBorders>
              <w:top w:val="single" w:color="E2E8F0" w:sz="4"/>
              <w:left w:val="single" w:color="E2E8F0" w:sz="4"/>
              <w:bottom w:val="single" w:color="E2E8F0" w:sz="4"/>
              <w:right w:val="single" w:color="E2E8F0" w:sz="4"/>
            </w:tcBorders>
            <w:shd w:fill="F8FAFC" w:val="clear"/>
            <w:tcMar>
              <w:top w:type="dxa" w:w="90"/>
              <w:left w:type="dxa" w:w="200"/>
              <w:bottom w:type="dxa" w:w="90"/>
              <w:right w:type="dxa" w:w="200"/>
            </w:tcMar>
          </w:tcPr>
          <w:p>
            <w:r>
              <w:rPr>
                <w:rFonts w:ascii="Arial" w:cs="Arial" w:eastAsia="Arial" w:hAnsi="Arial"/>
                <w:color w:val="334155"/>
                <w:sz w:val="20"/>
                <w:szCs w:val="20"/>
              </w:rPr>
              <w:t xml:space="preserve">Una hamburguesa preparada tiene 15–20 minutos de vida útil comercial.</w:t>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Estos dos tiempos son incompatibles por definición.</w:t>
            </w:r>
          </w:p>
        </w:tc>
      </w:tr>
      <w:tr>
        <w:tc>
          <w:tcPr>
            <w:tcW w:type="dxa" w:w="9360"/>
            <w:tcBorders>
              <w:top w:val="single" w:color="E2E8F0" w:sz="4"/>
              <w:left w:val="single" w:color="E2E8F0" w:sz="4"/>
              <w:bottom w:val="single" w:color="E2E8F0" w:sz="4"/>
              <w:right w:val="single" w:color="E2E8F0" w:sz="4"/>
            </w:tcBorders>
            <w:shd w:fill="F8FAFC" w:val="clear"/>
            <w:tcMar>
              <w:top w:type="dxa" w:w="90"/>
              <w:left w:type="dxa" w:w="200"/>
              <w:bottom w:type="dxa" w:w="90"/>
              <w:right w:type="dxa" w:w="200"/>
            </w:tcMar>
          </w:tcPr>
          <w:p>
            <w:r>
              <w:rPr>
                <w:rFonts w:ascii="Arial" w:cs="Arial" w:eastAsia="Arial" w:hAnsi="Arial"/>
                <w:color w:val="334155"/>
                <w:sz w:val="20"/>
                <w:szCs w:val="20"/>
              </w:rPr>
              <w:t xml:space="preserve">CibusChain no compite con los bancos de alimentos — resuelve el problema que ellos</w:t>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estructuralmente no pueden resolver.</w:t>
            </w:r>
          </w:p>
        </w:tc>
      </w:tr>
    </w:tbl>
    <w:p>
      <w:pPr>
        <w:spacing w:before="120"/>
      </w:pPr>
      <w:r>
        <w:t xml:space="preserve"/>
      </w:r>
    </w:p>
    <w:p>
      <w:pPr>
        <w:spacing w:before="300" w:after="100"/>
      </w:pPr>
      <w:r>
        <w:rPr>
          <w:rFonts w:ascii="Arial" w:cs="Arial" w:eastAsia="Arial" w:hAnsi="Arial"/>
          <w:b/>
          <w:bCs/>
          <w:color w:val="4F46E5"/>
          <w:sz w:val="22"/>
          <w:szCs w:val="22"/>
        </w:rPr>
        <w:t xml:space="preserve">2.2  Soluciones Tecnológicas Internacionales — El Vacío en México</w:t>
      </w:r>
    </w:p>
    <w:p>
      <w:pPr>
        <w:spacing w:before="80" w:after="120"/>
        <w:jc w:val="both"/>
      </w:pPr>
      <w:r>
        <w:rPr>
          <w:rFonts w:ascii="Arial" w:cs="Arial" w:eastAsia="Arial" w:hAnsi="Arial"/>
          <w:b w:val="false"/>
          <w:bCs w:val="false"/>
          <w:i w:val="false"/>
          <w:iCs w:val="false"/>
          <w:color w:val="334155"/>
          <w:sz w:val="21"/>
          <w:szCs w:val="21"/>
        </w:rPr>
        <w:t xml:space="preserve">A nivel global, existe evidencia de que el problema es solucionable con tecnología. Too Good To Go, fundada en 2016 en Copenhague, opera hoy en 21 países con 120 millones de usuarios y 180,000 establecimientos adheridos. Ha contribuido a evitar el desperdicio de más de 500 millones de comidas (Too Good To Go, 2025). Su modelo demuestra que los consumidores adoptan plataformas de rescate de alimentos cuando la experiencia es conveniente.</w:t>
      </w:r>
    </w:p>
    <w:p>
      <w:pPr>
        <w:spacing w:before="80" w:after="120"/>
        <w:jc w:val="both"/>
      </w:pPr>
      <w:r>
        <w:rPr>
          <w:rFonts w:ascii="Arial" w:cs="Arial" w:eastAsia="Arial" w:hAnsi="Arial"/>
          <w:b w:val="false"/>
          <w:bCs w:val="false"/>
          <w:i w:val="false"/>
          <w:iCs w:val="false"/>
          <w:color w:val="334155"/>
          <w:sz w:val="21"/>
          <w:szCs w:val="21"/>
        </w:rPr>
        <w:t xml:space="preserve">Sin embargo, Too Good To Go opera bajo un modelo de venta a precio reducido — no de donación. Esto lo hace incompatible con el régimen fiscal mexicano de deducción de donaciones del Art. 27 LISR, y excluye a los beneficiarios sin capacidad de pago. Además, no opera en México. La aplicación Cheaf opera localmente con un modelo similar al de Too Good To Go, alcanzando 1.9 millones de usuarios en México, pero igualmente bajo un modelo de venta a precio reducido, no de donación certificada con trazabilidad para efectos del SAT.</w:t>
      </w:r>
    </w:p>
    <w:p>
      <w:pPr>
        <w:spacing w:before="80" w:after="120"/>
        <w:jc w:val="both"/>
      </w:pPr>
      <w:r>
        <w:rPr>
          <w:rFonts w:ascii="Arial" w:cs="Arial" w:eastAsia="Arial" w:hAnsi="Arial"/>
          <w:b w:val="false"/>
          <w:bCs w:val="false"/>
          <w:i w:val="false"/>
          <w:iCs w:val="false"/>
          <w:color w:val="334155"/>
          <w:sz w:val="21"/>
          <w:szCs w:val="21"/>
        </w:rPr>
        <w:t xml:space="preserve">En México no existe actualmente ninguna plataforma tecnológica diseñada específicamente para el rescate de alimentos preparados de comida rápida con trazabilidad documental completa para efectos fiscales.</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3. El Marco Regulatorio como Urgencia — No es RSE, es Obligación Legal</w:t>
      </w:r>
    </w:p>
    <w:p>
      <w:pPr>
        <w:spacing w:before="80" w:after="120"/>
        <w:jc w:val="both"/>
      </w:pPr>
      <w:r>
        <w:rPr>
          <w:rFonts w:ascii="Arial" w:cs="Arial" w:eastAsia="Arial" w:hAnsi="Arial"/>
          <w:b w:val="false"/>
          <w:bCs w:val="false"/>
          <w:i w:val="false"/>
          <w:iCs w:val="false"/>
          <w:color w:val="334155"/>
          <w:sz w:val="21"/>
          <w:szCs w:val="21"/>
        </w:rPr>
        <w:t xml:space="preserve">CibusChain no es una propuesta de Responsabilidad Social Empresarial opcional. Es una infraestructura de cumplimiento regulatorio ante obligaciones legales vigentes que las empresas del sector de alimentos preparados deben atender.</w:t>
      </w:r>
    </w:p>
    <w:p>
      <w:pPr>
        <w:spacing w:before="80"/>
      </w:pPr>
      <w:r>
        <w:t xml:space="preserve"/>
      </w:r>
    </w:p>
    <w:p>
      <w:pPr>
        <w:spacing w:before="300" w:after="100"/>
      </w:pPr>
      <w:r>
        <w:rPr>
          <w:rFonts w:ascii="Arial" w:cs="Arial" w:eastAsia="Arial" w:hAnsi="Arial"/>
          <w:b/>
          <w:bCs/>
          <w:color w:val="4F46E5"/>
          <w:sz w:val="22"/>
          <w:szCs w:val="22"/>
        </w:rPr>
        <w:t xml:space="preserve">3.1  LGAAS 2024 — Artículo 55: La Prohibición de Desechar</w:t>
      </w:r>
    </w:p>
    <w:p>
      <w:pPr>
        <w:spacing w:before="80" w:after="120"/>
        <w:jc w:val="both"/>
      </w:pPr>
      <w:r>
        <w:rPr>
          <w:rFonts w:ascii="Arial" w:cs="Arial" w:eastAsia="Arial" w:hAnsi="Arial"/>
          <w:b w:val="false"/>
          <w:bCs w:val="false"/>
          <w:i w:val="false"/>
          <w:iCs w:val="false"/>
          <w:color w:val="334155"/>
          <w:sz w:val="21"/>
          <w:szCs w:val="21"/>
        </w:rPr>
        <w:t xml:space="preserve">La Ley General de la Alimentación Adecuada y Sostenible, publicada en el Diario Oficial de la Federación el 17 de abril de 2024, establece en su Artículo 55 la prohibición explícita a los establecimientos comerciales de desechar alimentos que se encuentren en condiciones de ser consumidos por seres humanos, de acuerdo con lo dispuesto en el Reglamento.</w:t>
      </w:r>
    </w:p>
    <w:p>
      <w:pPr>
        <w:spacing w:before="80" w:after="120"/>
        <w:jc w:val="both"/>
      </w:pPr>
      <w:r>
        <w:rPr>
          <w:rFonts w:ascii="Arial" w:cs="Arial" w:eastAsia="Arial" w:hAnsi="Arial"/>
          <w:b w:val="false"/>
          <w:bCs w:val="false"/>
          <w:i w:val="false"/>
          <w:iCs w:val="false"/>
          <w:color w:val="334155"/>
          <w:sz w:val="21"/>
          <w:szCs w:val="21"/>
        </w:rPr>
        <w:t xml:space="preserve">Esta disposición convierte el desecho de alimento apto para consumo en una infracción legal, no en una decisión empresarial. McDonald's México, con 375 sucursales que operan de forma diaria, está expuesto a esta normativa en cada turno de operación.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10"/>
              <w:left w:type="dxa" w:w="200"/>
              <w:bottom w:type="dxa" w:w="110"/>
              <w:right w:type="dxa" w:w="200"/>
            </w:tcMar>
          </w:tcPr>
          <w:p>
            <w:r>
              <w:rPr>
                <w:rFonts w:ascii="Arial" w:cs="Arial" w:eastAsia="Arial" w:hAnsi="Arial"/>
                <w:b/>
                <w:bCs/>
                <w:color w:val="D97706"/>
                <w:sz w:val="21"/>
                <w:szCs w:val="21"/>
              </w:rPr>
              <w:t xml:space="preserve">Artículo 55 — LGAAS 2024 (DOF, 17 de abril de 2024)</w:t>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"Se prohíbe que los establecimientos comerciales desechen alimentos que se encuentren</w:t>
            </w:r>
          </w:p>
        </w:tc>
      </w:tr>
      <w:tr>
        <w:tc>
          <w:tcPr>
            <w:tcW w:type="dxa" w:w="9360"/>
            <w:tcBorders>
              <w:top w:val="single" w:color="E2E8F0" w:sz="4"/>
              <w:left w:val="single" w:color="E2E8F0" w:sz="4"/>
              <w:bottom w:val="single" w:color="E2E8F0" w:sz="4"/>
              <w:right w:val="single" w:color="E2E8F0" w:sz="4"/>
            </w:tcBorders>
            <w:shd w:fill="F8FAFC" w:val="clear"/>
            <w:tcMar>
              <w:top w:type="dxa" w:w="90"/>
              <w:left w:type="dxa" w:w="200"/>
              <w:bottom w:type="dxa" w:w="90"/>
              <w:right w:type="dxa" w:w="200"/>
            </w:tcMar>
          </w:tcPr>
          <w:p>
            <w:r>
              <w:rPr>
                <w:rFonts w:ascii="Arial" w:cs="Arial" w:eastAsia="Arial" w:hAnsi="Arial"/>
                <w:color w:val="334155"/>
                <w:sz w:val="20"/>
                <w:szCs w:val="20"/>
              </w:rPr>
              <w:t xml:space="preserve">en condiciones de ser consumidos por los seres humanos, de acuerdo con lo dispuesto</w:t>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en el Reglamento."</w:t>
            </w:r>
          </w:p>
        </w:tc>
      </w:tr>
      <w:tr>
        <w:tc>
          <w:tcPr>
            <w:tcW w:type="dxa" w:w="9360"/>
            <w:tcBorders>
              <w:top w:val="single" w:color="E2E8F0" w:sz="4"/>
              <w:left w:val="single" w:color="E2E8F0" w:sz="4"/>
              <w:bottom w:val="single" w:color="E2E8F0" w:sz="4"/>
              <w:right w:val="single" w:color="E2E8F0" w:sz="4"/>
            </w:tcBorders>
            <w:shd w:fill="F8FAFC" w:val="clear"/>
            <w:tcMar>
              <w:top w:type="dxa" w:w="90"/>
              <w:left w:type="dxa" w:w="200"/>
              <w:bottom w:type="dxa" w:w="90"/>
              <w:right w:type="dxa" w:w="200"/>
            </w:tcMar>
          </w:tcPr>
          <w:p>
            <w:r>
              <w:rPr>
                <w:rFonts w:ascii="Arial" w:cs="Arial" w:eastAsia="Arial" w:hAnsi="Arial"/>
                <w:color w:val="334155"/>
                <w:sz w:val="20"/>
                <w:szCs w:val="20"/>
              </w:rPr>
              <w:t xml:space="preserve"/>
            </w:r>
          </w:p>
        </w:tc>
      </w:tr>
      <w:tr>
        <w:tc>
          <w:tcPr>
            <w:tcW w:type="dxa" w:w="9360"/>
            <w:tcBorders>
              <w:top w:val="single" w:color="E2E8F0" w:sz="4"/>
              <w:left w:val="single" w:color="E2E8F0" w:sz="4"/>
              <w:bottom w:val="single" w:color="E2E8F0" w:sz="4"/>
              <w:right w:val="single" w:color="E2E8F0" w:sz="4"/>
            </w:tcBorders>
            <w:shd w:fill="FFFFFF" w:val="clear"/>
            <w:tcMar>
              <w:top w:type="dxa" w:w="90"/>
              <w:left w:type="dxa" w:w="200"/>
              <w:bottom w:type="dxa" w:w="90"/>
              <w:right w:type="dxa" w:w="200"/>
            </w:tcMar>
          </w:tcPr>
          <w:p>
            <w:r>
              <w:rPr>
                <w:rFonts w:ascii="Arial" w:cs="Arial" w:eastAsia="Arial" w:hAnsi="Arial"/>
                <w:color w:val="334155"/>
                <w:sz w:val="20"/>
                <w:szCs w:val="20"/>
              </w:rPr>
              <w:t xml:space="preserve">Implicación operativa: McDonald's no puede legalmente tirar producto preparado apto para</w:t>
            </w:r>
          </w:p>
        </w:tc>
      </w:tr>
      <w:tr>
        <w:tc>
          <w:tcPr>
            <w:tcW w:type="dxa" w:w="9360"/>
            <w:tcBorders>
              <w:top w:val="single" w:color="E2E8F0" w:sz="4"/>
              <w:left w:val="single" w:color="E2E8F0" w:sz="4"/>
              <w:bottom w:val="single" w:color="E2E8F0" w:sz="4"/>
              <w:right w:val="single" w:color="E2E8F0" w:sz="4"/>
            </w:tcBorders>
            <w:shd w:fill="F8FAFC" w:val="clear"/>
            <w:tcMar>
              <w:top w:type="dxa" w:w="90"/>
              <w:left w:type="dxa" w:w="200"/>
              <w:bottom w:type="dxa" w:w="90"/>
              <w:right w:type="dxa" w:w="200"/>
            </w:tcMar>
          </w:tcPr>
          <w:p>
            <w:r>
              <w:rPr>
                <w:rFonts w:ascii="Arial" w:cs="Arial" w:eastAsia="Arial" w:hAnsi="Arial"/>
                <w:color w:val="334155"/>
                <w:sz w:val="20"/>
                <w:szCs w:val="20"/>
              </w:rPr>
              <w:t xml:space="preserve">consumo sin haber acreditado que ofreció la donación conforme a los requisitos del Reglamento.</w:t>
            </w:r>
          </w:p>
        </w:tc>
      </w:tr>
    </w:tbl>
    <w:p>
      <w:pPr>
        <w:spacing w:before="120"/>
      </w:pPr>
      <w:r>
        <w:t xml:space="preserve"/>
      </w:r>
    </w:p>
    <w:p>
      <w:pPr>
        <w:spacing w:before="300" w:after="100"/>
      </w:pPr>
      <w:r>
        <w:rPr>
          <w:rFonts w:ascii="Arial" w:cs="Arial" w:eastAsia="Arial" w:hAnsi="Arial"/>
          <w:b/>
          <w:bCs/>
          <w:color w:val="4F46E5"/>
          <w:sz w:val="22"/>
          <w:szCs w:val="22"/>
        </w:rPr>
        <w:t xml:space="preserve">3.2  Ley para la Donación Altruista de Alimentos de la CDMX</w:t>
      </w:r>
    </w:p>
    <w:p>
      <w:pPr>
        <w:spacing w:before="80" w:after="120"/>
        <w:jc w:val="both"/>
      </w:pPr>
      <w:r>
        <w:rPr>
          <w:rFonts w:ascii="Arial" w:cs="Arial" w:eastAsia="Arial" w:hAnsi="Arial"/>
          <w:b w:val="false"/>
          <w:bCs w:val="false"/>
          <w:i w:val="false"/>
          <w:iCs w:val="false"/>
          <w:color w:val="334155"/>
          <w:sz w:val="21"/>
          <w:szCs w:val="21"/>
        </w:rPr>
        <w:t xml:space="preserve">Además del marco federal, la Ciudad de México cuenta con su propia Ley para la Donación Altruista de Alimentos (publicada en la Gaceta Oficial del 16 de febrero de 2017), cuyo Artículo 4 establece que en la Ciudad de México queda prohibido el desperdicio de alimentos aptos para el consumo humano cuando estos sean susceptibles de donación altruista. Dado que una parte significativa de las sucursales de McDonald's México opera en CDMX, esta disposición añade una capa regulatoria local.</w:t>
      </w:r>
    </w:p>
    <w:p>
      <w:pPr>
        <w:spacing w:before="80"/>
      </w:pPr>
      <w:r>
        <w:t xml:space="preserve"/>
      </w:r>
    </w:p>
    <w:p>
      <w:pPr>
        <w:spacing w:before="300" w:after="100"/>
      </w:pPr>
      <w:r>
        <w:rPr>
          <w:rFonts w:ascii="Arial" w:cs="Arial" w:eastAsia="Arial" w:hAnsi="Arial"/>
          <w:b/>
          <w:bCs/>
          <w:color w:val="4F46E5"/>
          <w:sz w:val="22"/>
          <w:szCs w:val="22"/>
        </w:rPr>
        <w:t xml:space="preserve">3.3  NOM-251-SSA1-2009 — Trazabilidad Sanitaria</w:t>
      </w:r>
    </w:p>
    <w:p>
      <w:pPr>
        <w:spacing w:before="80" w:after="120"/>
        <w:jc w:val="both"/>
      </w:pPr>
      <w:r>
        <w:rPr>
          <w:rFonts w:ascii="Arial" w:cs="Arial" w:eastAsia="Arial" w:hAnsi="Arial"/>
          <w:b w:val="false"/>
          <w:bCs w:val="false"/>
          <w:i w:val="false"/>
          <w:iCs w:val="false"/>
          <w:color w:val="334155"/>
          <w:sz w:val="21"/>
          <w:szCs w:val="21"/>
        </w:rPr>
        <w:t xml:space="preserve">La Norma Oficial Mexicana NOM-251-SSA1-2009 establece los requisitos de prácticas de higiene para el proceso de alimentos, bebidas o suplementos alimenticios. Cualquier proceso de donación de alimentos preparados debe demostrar que la cadena de custodia del alimento fue documentada desde el establecimiento de origen hasta el receptor final. Sin trazabilidad documental, la empresa donadora queda expuesta a responsabilidad sanitaria en caso de cualquier incidente posterior.</w:t>
      </w:r>
    </w:p>
    <w:p>
      <w:pPr>
        <w:spacing w:before="80" w:after="120"/>
        <w:jc w:val="both"/>
      </w:pPr>
      <w:r>
        <w:rPr>
          <w:rFonts w:ascii="Arial" w:cs="Arial" w:eastAsia="Arial" w:hAnsi="Arial"/>
          <w:b w:val="false"/>
          <w:bCs w:val="false"/>
          <w:i w:val="false"/>
          <w:iCs w:val="false"/>
          <w:color w:val="334155"/>
          <w:sz w:val="21"/>
          <w:szCs w:val="21"/>
        </w:rPr>
        <w:t xml:space="preserve">CibusChain genera automáticamente esta trazabilidad mediante el Doble Handshake Digital, resolviendo el requisito de NOM-251 como consecuencia natural de la operación del sistema.</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4. El Argumento Financiero — El Costo de No Actuar</w:t>
      </w:r>
    </w:p>
    <w:p>
      <w:pPr>
        <w:spacing w:before="80" w:after="120"/>
        <w:jc w:val="both"/>
      </w:pPr>
      <w:r>
        <w:rPr>
          <w:rFonts w:ascii="Arial" w:cs="Arial" w:eastAsia="Arial" w:hAnsi="Arial"/>
          <w:b w:val="false"/>
          <w:bCs w:val="false"/>
          <w:i w:val="false"/>
          <w:iCs w:val="false"/>
          <w:color w:val="334155"/>
          <w:sz w:val="21"/>
          <w:szCs w:val="21"/>
        </w:rPr>
        <w:t xml:space="preserve">Una empresa adopta una solución cuando el costo de no adoptarla supera el costo de adoptarla. En el caso de CibusChain, el argumento financiero es cuantificable y está respaldado por instrumentos fiscales vigentes.</w:t>
      </w:r>
    </w:p>
    <w:p>
      <w:pPr>
        <w:spacing w:before="80"/>
      </w:pPr>
      <w:r>
        <w:t xml:space="preserve"/>
      </w:r>
    </w:p>
    <w:p>
      <w:pPr>
        <w:spacing w:before="300" w:after="100"/>
      </w:pPr>
      <w:r>
        <w:rPr>
          <w:rFonts w:ascii="Arial" w:cs="Arial" w:eastAsia="Arial" w:hAnsi="Arial"/>
          <w:b/>
          <w:bCs/>
          <w:color w:val="4F46E5"/>
          <w:sz w:val="22"/>
          <w:szCs w:val="22"/>
        </w:rPr>
        <w:t xml:space="preserve">4.1  El Estímulo Fiscal del Artículo 27 LISR</w:t>
      </w:r>
    </w:p>
    <w:p>
      <w:pPr>
        <w:spacing w:before="80" w:after="120"/>
        <w:jc w:val="both"/>
      </w:pPr>
      <w:r>
        <w:rPr>
          <w:rFonts w:ascii="Arial" w:cs="Arial" w:eastAsia="Arial" w:hAnsi="Arial"/>
          <w:b w:val="false"/>
          <w:bCs w:val="false"/>
          <w:i w:val="false"/>
          <w:iCs w:val="false"/>
          <w:color w:val="334155"/>
          <w:sz w:val="21"/>
          <w:szCs w:val="21"/>
        </w:rPr>
        <w:t xml:space="preserve">El Artículo 27 de la Ley del Impuesto Sobre la Renta (LISR) permite a los contribuyentes deducir de su base gravable las mercancías, materias primas, productos semiterminados o terminados que donen a instituciones autorizadas para recibir donativos deducibles, dedicadas a la atención de requerimientos básicos de subsistencia en materia de alimentación, cuando se trate de bienes básicos para subsistencia humana. Esta deducción opera directamente sobre los inventarios y no está sujeta al límite del 7% de la utilidad fiscal que aplica a otros donativos (SAT, Art. 27 fracción XX LISR).</w:t>
      </w:r>
    </w:p>
    <w:p>
      <w:pPr>
        <w:spacing w:before="80" w:after="120"/>
        <w:jc w:val="both"/>
      </w:pPr>
      <w:r>
        <w:rPr>
          <w:rFonts w:ascii="Arial" w:cs="Arial" w:eastAsia="Arial" w:hAnsi="Arial"/>
          <w:b w:val="false"/>
          <w:bCs w:val="false"/>
          <w:i w:val="false"/>
          <w:iCs w:val="false"/>
          <w:color w:val="334155"/>
          <w:sz w:val="21"/>
          <w:szCs w:val="21"/>
        </w:rPr>
        <w:t xml:space="preserve">El mecanismo es: el alimento donado se deduce al 100% de su costo de producción. Para McDonald's, un producto preparado tiene un costo que incluye ingredientes, mano de obra y operación. Sin CibusChain, ese producto va a la basura con costo total absorbido como pérdida. Con CibusChain, el mismo costo se convierte en deducción fiscal activa.</w:t>
      </w:r>
    </w:p>
    <w:p>
      <w:pPr>
        <w:spacing w:before="80"/>
      </w:pPr>
      <w:r>
        <w:t xml:space="preserve"/>
      </w:r>
    </w:p>
    <w:p>
      <w:pPr>
        <w:spacing w:before="300" w:after="100"/>
      </w:pPr>
      <w:r>
        <w:rPr>
          <w:rFonts w:ascii="Arial" w:cs="Arial" w:eastAsia="Arial" w:hAnsi="Arial"/>
          <w:b/>
          <w:bCs/>
          <w:color w:val="4F46E5"/>
          <w:sz w:val="22"/>
          <w:szCs w:val="22"/>
        </w:rPr>
        <w:t xml:space="preserve">4.2  Cálculo de Recuperación Fiscal por Sucursal</w:t>
      </w:r>
    </w:p>
    <w:p>
      <w:pPr>
        <w:spacing w:before="80" w:after="120"/>
        <w:jc w:val="both"/>
      </w:pPr>
      <w:r>
        <w:rPr>
          <w:rFonts w:ascii="Arial" w:cs="Arial" w:eastAsia="Arial" w:hAnsi="Arial"/>
          <w:b w:val="false"/>
          <w:bCs w:val="false"/>
          <w:i w:val="false"/>
          <w:iCs w:val="false"/>
          <w:color w:val="334155"/>
          <w:sz w:val="21"/>
          <w:szCs w:val="21"/>
        </w:rPr>
        <w:t xml:space="preserve">El siguiente cálculo usa supuestos conservadores y documentados. El costo unitario promedio de un producto preparado en McDonald's México se estima en $18 MXN (costo de producción, no precio de venta). La tasa de merma operativa documentada para fast food de producción bajo demanda es del 4-6% (FAO / sector restaurantero). Se usa el 5% como valor central.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Concepto</w:t>
            </w:r>
          </w:p>
        </w:tc>
        <w:tc>
          <w:tcPr>
            <w:tcW w:type="dxa" w:w="22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Valor</w:t>
            </w:r>
          </w:p>
        </w:tc>
        <w:tc>
          <w:tcPr>
            <w:tcW w:type="dxa" w:w="436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Base</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Producción diaria por sucursal</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~1,200 unidades/día</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Sucursal de volumen promedio (estimación sectorial)</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Tasa de merma operativa</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5% de la producción</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Rango documentado FAO / sector fast food: 4-10%</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Merma diaria por sucursal</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~60 unidades/día</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1,200 × 0.05</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Peso promedio por unidad</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~220 gramos</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Producto preparado promedio (hamburguesa + acompañamiento)</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Merma en peso diaria</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~13 kg/sucursal/día</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60 × 0.22 kg</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Costo unitario promedio (producción)</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$18 MXN</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Estimación conservadora de costo, no precio de venta</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Valor de merma diaria</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$1,080 MXN/sucursal</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60 unidades × $18 MXN</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Valor de merma mensual</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$32,400 MXN/sucursal</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$1,080 × 30 días</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Deducción fiscal (100% del costo)</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$32,400 MXN/mes</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Art. 27 LISR — deducción directa de inventarios</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ISR a tasa corporativa del 30%</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$9,720 MXN/mes recuperados</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$32,400 × 0.30</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Recuperación fiscal anual/sucursal</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~$116,640 MXN/año</w:t>
            </w:r>
          </w:p>
        </w:tc>
        <w:tc>
          <w:tcPr>
            <w:tcW w:type="dxa" w:w="43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$9,720 × 12 meses</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Recuperación fiscal red completa (375 sucursales)</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~$43.7 millones MXN/año</w:t>
            </w:r>
          </w:p>
        </w:tc>
        <w:tc>
          <w:tcPr>
            <w:tcW w:type="dxa" w:w="43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$116,640 × 375</w:t>
            </w:r>
          </w:p>
        </w:tc>
      </w:tr>
    </w:tbl>
    <w:p>
      <w:pPr>
        <w:spacing w:before="80"/>
      </w:pPr>
      <w:r>
        <w:t xml:space="preserve"/>
      </w:r>
    </w:p>
    <w:p>
      <w:pPr>
        <w:spacing w:before="80" w:after="120"/>
        <w:jc w:val="both"/>
      </w:pPr>
      <w:r>
        <w:rPr>
          <w:rFonts w:ascii="Arial" w:cs="Arial" w:eastAsia="Arial" w:hAnsi="Arial"/>
          <w:b w:val="false"/>
          <w:bCs w:val="false"/>
          <w:i/>
          <w:iCs/>
          <w:color w:val="334155"/>
          <w:sz w:val="21"/>
          <w:szCs w:val="21"/>
        </w:rPr>
        <w:t xml:space="preserve">Nota metodológica: Este cálculo asume el 100% de rescate de la merma operativa. El objetivo realista de CibusChain al alcanzar madurez operativa es rescatar el 40% de esa merma, lo que produce una recuperación fiscal de ~$17.5 millones MXN anuales para la red completa de McDonald's México — una cifra conservadora y completamente defendible ante cualquier director financiero.</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5. Cuantificación del Impacto — Metodología Bottom-Up</w:t>
      </w:r>
    </w:p>
    <w:p>
      <w:pPr>
        <w:spacing w:before="80" w:after="120"/>
        <w:jc w:val="both"/>
      </w:pPr>
      <w:r>
        <w:rPr>
          <w:rFonts w:ascii="Arial" w:cs="Arial" w:eastAsia="Arial" w:hAnsi="Arial"/>
          <w:b w:val="false"/>
          <w:bCs w:val="false"/>
          <w:i w:val="false"/>
          <w:iCs w:val="false"/>
          <w:color w:val="334155"/>
          <w:sz w:val="21"/>
          <w:szCs w:val="21"/>
        </w:rPr>
        <w:t xml:space="preserve">El impacto de CibusChain se cuantifica usando metodología bottom-up: partiendo de datos específicos de la industria de comida rápida y McDonald's México específicamente, en lugar de desagregar cifras macro con porcentajes arbitrarios.</w:t>
      </w:r>
    </w:p>
    <w:p>
      <w:pPr>
        <w:spacing w:before="80"/>
      </w:pPr>
      <w:r>
        <w:t xml:space="preserve"/>
      </w:r>
    </w:p>
    <w:p>
      <w:pPr>
        <w:spacing w:before="300" w:after="100"/>
      </w:pPr>
      <w:r>
        <w:rPr>
          <w:rFonts w:ascii="Arial" w:cs="Arial" w:eastAsia="Arial" w:hAnsi="Arial"/>
          <w:b/>
          <w:bCs/>
          <w:color w:val="4F46E5"/>
          <w:sz w:val="22"/>
          <w:szCs w:val="22"/>
        </w:rPr>
        <w:t xml:space="preserve">5.1  Datos Base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w:t>
            </w:r>
          </w:p>
        </w:tc>
        <w:tc>
          <w:tcPr>
            <w:tcW w:type="dxa" w:w="30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Valor</w:t>
            </w:r>
          </w:p>
        </w:tc>
        <w:tc>
          <w:tcPr>
            <w:tcW w:type="dxa" w:w="396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Fuente</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Sucursales de McDonald's en México</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375 restaurantes (2025)</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Arcos Dorados / El Financiero, julio 2025</w:t>
            </w:r>
          </w:p>
        </w:tc>
      </w:tr>
      <w:tr>
        <w:tc>
          <w:tcPr>
            <w:tcW w:type="dxa" w:w="2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Posición en América Latina</w:t>
            </w:r>
          </w:p>
        </w:tc>
        <w:tc>
          <w:tcPr>
            <w:tcW w:type="dxa" w:w="3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 mercado más importante, después de Brasil</w:t>
            </w:r>
          </w:p>
        </w:tc>
        <w:tc>
          <w:tcPr>
            <w:tcW w:type="dxa" w:w="39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Arcos Dorados / El Financiero, julio 2025</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Empleados en México</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12,400+ jóvenes</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Arcos Dorados, 2024</w:t>
            </w:r>
          </w:p>
        </w:tc>
      </w:tr>
      <w:tr>
        <w:tc>
          <w:tcPr>
            <w:tcW w:type="dxa" w:w="2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Tasa de merma industria fast food</w:t>
            </w:r>
          </w:p>
        </w:tc>
        <w:tc>
          <w:tcPr>
            <w:tcW w:type="dxa" w:w="3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4-10% de alimentos procesados</w:t>
            </w:r>
          </w:p>
        </w:tc>
        <w:tc>
          <w:tcPr>
            <w:tcW w:type="dxa" w:w="39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FAO / sector restaurantero (market.us, 2026)</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Merma estimada McDonald's (producción bajo demanda)</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4-6% (modelo Made for You)</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Estimación sectorial conservadora</w:t>
            </w:r>
          </w:p>
        </w:tc>
      </w:tr>
      <w:tr>
        <w:tc>
          <w:tcPr>
            <w:tcW w:type="dxa" w:w="2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Merma operativa en peso</w:t>
            </w:r>
          </w:p>
        </w:tc>
        <w:tc>
          <w:tcPr>
            <w:tcW w:type="dxa" w:w="3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~13 kg/sucursal/día</w:t>
            </w:r>
          </w:p>
        </w:tc>
        <w:tc>
          <w:tcPr>
            <w:tcW w:type="dxa" w:w="39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Cálculo bottom-up documentado (ver Sección 4)</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Potencial de rescate red completa</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~1,779 toneladas/año (100% captura)</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375 suc. × 13 kg × 365 días</w:t>
            </w:r>
          </w:p>
        </w:tc>
      </w:tr>
      <w:tr>
        <w:tc>
          <w:tcPr>
            <w:tcW w:type="dxa" w:w="2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Objetivo realista (40% de captura)</w:t>
            </w:r>
          </w:p>
        </w:tc>
        <w:tc>
          <w:tcPr>
            <w:tcW w:type="dxa" w:w="3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~712 toneladas/año rescatables</w:t>
            </w:r>
          </w:p>
        </w:tc>
        <w:tc>
          <w:tcPr>
            <w:tcW w:type="dxa" w:w="39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Factor conservador de adopción</w:t>
            </w:r>
          </w:p>
        </w:tc>
      </w:tr>
      <w:tr>
        <w:tc>
          <w:tcPr>
            <w:tcW w:type="dxa" w:w="2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Porciones equivalentes rescatadas</w:t>
            </w:r>
          </w:p>
        </w:tc>
        <w:tc>
          <w:tcPr>
            <w:tcW w:type="dxa" w:w="3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~23 porciones/sucursal/día al madurar</w:t>
            </w:r>
          </w:p>
        </w:tc>
        <w:tc>
          <w:tcPr>
            <w:tcW w:type="dxa" w:w="39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712,000 kg / 375 / 365 / 0.22 kg</w:t>
            </w:r>
          </w:p>
        </w:tc>
      </w:tr>
    </w:tbl>
    <w:p>
      <w:pPr>
        <w:spacing w:before="120"/>
      </w:pPr>
      <w:r>
        <w:t xml:space="preserve"/>
      </w:r>
    </w:p>
    <w:p>
      <w:pPr>
        <w:spacing w:before="300" w:after="100"/>
      </w:pPr>
      <w:r>
        <w:rPr>
          <w:rFonts w:ascii="Arial" w:cs="Arial" w:eastAsia="Arial" w:hAnsi="Arial"/>
          <w:b/>
          <w:bCs/>
          <w:color w:val="4F46E5"/>
          <w:sz w:val="22"/>
          <w:szCs w:val="22"/>
        </w:rPr>
        <w:t xml:space="preserve">5.2  Comparación con la Capacidad Actual de Rescate</w:t>
      </w:r>
    </w:p>
    <w:p>
      <w:pPr>
        <w:spacing w:before="80" w:after="120"/>
        <w:jc w:val="both"/>
      </w:pPr>
      <w:r>
        <w:rPr>
          <w:rFonts w:ascii="Arial" w:cs="Arial" w:eastAsia="Arial" w:hAnsi="Arial"/>
          <w:b w:val="false"/>
          <w:bCs w:val="false"/>
          <w:i w:val="false"/>
          <w:iCs w:val="false"/>
          <w:color w:val="334155"/>
          <w:sz w:val="21"/>
          <w:szCs w:val="21"/>
        </w:rPr>
        <w:t xml:space="preserve">Para dimensionar el impacto relativo, es útil comparar con el sistema de rescate más grande de México actualmente operativo:</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Indicador</w:t>
            </w:r>
          </w:p>
        </w:tc>
        <w:tc>
          <w:tcPr>
            <w:tcW w:type="dxa" w:w="328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Red BAMX (2023)</w:t>
            </w:r>
          </w:p>
        </w:tc>
        <w:tc>
          <w:tcPr>
            <w:tcW w:type="dxa" w:w="328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CibusChain — Proyección al Madurar</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Toneladas rescatadas/año</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64748B"/>
                <w:sz w:val="20"/>
                <w:szCs w:val="20"/>
              </w:rPr>
              <w:t xml:space="preserve">171,649 toneladas</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bCs/>
                <w:i w:val="false"/>
                <w:iCs w:val="false"/>
                <w:color w:val="059669"/>
                <w:sz w:val="20"/>
                <w:szCs w:val="20"/>
              </w:rPr>
              <w:t xml:space="preserve">~712 toneladas (solo McDonald's México)</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Tipo de alimento rescatado</w:t>
            </w:r>
          </w:p>
        </w:tc>
        <w:tc>
          <w:tcPr>
            <w:tcW w:type="dxa" w:w="328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52% no perecederos, 45% frutas/verduras</w:t>
            </w:r>
          </w:p>
        </w:tc>
        <w:tc>
          <w:tcPr>
            <w:tcW w:type="dxa" w:w="328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100% alimento preparado listo para consumo</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Tiempo de respuesta</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Horas / días (rutas programadas)</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Minutos (sistema automatizado en tiempo real)</w:t>
            </w:r>
          </w:p>
        </w:tc>
      </w:tr>
      <w:tr>
        <w:tc>
          <w:tcPr>
            <w:tcW w:type="dxa" w:w="2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Modelo de operación</w:t>
            </w:r>
          </w:p>
        </w:tc>
        <w:tc>
          <w:tcPr>
            <w:tcW w:type="dxa" w:w="328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Rutas de recolección programadas</w:t>
            </w:r>
          </w:p>
        </w:tc>
        <w:tc>
          <w:tcPr>
            <w:tcW w:type="dxa" w:w="328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Hiperlocal — sucursal a comedor &lt; 1 km</w:t>
            </w:r>
          </w:p>
        </w:tc>
      </w:tr>
      <w:tr>
        <w:tc>
          <w:tcPr>
            <w:tcW w:type="dxa" w:w="2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Costo de coordinación para el donador</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Alto (coordinación manual con banco)</w:t>
            </w:r>
          </w:p>
        </w:tc>
        <w:tc>
          <w:tcPr>
            <w:tcW w:type="dxa" w:w="328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Cero (automatizado por IA)</w:t>
            </w:r>
          </w:p>
        </w:tc>
      </w:tr>
    </w:tbl>
    <w:p>
      <w:pPr>
        <w:spacing w:before="80" w:after="120"/>
        <w:jc w:val="both"/>
      </w:pPr>
      <w:r>
        <w:rPr>
          <w:rFonts w:ascii="Arial" w:cs="Arial" w:eastAsia="Arial" w:hAnsi="Arial"/>
          <w:b w:val="false"/>
          <w:bCs w:val="false"/>
          <w:i/>
          <w:iCs/>
          <w:color w:val="334155"/>
          <w:sz w:val="21"/>
          <w:szCs w:val="21"/>
        </w:rPr>
        <w:t xml:space="preserve">CibusChain no reemplaza a los bancos de alimentos — resuelve un problema diferente que los bancos no pueden resolver por diseño.</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6. Alineación con los Objetivos de Desarrollo Sostenible</w:t>
      </w:r>
    </w:p>
    <w:p>
      <w:pPr>
        <w:spacing w:before="80" w:after="120"/>
        <w:jc w:val="both"/>
      </w:pPr>
      <w:r>
        <w:rPr>
          <w:rFonts w:ascii="Arial" w:cs="Arial" w:eastAsia="Arial" w:hAnsi="Arial"/>
          <w:b w:val="false"/>
          <w:bCs w:val="false"/>
          <w:i w:val="false"/>
          <w:iCs w:val="false"/>
          <w:color w:val="334155"/>
          <w:sz w:val="21"/>
          <w:szCs w:val="21"/>
        </w:rPr>
        <w:t xml:space="preserve">La agenda global de sostenibilidad establece metas concretas y medibles que CibusChain contribuye a alcanzar directamente. Arcos Dorados, como operador de McDonald's en América Latina, reporta públicamente su avance contra los ODS de la ONU. CibusChain se alinea con los compromisos que la empresa ya tiene asumidos.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ODS</w:t>
            </w:r>
          </w:p>
        </w:tc>
        <w:tc>
          <w:tcPr>
            <w:tcW w:type="dxa" w:w="32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Meta Específica</w:t>
            </w:r>
          </w:p>
        </w:tc>
        <w:tc>
          <w:tcPr>
            <w:tcW w:type="dxa" w:w="456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Contribución de CibusChain</w:t>
            </w:r>
          </w:p>
        </w:tc>
      </w:tr>
      <w:tr>
        <w:tc>
          <w:tcPr>
            <w:tcW w:type="dxa" w:w="1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ODS 2 — Hambre Cero</w:t>
            </w:r>
          </w:p>
        </w:tc>
        <w:tc>
          <w:tcPr>
            <w:tcW w:type="dxa" w:w="3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Meta 2.1: Acceso universal a alimentos suficientes, nutritivos y seguros para 2030</w:t>
            </w:r>
          </w:p>
        </w:tc>
        <w:tc>
          <w:tcPr>
            <w:tcW w:type="dxa" w:w="4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Conecta excedente de alimento preparado apto para consumo con comedores comunitarios y personas en inseguridad alimentaria</w:t>
            </w:r>
          </w:p>
        </w:tc>
      </w:tr>
      <w:tr>
        <w:tc>
          <w:tcPr>
            <w:tcW w:type="dxa" w:w="1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ODS 12 — Producción y Consumo Responsables</w:t>
            </w:r>
          </w:p>
        </w:tc>
        <w:tc>
          <w:tcPr>
            <w:tcW w:type="dxa" w:w="3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Meta 12.3: Reducir a la mitad el desperdicio alimentario per cápita a nivel mundial para 2030</w:t>
            </w:r>
          </w:p>
        </w:tc>
        <w:tc>
          <w:tcPr>
            <w:tcW w:type="dxa" w:w="45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Rescata alimento de la corriente de residuos de la cadena de suministro del sector de comida rápida</w:t>
            </w:r>
          </w:p>
        </w:tc>
      </w:tr>
      <w:tr>
        <w:tc>
          <w:tcPr>
            <w:tcW w:type="dxa" w:w="1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ODS 13 — Acción por el Clima</w:t>
            </w:r>
          </w:p>
        </w:tc>
        <w:tc>
          <w:tcPr>
            <w:tcW w:type="dxa" w:w="3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Reducción de emisiones de GEI del sistema alimentario</w:t>
            </w:r>
          </w:p>
        </w:tc>
        <w:tc>
          <w:tcPr>
            <w:tcW w:type="dxa" w:w="45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alimento no desechado no genera metano en rellenos sanitarios. El desperdicio alimentario es responsable del 6-10% de las emisiones globales de GEI (FAO / IPCC)</w:t>
            </w:r>
          </w:p>
        </w:tc>
      </w:tr>
      <w:tr>
        <w:tc>
          <w:tcPr>
            <w:tcW w:type="dxa" w:w="1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ODS 17 — Alianzas para los Objetivos</w:t>
            </w:r>
          </w:p>
        </w:tc>
        <w:tc>
          <w:tcPr>
            <w:tcW w:type="dxa" w:w="3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Colaboración entre sector privado, sociedad civil y gobierno</w:t>
            </w:r>
          </w:p>
        </w:tc>
        <w:tc>
          <w:tcPr>
            <w:tcW w:type="dxa" w:w="45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Estructura de Triple Hélice: McDonald's (empresa) + donatarias autorizadas (sociedad civil) + SAT (gobierno, mediante el mecanismo fiscal)</w:t>
            </w:r>
          </w:p>
        </w:tc>
      </w:tr>
    </w:tbl>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7. La Solución — CibusChain</w:t>
      </w:r>
    </w:p>
    <w:p>
      <w:pPr>
        <w:spacing w:before="80" w:after="120"/>
        <w:jc w:val="both"/>
      </w:pPr>
      <w:r>
        <w:rPr>
          <w:rFonts w:ascii="Arial" w:cs="Arial" w:eastAsia="Arial" w:hAnsi="Arial"/>
          <w:b w:val="false"/>
          <w:bCs w:val="false"/>
          <w:i w:val="false"/>
          <w:iCs w:val="false"/>
          <w:color w:val="334155"/>
          <w:sz w:val="21"/>
          <w:szCs w:val="21"/>
        </w:rPr>
        <w:t xml:space="preserve">CibusChain es una infraestructura tecnológica de rescate de alimentos preparados diseñada específicamente para la operación de comida rápida. No es una campaña de RSE, no es una app de donaciones, y no requiere cambiar el comportamiento operativo del personal de McDonald's. Es un sistema que automatiza el proceso completo de detección, notificación, transferencia y documentación fiscal del excedente.</w:t>
      </w:r>
    </w:p>
    <w:p>
      <w:pPr>
        <w:spacing w:before="80"/>
      </w:pPr>
      <w:r>
        <w:t xml:space="preserve"/>
      </w:r>
    </w:p>
    <w:p>
      <w:pPr>
        <w:spacing w:before="300" w:after="100"/>
      </w:pPr>
      <w:r>
        <w:rPr>
          <w:rFonts w:ascii="Arial" w:cs="Arial" w:eastAsia="Arial" w:hAnsi="Arial"/>
          <w:b/>
          <w:bCs/>
          <w:color w:val="4F46E5"/>
          <w:sz w:val="22"/>
          <w:szCs w:val="22"/>
        </w:rPr>
        <w:t xml:space="preserve">7.1  Por Qué Este Diseño y No Otro</w:t>
      </w:r>
    </w:p>
    <w:p>
      <w:pPr>
        <w:spacing w:before="80" w:after="120"/>
        <w:jc w:val="both"/>
      </w:pPr>
      <w:r>
        <w:rPr>
          <w:rFonts w:ascii="Arial" w:cs="Arial" w:eastAsia="Arial" w:hAnsi="Arial"/>
          <w:b w:val="false"/>
          <w:bCs w:val="false"/>
          <w:i w:val="false"/>
          <w:iCs w:val="false"/>
          <w:color w:val="334155"/>
          <w:sz w:val="21"/>
          <w:szCs w:val="21"/>
        </w:rPr>
        <w:t xml:space="preserve">El diseño de CibusChain parte de una premisa fundamental: la fricción operativa es la razón por la que los establecimientos no donan alimentos hoy, no la falta de voluntad. El gerente de una sucursal a las 10 PM no tiene tiempo, herramientas, ni incentivo para coordinar manualmente una donación mientras cierra el turno.</w:t>
      </w:r>
    </w:p>
    <w:p>
      <w:pPr>
        <w:spacing w:before="80" w:after="120"/>
        <w:jc w:val="both"/>
      </w:pPr>
      <w:r>
        <w:rPr>
          <w:rFonts w:ascii="Arial" w:cs="Arial" w:eastAsia="Arial" w:hAnsi="Arial"/>
          <w:b w:val="false"/>
          <w:bCs w:val="false"/>
          <w:i w:val="false"/>
          <w:iCs w:val="false"/>
          <w:color w:val="334155"/>
          <w:sz w:val="21"/>
          <w:szCs w:val="21"/>
        </w:rPr>
        <w:t xml:space="preserve">CibusChain elimina esa fricción reduciendo la acción requerida del personal de McDonald's a cero — el sistema detecta el excedente, crea la misión de rescate, notifica al receptor, y genera la documentación fiscal de forma completamente automática.</w:t>
      </w:r>
    </w:p>
    <w:p>
      <w:pPr>
        <w:spacing w:before="80"/>
      </w:pPr>
      <w:r>
        <w:t xml:space="preserve"/>
      </w:r>
    </w:p>
    <w:p>
      <w:pPr>
        <w:spacing w:before="300" w:after="100"/>
      </w:pPr>
      <w:r>
        <w:rPr>
          <w:rFonts w:ascii="Arial" w:cs="Arial" w:eastAsia="Arial" w:hAnsi="Arial"/>
          <w:b/>
          <w:bCs/>
          <w:color w:val="4F46E5"/>
          <w:sz w:val="22"/>
          <w:szCs w:val="22"/>
        </w:rPr>
        <w:t xml:space="preserve">7.2  Los Tres Componentes del Sistema</w:t>
      </w:r>
    </w:p>
    <w:p>
      <w:pPr>
        <w:spacing w:before="40"/>
      </w:pPr>
      <w:r>
        <w:t xml:space="preserve"/>
      </w:r>
    </w:p>
    <w:p>
      <w:pPr>
        <w:spacing w:before="300" w:after="100"/>
      </w:pPr>
      <w:r>
        <w:rPr>
          <w:rFonts w:ascii="Arial" w:cs="Arial" w:eastAsia="Arial" w:hAnsi="Arial"/>
          <w:b/>
          <w:bCs/>
          <w:color w:val="1E293B"/>
          <w:sz w:val="22"/>
          <w:szCs w:val="22"/>
        </w:rPr>
        <w:t xml:space="preserve">Sentinel — Predicción de Excedentes</w:t>
      </w:r>
    </w:p>
    <w:p>
      <w:pPr>
        <w:spacing w:before="80" w:after="120"/>
        <w:jc w:val="both"/>
      </w:pPr>
      <w:r>
        <w:rPr>
          <w:rFonts w:ascii="Arial" w:cs="Arial" w:eastAsia="Arial" w:hAnsi="Arial"/>
          <w:b w:val="false"/>
          <w:bCs w:val="false"/>
          <w:i w:val="false"/>
          <w:iCs w:val="false"/>
          <w:color w:val="334155"/>
          <w:sz w:val="21"/>
          <w:szCs w:val="21"/>
        </w:rPr>
        <w:t xml:space="preserve">Sentinel se integra al sistema de Punto de Venta (POS) mediante un endpoint REST compatible con sistemas tipo Oracle Symphony. Monitorea en tiempo real el ritmo de ventas, el inventario de producto preparado, y los timestamps de preparación por lote. Utiliza un modelo de aprendizaje automático (Naive Bayes Gaussiano con transformación cíclica para variables de tiempo) para calcular la Probabilidad de Excedente Inminente (Pis).</w:t>
      </w:r>
    </w:p>
    <w:p>
      <w:pPr>
        <w:spacing w:before="80" w:after="120"/>
        <w:jc w:val="both"/>
      </w:pPr>
      <w:r>
        <w:rPr>
          <w:rFonts w:ascii="Arial" w:cs="Arial" w:eastAsia="Arial" w:hAnsi="Arial"/>
          <w:b w:val="false"/>
          <w:bCs w:val="false"/>
          <w:i w:val="false"/>
          <w:iCs w:val="false"/>
          <w:color w:val="334155"/>
          <w:sz w:val="21"/>
          <w:szCs w:val="21"/>
        </w:rPr>
        <w:t xml:space="preserve">Cuando Pis supera el umbral crítico (85%) y el producto todavía está dentro de su ventana de calidad comercial, Sentinel crea automáticamente una misión de rescate. El sistema actúa antes de que el producto cruce el estándar de calidad de McDonald's — dona producto que sigue siendo bueno, no producto que ya es descarte. Esto elimina el problema legal señalado en la Sección 3.1.</w:t>
      </w:r>
    </w:p>
    <w:p>
      <w:pPr>
        <w:spacing w:before="80"/>
      </w:pPr>
      <w:r>
        <w:t xml:space="preserve"/>
      </w:r>
    </w:p>
    <w:p>
      <w:pPr>
        <w:spacing w:before="300" w:after="100"/>
      </w:pPr>
      <w:r>
        <w:rPr>
          <w:rFonts w:ascii="Arial" w:cs="Arial" w:eastAsia="Arial" w:hAnsi="Arial"/>
          <w:b/>
          <w:bCs/>
          <w:color w:val="1E293B"/>
          <w:sz w:val="22"/>
          <w:szCs w:val="22"/>
        </w:rPr>
        <w:t xml:space="preserve">Red de Distribución Hiperlocal — Logística de Misiones</w:t>
      </w:r>
    </w:p>
    <w:p>
      <w:pPr>
        <w:spacing w:before="80" w:after="120"/>
        <w:jc w:val="both"/>
      </w:pPr>
      <w:r>
        <w:rPr>
          <w:rFonts w:ascii="Arial" w:cs="Arial" w:eastAsia="Arial" w:hAnsi="Arial"/>
          <w:b w:val="false"/>
          <w:bCs w:val="false"/>
          <w:i w:val="false"/>
          <w:iCs w:val="false"/>
          <w:color w:val="334155"/>
          <w:sz w:val="21"/>
          <w:szCs w:val="21"/>
        </w:rPr>
        <w:t xml:space="preserve">Cada misión activa una red de distribución adaptada al tipo de producto y su ventana temporal:</w:t>
      </w:r>
    </w:p>
    <w:p>
      <w:pPr>
        <w:pStyle w:val="ListParagraph"/>
        <w:numPr>
          <w:ilvl w:val="0"/>
          <w:numId w:val="2"/>
        </w:numPr>
        <w:spacing w:before="60" w:after="60"/>
      </w:pPr>
      <w:r>
        <w:rPr>
          <w:rFonts w:ascii="Arial" w:cs="Arial" w:eastAsia="Arial" w:hAnsi="Arial"/>
          <w:color w:val="334155"/>
          <w:sz w:val="21"/>
          <w:szCs w:val="21"/>
        </w:rPr>
        <w:t xml:space="preserve">Comida caliente (TTL 15-20 min): Se asigna directamente al Receptor Primario Fijo de la sucursal — una donataria autorizada con convenio previo. La obligación de recogida es contractual, no voluntaria.</w:t>
      </w:r>
    </w:p>
    <w:p>
      <w:pPr>
        <w:pStyle w:val="ListParagraph"/>
        <w:numPr>
          <w:ilvl w:val="0"/>
          <w:numId w:val="2"/>
        </w:numPr>
        <w:spacing w:before="60" w:after="60"/>
      </w:pPr>
      <w:r>
        <w:rPr>
          <w:rFonts w:ascii="Arial" w:cs="Arial" w:eastAsia="Arial" w:hAnsi="Arial"/>
          <w:color w:val="334155"/>
          <w:sz w:val="21"/>
          <w:szCs w:val="21"/>
        </w:rPr>
        <w:t xml:space="preserve">Productos refrigerables (TTL 2-4 horas): Se notifica a voluntarios activos filtrados por Tiempo de Llegada Estimado (ETA) real mediante la API de Distance Matrix de Google Maps — no por radio geométrico, sino por tiempo de viaje factible dentro del TTL disponible.</w:t>
      </w:r>
    </w:p>
    <w:p>
      <w:pPr>
        <w:spacing w:before="80" w:after="120"/>
        <w:jc w:val="both"/>
      </w:pPr>
      <w:r>
        <w:rPr>
          <w:rFonts w:ascii="Arial" w:cs="Arial" w:eastAsia="Arial" w:hAnsi="Arial"/>
          <w:b w:val="false"/>
          <w:bCs w:val="false"/>
          <w:i w:val="false"/>
          <w:iCs w:val="false"/>
          <w:color w:val="334155"/>
          <w:sz w:val="21"/>
          <w:szCs w:val="21"/>
        </w:rPr>
        <w:t xml:space="preserve">La transferencia se documenta mediante un Doble Handshake Digital: firma HMAC-SHA256 al recoger el producto (Handshake 1, asumiendo custodia) y al entregarlo al comedor (Handshake 2, completando la cadena). Ambas firmas incluyen timestamp, coordenadas GPS validadas contra geocerca, y token de sesión. Este registro satisface los requisitos de NOM-251 y el Artículo 55 LGAAS.</w:t>
      </w:r>
    </w:p>
    <w:p>
      <w:pPr>
        <w:spacing w:before="80"/>
      </w:pPr>
      <w:r>
        <w:t xml:space="preserve"/>
      </w:r>
    </w:p>
    <w:p>
      <w:pPr>
        <w:spacing w:before="300" w:after="100"/>
      </w:pPr>
      <w:r>
        <w:rPr>
          <w:rFonts w:ascii="Arial" w:cs="Arial" w:eastAsia="Arial" w:hAnsi="Arial"/>
          <w:b/>
          <w:bCs/>
          <w:color w:val="1E293B"/>
          <w:sz w:val="22"/>
          <w:szCs w:val="22"/>
        </w:rPr>
        <w:t xml:space="preserve">FiscalFlow — Liquidación Fiscal Automática</w:t>
      </w:r>
    </w:p>
    <w:p>
      <w:pPr>
        <w:spacing w:before="80" w:after="120"/>
        <w:jc w:val="both"/>
      </w:pPr>
      <w:r>
        <w:rPr>
          <w:rFonts w:ascii="Arial" w:cs="Arial" w:eastAsia="Arial" w:hAnsi="Arial"/>
          <w:b w:val="false"/>
          <w:bCs w:val="false"/>
          <w:i w:val="false"/>
          <w:iCs w:val="false"/>
          <w:color w:val="334155"/>
          <w:sz w:val="21"/>
          <w:szCs w:val="21"/>
        </w:rPr>
        <w:t xml:space="preserve">Al completarse cada misión exitosa, FiscalFlow calcula automáticamente el valor fiscal recuperado y genera el borrador del reporte Aviso 39/ISR con todos los campos requeridos por el SAT. El gerente de la sucursal y el área financiera de la franquicia reciben el reporte de deducción sin haber realizado ninguna gestión administrativa adicional.</w:t>
      </w:r>
    </w:p>
    <w:p>
      <w:pPr>
        <w:spacing w:before="80" w:after="120"/>
        <w:jc w:val="both"/>
      </w:pPr>
      <w:r>
        <w:rPr>
          <w:rFonts w:ascii="Arial" w:cs="Arial" w:eastAsia="Arial" w:hAnsi="Arial"/>
          <w:b w:val="false"/>
          <w:bCs w:val="false"/>
          <w:i w:val="false"/>
          <w:iCs w:val="false"/>
          <w:color w:val="334155"/>
          <w:sz w:val="21"/>
          <w:szCs w:val="21"/>
        </w:rPr>
        <w:t xml:space="preserve">El dashboard consolida métricas diarias, semanales y mensuales: kilogramos rescatados, porciones entregadas, número de beneficiarios, valor fiscal acumulado, y receptores atendidos. Transforma cada kilo de merma rescatado en flujo de caja cuantificado para la dirección financiera de Arcos Dorados.</w:t>
      </w:r>
    </w:p>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8. Benchmarks Internacionales — El Problema Tiene Solución Probada</w:t>
      </w:r>
    </w:p>
    <w:p>
      <w:pPr>
        <w:spacing w:before="80" w:after="120"/>
        <w:jc w:val="both"/>
      </w:pPr>
      <w:r>
        <w:rPr>
          <w:rFonts w:ascii="Arial" w:cs="Arial" w:eastAsia="Arial" w:hAnsi="Arial"/>
          <w:b w:val="false"/>
          <w:bCs w:val="false"/>
          <w:i w:val="false"/>
          <w:iCs w:val="false"/>
          <w:color w:val="334155"/>
          <w:sz w:val="21"/>
          <w:szCs w:val="21"/>
        </w:rPr>
        <w:t xml:space="preserve">El problema del rescate de alimentos del sector de servicios de comida tiene precedentes internacionales exitosos que validan la viabilidad del modelo. La diferencia de CibusChain es que ninguno de ellos opera en el contexto fiscal, regulatorio y logístico específico de México para producto preparado de vida útil corta.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Referente</w:t>
            </w:r>
          </w:p>
        </w:tc>
        <w:tc>
          <w:tcPr>
            <w:tcW w:type="dxa" w:w="22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Modelo</w:t>
            </w:r>
          </w:p>
        </w:tc>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Impacto Documentado</w:t>
            </w:r>
          </w:p>
        </w:tc>
        <w:tc>
          <w:tcPr>
            <w:tcW w:type="dxa" w:w="276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Diferencia con CibusChain</w:t>
            </w:r>
          </w:p>
        </w:tc>
      </w:tr>
      <w:tr>
        <w:tc>
          <w:tcPr>
            <w:tcW w:type="dxa" w:w="1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Too Good To Go (Dinamarca, 2016)</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App de venta de excedentes a precio reducido — 21 países</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500+ millones de comidas rescatadas; 120M usuarios; 180,000 establecimientos (TGTG, 2025)</w:t>
            </w:r>
          </w:p>
        </w:tc>
        <w:tc>
          <w:tcPr>
            <w:tcW w:type="dxa" w:w="2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Modelo de venta, no de donación. No compatible con Art. 27 LISR. No opera en México. No tiene trazabilidad fiscal para el SAT.</w:t>
            </w:r>
          </w:p>
        </w:tc>
      </w:tr>
      <w:tr>
        <w:tc>
          <w:tcPr>
            <w:tcW w:type="dxa" w:w="1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Cheaf (México, 2020)</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App de venta de excedentes a precio reducido</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1.9M usuarios en México; 4,000 toneladas distribuidas</w:t>
            </w:r>
          </w:p>
        </w:tc>
        <w:tc>
          <w:tcPr>
            <w:tcW w:type="dxa" w:w="2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Modelo de venta, no donación certificada. No genera documentación fiscal SAT. No está diseñado para TTL de minutos.</w:t>
            </w:r>
          </w:p>
        </w:tc>
      </w:tr>
      <w:tr>
        <w:tc>
          <w:tcPr>
            <w:tcW w:type="dxa" w:w="1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Francia — Ley contra el desperdicio (2016)</w:t>
            </w:r>
          </w:p>
        </w:tc>
        <w:tc>
          <w:tcPr>
            <w:tcW w:type="dxa" w:w="22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Prohibición legal de desechar alimentos en supermercados con obligación de donación</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Reducción del desperdicio en grandes superficies. Modelo referencia para la LGAAS 2024 de México</w:t>
            </w:r>
          </w:p>
        </w:tc>
        <w:tc>
          <w:tcPr>
            <w:tcW w:type="dxa" w:w="276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Aplica a supermercados, no a restaurantes. Sin componente tecnológico de tiempo real.</w:t>
            </w:r>
          </w:p>
        </w:tc>
      </w:tr>
      <w:tr>
        <w:tc>
          <w:tcPr>
            <w:tcW w:type="dxa" w:w="1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 BAMX (México, 1994)</w:t>
            </w:r>
          </w:p>
        </w:tc>
        <w:tc>
          <w:tcPr>
            <w:tcW w:type="dxa" w:w="22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 de bancos de alimentos — rescate en cadena de suministro</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171,649 toneladas rescatadas en 2023; 2+ millones de beneficiarios (BAMX / Pie de Página, 2024)</w:t>
            </w:r>
          </w:p>
        </w:tc>
        <w:tc>
          <w:tcPr>
            <w:tcW w:type="dxa" w:w="276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No compatible con producto preparado de vida útil corta. Requiere rutas programadas y tiempos de proceso.</w:t>
            </w:r>
          </w:p>
        </w:tc>
      </w:tr>
    </w:tbl>
    <w:p>
      <w:pPr>
        <w:spacing w:before="160"/>
      </w:pPr>
      <w:r>
        <w:t xml:space="preserve"/>
      </w:r>
    </w:p>
    <w:p>
      <w:pPr>
        <w:pStyle w:val="Heading1"/>
        <w:pBdr>
          <w:bottom w:val="single" w:color="4F46E5" w:sz="16" w:space="6"/>
        </w:pBdr>
        <w:spacing w:before="560" w:after="200"/>
      </w:pPr>
      <w:r>
        <w:rPr>
          <w:rFonts w:ascii="Arial" w:cs="Arial" w:eastAsia="Arial" w:hAnsi="Arial"/>
          <w:b/>
          <w:bCs/>
          <w:color w:val="0F172A"/>
          <w:sz w:val="36"/>
          <w:szCs w:val="36"/>
        </w:rPr>
        <w:t xml:space="preserve">9. Síntesis — Por Qué CibusChain es la Solución Correcta</w:t>
      </w:r>
    </w:p>
    <w:p>
      <w:pPr>
        <w:spacing w:before="80" w:after="120"/>
        <w:jc w:val="both"/>
      </w:pPr>
      <w:r>
        <w:rPr>
          <w:rFonts w:ascii="Arial" w:cs="Arial" w:eastAsia="Arial" w:hAnsi="Arial"/>
          <w:b w:val="false"/>
          <w:bCs w:val="false"/>
          <w:i w:val="false"/>
          <w:iCs w:val="false"/>
          <w:color w:val="334155"/>
          <w:sz w:val="21"/>
          <w:szCs w:val="21"/>
        </w:rPr>
        <w:t xml:space="preserve">La justificación de CibusChain descansa en la convergencia de cinco argumentos independientes que se refuerzan mutuamente: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4"/>
              <w:left w:val="single" w:color="E2E8F0" w:sz="4"/>
              <w:bottom w:val="single" w:color="E2E8F0" w:sz="4"/>
              <w:right w:val="single" w:color="E2E8F0" w:sz="4"/>
            </w:tcBorders>
            <w:shd w:fill="0F172A" w:val="clear"/>
            <w:tcMar>
              <w:top w:type="dxa" w:w="140"/>
              <w:left w:type="dxa" w:w="160"/>
              <w:bottom w:type="dxa" w:w="140"/>
              <w:right w:type="dxa" w:w="160"/>
            </w:tcMar>
          </w:tcPr>
          <w:p>
            <w:pPr>
              <w:jc w:val="center"/>
            </w:pPr>
            <w:r>
              <w:rPr>
                <w:rFonts w:ascii="Arial" w:cs="Arial" w:eastAsia="Arial" w:hAnsi="Arial"/>
                <w:b/>
                <w:bCs/>
                <w:color w:val="D97706"/>
                <w:sz w:val="20"/>
                <w:szCs w:val="20"/>
              </w:rPr>
              <w:t xml:space="preserve">LEGAL</w:t>
            </w:r>
          </w:p>
        </w:tc>
        <w:tc>
          <w:tcPr>
            <w:tcW w:type="dxa" w:w="7760"/>
            <w:tcBorders>
              <w:top w:val="single" w:color="E2E8F0" w:sz="4"/>
              <w:left w:val="single" w:color="E2E8F0" w:sz="4"/>
              <w:bottom w:val="single" w:color="E2E8F0" w:sz="4"/>
              <w:right w:val="single" w:color="E2E8F0" w:sz="4"/>
            </w:tcBorders>
            <w:shd w:fill="F8FAFC" w:val="clear"/>
            <w:tcMar>
              <w:top w:type="dxa" w:w="140"/>
              <w:left w:type="dxa" w:w="160"/>
              <w:bottom w:type="dxa" w:w="140"/>
              <w:right w:type="dxa" w:w="160"/>
            </w:tcMar>
          </w:tcPr>
          <w:p>
            <w:r>
              <w:rPr>
                <w:rFonts w:ascii="Arial" w:cs="Arial" w:eastAsia="Arial" w:hAnsi="Arial"/>
                <w:color w:val="334155"/>
                <w:sz w:val="20"/>
                <w:szCs w:val="20"/>
              </w:rPr>
              <w:t xml:space="preserve">El Art. 55 de la LGAAS 2024 prohíbe desechar alimentos aptos para consumo. CibusChain convierte esta obligación en un proceso automatizado sin fricción operativa.</w:t>
            </w:r>
          </w:p>
        </w:tc>
      </w:tr>
      <w:tr>
        <w:tc>
          <w:tcPr>
            <w:tcW w:type="dxa" w:w="1600"/>
            <w:tcBorders>
              <w:top w:val="single" w:color="E2E8F0" w:sz="4"/>
              <w:left w:val="single" w:color="E2E8F0" w:sz="4"/>
              <w:bottom w:val="single" w:color="E2E8F0" w:sz="4"/>
              <w:right w:val="single" w:color="E2E8F0" w:sz="4"/>
            </w:tcBorders>
            <w:shd w:fill="0F172A" w:val="clear"/>
            <w:tcMar>
              <w:top w:type="dxa" w:w="140"/>
              <w:left w:type="dxa" w:w="160"/>
              <w:bottom w:type="dxa" w:w="140"/>
              <w:right w:type="dxa" w:w="160"/>
            </w:tcMar>
          </w:tcPr>
          <w:p>
            <w:pPr>
              <w:jc w:val="center"/>
            </w:pPr>
            <w:r>
              <w:rPr>
                <w:rFonts w:ascii="Arial" w:cs="Arial" w:eastAsia="Arial" w:hAnsi="Arial"/>
                <w:b/>
                <w:bCs/>
                <w:color w:val="D97706"/>
                <w:sz w:val="20"/>
                <w:szCs w:val="20"/>
              </w:rPr>
              <w:t xml:space="preserve">FISCAL</w:t>
            </w:r>
          </w:p>
        </w:tc>
        <w:tc>
          <w:tcPr>
            <w:tcW w:type="dxa" w:w="7760"/>
            <w:tcBorders>
              <w:top w:val="single" w:color="E2E8F0" w:sz="4"/>
              <w:left w:val="single" w:color="E2E8F0" w:sz="4"/>
              <w:bottom w:val="single" w:color="E2E8F0" w:sz="4"/>
              <w:right w:val="single" w:color="E2E8F0" w:sz="4"/>
            </w:tcBorders>
            <w:shd w:fill="FFFFFF" w:val="clear"/>
            <w:tcMar>
              <w:top w:type="dxa" w:w="140"/>
              <w:left w:type="dxa" w:w="160"/>
              <w:bottom w:type="dxa" w:w="140"/>
              <w:right w:type="dxa" w:w="160"/>
            </w:tcMar>
          </w:tcPr>
          <w:p>
            <w:r>
              <w:rPr>
                <w:rFonts w:ascii="Arial" w:cs="Arial" w:eastAsia="Arial" w:hAnsi="Arial"/>
                <w:color w:val="334155"/>
                <w:sz w:val="20"/>
                <w:szCs w:val="20"/>
              </w:rPr>
              <w:t xml:space="preserve">El Art. 27 LISR permite deducir el 100% del costo del alimento donado. Sin CibusChain, McDonald's absorbe la pérdida. Con CibusChain, la recupera como beneficio fiscal activo. Potencial: ~$17.5M MXN/año en la red completa.</w:t>
            </w:r>
          </w:p>
        </w:tc>
      </w:tr>
      <w:tr>
        <w:tc>
          <w:tcPr>
            <w:tcW w:type="dxa" w:w="1600"/>
            <w:tcBorders>
              <w:top w:val="single" w:color="E2E8F0" w:sz="4"/>
              <w:left w:val="single" w:color="E2E8F0" w:sz="4"/>
              <w:bottom w:val="single" w:color="E2E8F0" w:sz="4"/>
              <w:right w:val="single" w:color="E2E8F0" w:sz="4"/>
            </w:tcBorders>
            <w:shd w:fill="0F172A" w:val="clear"/>
            <w:tcMar>
              <w:top w:type="dxa" w:w="140"/>
              <w:left w:type="dxa" w:w="160"/>
              <w:bottom w:type="dxa" w:w="140"/>
              <w:right w:type="dxa" w:w="160"/>
            </w:tcMar>
          </w:tcPr>
          <w:p>
            <w:pPr>
              <w:jc w:val="center"/>
            </w:pPr>
            <w:r>
              <w:rPr>
                <w:rFonts w:ascii="Arial" w:cs="Arial" w:eastAsia="Arial" w:hAnsi="Arial"/>
                <w:b/>
                <w:bCs/>
                <w:color w:val="D97706"/>
                <w:sz w:val="20"/>
                <w:szCs w:val="20"/>
              </w:rPr>
              <w:t xml:space="preserve">SANITARIO</w:t>
            </w:r>
          </w:p>
        </w:tc>
        <w:tc>
          <w:tcPr>
            <w:tcW w:type="dxa" w:w="7760"/>
            <w:tcBorders>
              <w:top w:val="single" w:color="E2E8F0" w:sz="4"/>
              <w:left w:val="single" w:color="E2E8F0" w:sz="4"/>
              <w:bottom w:val="single" w:color="E2E8F0" w:sz="4"/>
              <w:right w:val="single" w:color="E2E8F0" w:sz="4"/>
            </w:tcBorders>
            <w:shd w:fill="F8FAFC" w:val="clear"/>
            <w:tcMar>
              <w:top w:type="dxa" w:w="140"/>
              <w:left w:type="dxa" w:w="160"/>
              <w:bottom w:type="dxa" w:w="140"/>
              <w:right w:type="dxa" w:w="160"/>
            </w:tcMar>
          </w:tcPr>
          <w:p>
            <w:r>
              <w:rPr>
                <w:rFonts w:ascii="Arial" w:cs="Arial" w:eastAsia="Arial" w:hAnsi="Arial"/>
                <w:color w:val="334155"/>
                <w:sz w:val="20"/>
                <w:szCs w:val="20"/>
              </w:rPr>
              <w:t xml:space="preserve">La NOM-251 requiere trazabilidad documental de la cadena de custodia del alimento preparado. El Doble Handshake Digital genera este registro automáticamente, protegiendo a McDonald's de responsabilidad sanitaria post-transferencia.</w:t>
            </w:r>
          </w:p>
        </w:tc>
      </w:tr>
      <w:tr>
        <w:tc>
          <w:tcPr>
            <w:tcW w:type="dxa" w:w="1600"/>
            <w:tcBorders>
              <w:top w:val="single" w:color="E2E8F0" w:sz="4"/>
              <w:left w:val="single" w:color="E2E8F0" w:sz="4"/>
              <w:bottom w:val="single" w:color="E2E8F0" w:sz="4"/>
              <w:right w:val="single" w:color="E2E8F0" w:sz="4"/>
            </w:tcBorders>
            <w:shd w:fill="0F172A" w:val="clear"/>
            <w:tcMar>
              <w:top w:type="dxa" w:w="140"/>
              <w:left w:type="dxa" w:w="160"/>
              <w:bottom w:type="dxa" w:w="140"/>
              <w:right w:type="dxa" w:w="160"/>
            </w:tcMar>
          </w:tcPr>
          <w:p>
            <w:pPr>
              <w:jc w:val="center"/>
            </w:pPr>
            <w:r>
              <w:rPr>
                <w:rFonts w:ascii="Arial" w:cs="Arial" w:eastAsia="Arial" w:hAnsi="Arial"/>
                <w:b/>
                <w:bCs/>
                <w:color w:val="D97706"/>
                <w:sz w:val="20"/>
                <w:szCs w:val="20"/>
              </w:rPr>
              <w:t xml:space="preserve">SOCIAL</w:t>
            </w:r>
          </w:p>
        </w:tc>
        <w:tc>
          <w:tcPr>
            <w:tcW w:type="dxa" w:w="7760"/>
            <w:tcBorders>
              <w:top w:val="single" w:color="E2E8F0" w:sz="4"/>
              <w:left w:val="single" w:color="E2E8F0" w:sz="4"/>
              <w:bottom w:val="single" w:color="E2E8F0" w:sz="4"/>
              <w:right w:val="single" w:color="E2E8F0" w:sz="4"/>
            </w:tcBorders>
            <w:shd w:fill="FFFFFF" w:val="clear"/>
            <w:tcMar>
              <w:top w:type="dxa" w:w="140"/>
              <w:left w:type="dxa" w:w="160"/>
              <w:bottom w:type="dxa" w:w="140"/>
              <w:right w:type="dxa" w:w="160"/>
            </w:tcMar>
          </w:tcPr>
          <w:p>
            <w:r>
              <w:rPr>
                <w:rFonts w:ascii="Arial" w:cs="Arial" w:eastAsia="Arial" w:hAnsi="Arial"/>
                <w:color w:val="334155"/>
                <w:sz w:val="20"/>
                <w:szCs w:val="20"/>
              </w:rPr>
              <w:t xml:space="preserve">33.1% de hogares mexicanos con inseguridad alimentaria y 30 millones de toneladas desperdiciadas coexisten en el mismo país. CibusChain construye el puente logístico entre estos dos fenómenos donde ningún sistema existente llega.</w:t>
            </w:r>
          </w:p>
        </w:tc>
      </w:tr>
      <w:tr>
        <w:tc>
          <w:tcPr>
            <w:tcW w:type="dxa" w:w="1600"/>
            <w:tcBorders>
              <w:top w:val="single" w:color="E2E8F0" w:sz="4"/>
              <w:left w:val="single" w:color="E2E8F0" w:sz="4"/>
              <w:bottom w:val="single" w:color="E2E8F0" w:sz="4"/>
              <w:right w:val="single" w:color="E2E8F0" w:sz="4"/>
            </w:tcBorders>
            <w:shd w:fill="0F172A" w:val="clear"/>
            <w:tcMar>
              <w:top w:type="dxa" w:w="140"/>
              <w:left w:type="dxa" w:w="160"/>
              <w:bottom w:type="dxa" w:w="140"/>
              <w:right w:type="dxa" w:w="160"/>
            </w:tcMar>
          </w:tcPr>
          <w:p>
            <w:pPr>
              <w:jc w:val="center"/>
            </w:pPr>
            <w:r>
              <w:rPr>
                <w:rFonts w:ascii="Arial" w:cs="Arial" w:eastAsia="Arial" w:hAnsi="Arial"/>
                <w:b/>
                <w:bCs/>
                <w:color w:val="D97706"/>
                <w:sz w:val="20"/>
                <w:szCs w:val="20"/>
              </w:rPr>
              <w:t xml:space="preserve">ESCALABLE</w:t>
            </w:r>
          </w:p>
        </w:tc>
        <w:tc>
          <w:tcPr>
            <w:tcW w:type="dxa" w:w="7760"/>
            <w:tcBorders>
              <w:top w:val="single" w:color="E2E8F0" w:sz="4"/>
              <w:left w:val="single" w:color="E2E8F0" w:sz="4"/>
              <w:bottom w:val="single" w:color="E2E8F0" w:sz="4"/>
              <w:right w:val="single" w:color="E2E8F0" w:sz="4"/>
            </w:tcBorders>
            <w:shd w:fill="F8FAFC" w:val="clear"/>
            <w:tcMar>
              <w:top w:type="dxa" w:w="140"/>
              <w:left w:type="dxa" w:w="160"/>
              <w:bottom w:type="dxa" w:w="140"/>
              <w:right w:type="dxa" w:w="160"/>
            </w:tcMar>
          </w:tcPr>
          <w:p>
            <w:r>
              <w:rPr>
                <w:rFonts w:ascii="Arial" w:cs="Arial" w:eastAsia="Arial" w:hAnsi="Arial"/>
                <w:color w:val="334155"/>
                <w:sz w:val="20"/>
                <w:szCs w:val="20"/>
              </w:rPr>
              <w:t xml:space="preserve">El mismo modelo se aplica a cualquier cadena de comida rápida con producción bajo demanda. McDonald's como caso piloto tiene el tamaño suficiente (375 sucursales) para generar evidencia de impacto replicable en otras marcas del sector.</w:t>
            </w:r>
          </w:p>
        </w:tc>
      </w:tr>
    </w:tbl>
    <w:p>
      <w:pPr>
        <w:spacing w:before="120"/>
      </w:pPr>
      <w:r>
        <w:t xml:space="preserve"/>
      </w:r>
    </w:p>
    <w:p>
      <w:pPr>
        <w:spacing w:before="80" w:after="120"/>
        <w:jc w:val="both"/>
      </w:pPr>
      <w:r>
        <w:rPr>
          <w:rFonts w:ascii="Arial" w:cs="Arial" w:eastAsia="Arial" w:hAnsi="Arial"/>
          <w:b w:val="false"/>
          <w:bCs w:val="false"/>
          <w:i w:val="false"/>
          <w:iCs w:val="false"/>
          <w:color w:val="334155"/>
          <w:sz w:val="21"/>
          <w:szCs w:val="21"/>
        </w:rPr>
        <w:t xml:space="preserve">La diferencia fundamental de CibusChain frente a cualquier iniciativa previa es esta: no depende de la voluntad filantrópica de la empresa. McDonald's adopta el sistema porque cumple la ley, recupera valor fiscal, y protege su responsabilidad sanitaria — todo simultáneamente. El impacto social es consecuencia del diseño, no su motivación. Eso es lo que hace al modelo sostenible y replicable.</w:t>
      </w:r>
    </w:p>
    <w:p>
      <w:pPr>
        <w:spacing w:before="240"/>
      </w:pPr>
      <w:r>
        <w:t xml:space="preserve"/>
      </w:r>
    </w:p>
    <w:p>
      <w:r>
        <w:br w:type="page"/>
      </w:r>
    </w:p>
    <w:p>
      <w:pPr>
        <w:pStyle w:val="Heading1"/>
        <w:pBdr>
          <w:bottom w:val="single" w:color="4F46E5" w:sz="16" w:space="6"/>
        </w:pBdr>
        <w:spacing w:before="560" w:after="200"/>
      </w:pPr>
      <w:r>
        <w:rPr>
          <w:rFonts w:ascii="Arial" w:cs="Arial" w:eastAsia="Arial" w:hAnsi="Arial"/>
          <w:b/>
          <w:bCs/>
          <w:color w:val="0F172A"/>
          <w:sz w:val="36"/>
          <w:szCs w:val="36"/>
        </w:rPr>
        <w:t xml:space="preserve">10. Fuentes y Referencias</w:t>
      </w:r>
    </w:p>
    <w:p>
      <w:pPr>
        <w:spacing w:before="80" w:after="120"/>
        <w:jc w:val="both"/>
      </w:pPr>
      <w:r>
        <w:rPr>
          <w:rFonts w:ascii="Arial" w:cs="Arial" w:eastAsia="Arial" w:hAnsi="Arial"/>
          <w:b w:val="false"/>
          <w:bCs w:val="false"/>
          <w:i w:val="false"/>
          <w:iCs w:val="false"/>
          <w:color w:val="334155"/>
          <w:sz w:val="21"/>
          <w:szCs w:val="21"/>
        </w:rPr>
        <w:t xml:space="preserve">Todas las afirmaciones cuantitativas de este documento tienen respaldo documental en las siguientes fuentes. El documento no contiene cifras sin atribución verificable.</w:t>
      </w:r>
    </w:p>
    <w:p>
      <w:pPr>
        <w:spacing w:before="80"/>
      </w:pPr>
      <w:r>
        <w:t xml:space="preserve"/>
      </w:r>
    </w:p>
    <w:p>
      <w:pPr>
        <w:spacing w:before="300" w:after="100"/>
      </w:pPr>
      <w:r>
        <w:rPr>
          <w:rFonts w:ascii="Arial" w:cs="Arial" w:eastAsia="Arial" w:hAnsi="Arial"/>
          <w:b/>
          <w:bCs/>
          <w:color w:val="4F46E5"/>
          <w:sz w:val="22"/>
          <w:szCs w:val="22"/>
        </w:rPr>
        <w:t xml:space="preserve">Fuentes Primarias — Organismos Oficiales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800"/>
      </w:tblGrid>
      <w:tr>
        <w:tc>
          <w:tcPr>
            <w:tcW w:type="dxa" w:w="4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w:t>
            </w:r>
          </w:p>
        </w:tc>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Fuente</w:t>
            </w:r>
          </w:p>
        </w:tc>
        <w:tc>
          <w:tcPr>
            <w:tcW w:type="dxa" w:w="40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 Citado</w:t>
            </w:r>
          </w:p>
        </w:tc>
        <w:tc>
          <w:tcPr>
            <w:tcW w:type="dxa" w:w="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Año</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INEGI — Encuesta Nacional de Ingresos y Gastos de los Hogares (ENIGH)</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33.1% de hogares con inseguridad alimentaria; 12.85 millones de hogares afectados</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CONEVAL — Medición de Pobreza Multidimensional</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24 millones de personas sin acceso a alimentación segura y suficiente</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SEMARNAT — Diagnóstico Básico para la Gestión Integral de Residuos (DBGIR)</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120,128 toneladas de residuos sólidos urbanos diarios en México; 46.4% son residuos orgánicos</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2020</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[4]</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Diario Oficial de la Federación (DOF)</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Ley General de la Alimentación Adecuada y Sostenible (LGAAS) — Artículo 55: prohibición de desechar alimentos aptos para consumo</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 abril 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[5]</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SAT — Portal de Trámites y Servicios</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Artículo 27 LISR — Fracción XX: deducción de donaciones de bienes básicos de alimentación a donatarias autorizadas, sin límite del 7%</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Vigente 2024</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[6]</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SAGARPA / Secretaría de Agricultura</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37% de alimentos para consumo humano en México se pierden o desperdician (citado por BID)</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2022</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[7]</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Gaceta Oficial CDMX</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Ley para la Donación Altruista de Alimentos de la CDMX — Artículo 4: prohibición de desechar alimentos susceptibles de donación</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16 febrero 2017</w:t>
            </w:r>
          </w:p>
        </w:tc>
      </w:tr>
    </w:tbl>
    <w:p>
      <w:pPr>
        <w:spacing w:before="80"/>
      </w:pPr>
      <w:r>
        <w:t xml:space="preserve"/>
      </w:r>
    </w:p>
    <w:p>
      <w:pPr>
        <w:spacing w:before="300" w:after="100"/>
      </w:pPr>
      <w:r>
        <w:rPr>
          <w:rFonts w:ascii="Arial" w:cs="Arial" w:eastAsia="Arial" w:hAnsi="Arial"/>
          <w:b/>
          <w:bCs/>
          <w:color w:val="4F46E5"/>
          <w:sz w:val="22"/>
          <w:szCs w:val="22"/>
        </w:rPr>
        <w:t xml:space="preserve">Fuentes Secundarias — Organizaciones Internacionales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800"/>
      </w:tblGrid>
      <w:tr>
        <w:tc>
          <w:tcPr>
            <w:tcW w:type="dxa" w:w="4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w:t>
            </w:r>
          </w:p>
        </w:tc>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Fuente</w:t>
            </w:r>
          </w:p>
        </w:tc>
        <w:tc>
          <w:tcPr>
            <w:tcW w:type="dxa" w:w="40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 Citado</w:t>
            </w:r>
          </w:p>
        </w:tc>
        <w:tc>
          <w:tcPr>
            <w:tcW w:type="dxa" w:w="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Año</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[8]</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FAO — Oficina Regional para América Latina y el Caribe</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alimento desperdiciado en América Latina podría alimentar a 300 millones de personas</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2019</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[9]</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FAO / Estadísticas de desperdicio alimentario global</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Restaurantes y comida rápida desperdician entre 4-10% de los alimentos que procesan</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2021-2024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[10]</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Banco Mundial — Food Losses and Waste in Mexico (WRAP)</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20-30 millones de toneladas de alimentos desperdiciadas anualmente; costo de USD $25,000 millones (2.5% del PIB)</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2022</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[11]</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BID — A Playbook for Reducing Food Loss and Waste in Latin America</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15% de la producción total de alimentos en América Latina se pierde o desperdicia</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2020</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UNEP — Food Waste Index Report</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 de la producción mundial de alimentos se desperdicia; sector servicios alimentarios: 5% del total</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2021</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[13]</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FAO — The State of Food and Agriculture</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14% de los alimentos producidos a nivel global se pierden entre cosecha y distribución</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2022</w:t>
            </w:r>
          </w:p>
        </w:tc>
      </w:tr>
    </w:tbl>
    <w:p>
      <w:pPr>
        <w:spacing w:before="80"/>
      </w:pPr>
      <w:r>
        <w:t xml:space="preserve"/>
      </w:r>
    </w:p>
    <w:p>
      <w:pPr>
        <w:spacing w:before="300" w:after="100"/>
      </w:pPr>
      <w:r>
        <w:rPr>
          <w:rFonts w:ascii="Arial" w:cs="Arial" w:eastAsia="Arial" w:hAnsi="Arial"/>
          <w:b/>
          <w:bCs/>
          <w:color w:val="4F46E5"/>
          <w:sz w:val="22"/>
          <w:szCs w:val="22"/>
        </w:rPr>
        <w:t xml:space="preserve">Fuentes Nacionales — Organizaciones de la Sociedad Civil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800"/>
      </w:tblGrid>
      <w:tr>
        <w:tc>
          <w:tcPr>
            <w:tcW w:type="dxa" w:w="4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w:t>
            </w:r>
          </w:p>
        </w:tc>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Fuente</w:t>
            </w:r>
          </w:p>
        </w:tc>
        <w:tc>
          <w:tcPr>
            <w:tcW w:type="dxa" w:w="40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 Citado</w:t>
            </w:r>
          </w:p>
        </w:tc>
        <w:tc>
          <w:tcPr>
            <w:tcW w:type="dxa" w:w="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Año</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[14]</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 BAMX — Comunicado oficial (Consejo de la Comunicación)</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30+ millones de toneladas desperdiciadas/año; 40% de la producción total nacional</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Enero 2025</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[15]</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 BAMX — Informe de actividades</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171,649 toneladas rescatadas en 2023; menos del 0.8% del total desperdiciado</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[16]</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Red BAMX / The Food Tech</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BAMX rescata 150M kg/año — menos del 1% del desperdicio nacional; cita directa de directora nacional</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[17]</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Banco de Alimentos AMA — Informe Anual</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5,643 toneladas rescatadas; 188,000 familias beneficiadas</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[18]</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INEGI / Scielo.org.mx — Revista de Estadística y Geografía</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Pérdida y desperdicio de alimentos documentados por CONEVAL y Red BAMX</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2024</w:t>
            </w:r>
          </w:p>
        </w:tc>
      </w:tr>
    </w:tbl>
    <w:p>
      <w:pPr>
        <w:spacing w:before="80"/>
      </w:pPr>
      <w:r>
        <w:t xml:space="preserve"/>
      </w:r>
    </w:p>
    <w:p>
      <w:pPr>
        <w:spacing w:before="300" w:after="100"/>
      </w:pPr>
      <w:r>
        <w:rPr>
          <w:rFonts w:ascii="Arial" w:cs="Arial" w:eastAsia="Arial" w:hAnsi="Arial"/>
          <w:b/>
          <w:bCs/>
          <w:color w:val="4F46E5"/>
          <w:sz w:val="22"/>
          <w:szCs w:val="22"/>
        </w:rPr>
        <w:t xml:space="preserve">Fuentes Empresariales — McDonald's México y Benchmarks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0"/>
        <w:gridCol w:w="800"/>
      </w:tblGrid>
      <w:tr>
        <w:tc>
          <w:tcPr>
            <w:tcW w:type="dxa" w:w="4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w:t>
            </w:r>
          </w:p>
        </w:tc>
        <w:tc>
          <w:tcPr>
            <w:tcW w:type="dxa" w:w="26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Fuente</w:t>
            </w:r>
          </w:p>
        </w:tc>
        <w:tc>
          <w:tcPr>
            <w:tcW w:type="dxa" w:w="40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Dato Citado</w:t>
            </w:r>
          </w:p>
        </w:tc>
        <w:tc>
          <w:tcPr>
            <w:tcW w:type="dxa" w:w="800"/>
            <w:tcBorders>
              <w:top w:val="single" w:color="1E293B" w:sz="4"/>
              <w:left w:val="single" w:color="1E293B" w:sz="4"/>
              <w:bottom w:val="single" w:color="1E293B" w:sz="4"/>
              <w:right w:val="single" w:color="1E293B" w:sz="4"/>
            </w:tcBorders>
            <w:shd w:fill="0F172A" w:val="clear"/>
            <w:tcMar>
              <w:top w:type="dxa" w:w="110"/>
              <w:left w:type="dxa" w:w="160"/>
              <w:bottom w:type="dxa" w:w="110"/>
              <w:right w:type="dxa" w:w="160"/>
            </w:tcMar>
          </w:tcPr>
          <w:p>
            <w:r>
              <w:rPr>
                <w:rFonts w:ascii="Arial" w:cs="Arial" w:eastAsia="Arial" w:hAnsi="Arial"/>
                <w:b/>
                <w:bCs/>
                <w:color w:val="FFFFFF"/>
                <w:sz w:val="20"/>
                <w:szCs w:val="20"/>
              </w:rPr>
              <w:t xml:space="preserve">Año</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[19]</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Financiero / Arcos Dorados — Jimena Rodríguez (Gerente de Comunicación)</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375 sucursales en México; 2° mercado en América Latina; plan de renovación 2024-2027</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Julio 2025</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Financiero / Arcos Dorados — Francisco Boloña (Director General)</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370 restaurantes en México; plan de 24 nuevas aperturas 2023-2024</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Febrero 2024</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[21]</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El Universal — 40 años de McDonald's en México</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12,400+ empleados; historia del sistema 'Made for You' de producción bajo demanda (2009)</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Octubre 2025</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[22]</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Too Good To Go — About Us (toogoodtogo.com)</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120M usuarios, 180,000 establecimientos, 21 países, 500+ millones de comidas rescatadas</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2025</w:t>
            </w:r>
          </w:p>
        </w:tc>
      </w:tr>
      <w:tr>
        <w:tc>
          <w:tcPr>
            <w:tcW w:type="dxa" w:w="4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[23]</w:t>
            </w:r>
          </w:p>
        </w:tc>
        <w:tc>
          <w:tcPr>
            <w:tcW w:type="dxa" w:w="26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NPR — How this Mexico City food market is cutting back on food waste</w:t>
            </w:r>
          </w:p>
        </w:tc>
        <w:tc>
          <w:tcPr>
            <w:tcW w:type="dxa" w:w="40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20.4 millones de toneladas desperdiciadas en México (Lina Pohl Alfaro, representante FAO México)</w:t>
            </w:r>
          </w:p>
        </w:tc>
        <w:tc>
          <w:tcPr>
            <w:tcW w:type="dxa" w:w="800"/>
            <w:tcBorders>
              <w:top w:val="single" w:color="E2E8F0" w:sz="4"/>
              <w:left w:val="single" w:color="E2E8F0" w:sz="4"/>
              <w:bottom w:val="single" w:color="E2E8F0" w:sz="4"/>
              <w:right w:val="single" w:color="E2E8F0" w:sz="4"/>
            </w:tcBorders>
            <w:shd w:fill="FFFFFF"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Diciembre 2023</w:t>
            </w:r>
          </w:p>
        </w:tc>
      </w:tr>
      <w:tr>
        <w:tc>
          <w:tcPr>
            <w:tcW w:type="dxa" w:w="4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[24]</w:t>
            </w:r>
          </w:p>
        </w:tc>
        <w:tc>
          <w:tcPr>
            <w:tcW w:type="dxa" w:w="26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Pie de Página — Bancos de alimentos en México</w:t>
            </w:r>
          </w:p>
        </w:tc>
        <w:tc>
          <w:tcPr>
            <w:tcW w:type="dxa" w:w="40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BAMX: 171,649 toneladas en 2023; 45% frutas y verduras, 52% no perecederos</w:t>
            </w:r>
          </w:p>
        </w:tc>
        <w:tc>
          <w:tcPr>
            <w:tcW w:type="dxa" w:w="800"/>
            <w:tcBorders>
              <w:top w:val="single" w:color="E2E8F0" w:sz="4"/>
              <w:left w:val="single" w:color="E2E8F0" w:sz="4"/>
              <w:bottom w:val="single" w:color="E2E8F0" w:sz="4"/>
              <w:right w:val="single" w:color="E2E8F0" w:sz="4"/>
            </w:tcBorders>
            <w:shd w:fill="F8FAFC" w:val="clear"/>
            <w:tcMar>
              <w:top w:type="dxa" w:w="90"/>
              <w:left w:type="dxa" w:w="160"/>
              <w:bottom w:type="dxa" w:w="90"/>
              <w:right w:type="dxa" w:w="160"/>
            </w:tcMar>
          </w:tcPr>
          <w:p>
            <w:r>
              <w:rPr>
                <w:rFonts w:ascii="Arial" w:cs="Arial" w:eastAsia="Arial" w:hAnsi="Arial"/>
                <w:b w:val="false"/>
                <w:bCs w:val="false"/>
                <w:i w:val="false"/>
                <w:iCs w:val="false"/>
                <w:color w:val="334155"/>
                <w:sz w:val="20"/>
                <w:szCs w:val="20"/>
              </w:rPr>
              <w:t xml:space="preserve">Octubre 2024</w:t>
            </w:r>
          </w:p>
        </w:tc>
      </w:tr>
    </w:tbl>
    <w:p>
      <w:pPr>
        <w:spacing w:before="160"/>
      </w:pPr>
      <w:r>
        <w:t xml:space="preserve"/>
      </w:r>
    </w:p>
    <w:p>
      <w:pPr>
        <w:pBdr>
          <w:bottom w:val="single" w:color="CBD5E1" w:sz="4" w:space="1"/>
        </w:pBdr>
        <w:spacing w:before="240" w:after="240"/>
      </w:pPr>
      <w:r>
        <w:t xml:space="preserve"/>
      </w:r>
    </w:p>
    <w:p>
      <w:pPr>
        <w:spacing w:before="60"/>
      </w:pPr>
      <w:r>
        <w:t xml:space="preserve"/>
      </w:r>
    </w:p>
    <w:p>
      <w:pPr>
        <w:jc w:val="center"/>
      </w:pPr>
      <w:r>
        <w:rPr>
          <w:rFonts w:ascii="Arial" w:cs="Arial" w:eastAsia="Arial" w:hAnsi="Arial"/>
          <w:i/>
          <w:iCs/>
          <w:color w:val="64748B"/>
          <w:sz w:val="18"/>
          <w:szCs w:val="18"/>
        </w:rPr>
        <w:t xml:space="preserve">CibusChain — Documento de Justificación v1.0  ·  Feed the Future, Genius Arena 2026</w:t>
      </w:r>
    </w:p>
    <w:p>
      <w:pPr>
        <w:spacing w:before="60"/>
        <w:jc w:val="center"/>
      </w:pPr>
      <w:r>
        <w:rPr>
          <w:rFonts w:ascii="Arial" w:cs="Arial" w:eastAsia="Arial" w:hAnsi="Arial"/>
          <w:i/>
          <w:iCs/>
          <w:color w:val="64748B"/>
          <w:sz w:val="18"/>
          <w:szCs w:val="18"/>
        </w:rPr>
        <w:t xml:space="preserve">Todas las cifras están respaldadas por fuentes verificables listadas en la Sección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400" w:after="1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2026-02-27T07:56:24.503Z</dcterms:created>
  <dcterms:modified xsi:type="dcterms:W3CDTF">2026-02-27T07:56:24.504Z</dcterms:modified>
</cp:coreProperties>
</file>

<file path=docProps/custom.xml><?xml version="1.0" encoding="utf-8"?>
<Properties xmlns="http://schemas.openxmlformats.org/officeDocument/2006/custom-properties" xmlns:vt="http://schemas.openxmlformats.org/officeDocument/2006/docPropsVTypes"/>
</file>