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550"/>
        <w:gridCol w:w="8156"/>
      </w:tblGrid>
      <w:tr>
        <w:tc>
          <w:tcPr>
            <w:tcW w:type="dxa" w:w="1550"/>
            <w:tcBorders>
              <w:top w:val="single" w:color="3E57A5" w:sz="14"/>
              <w:left w:val="single" w:color="3E57A5" w:sz="14"/>
              <w:bottom w:val="single" w:color="3E57A5" w:sz="14"/>
              <w:right w:val="single" w:color="3E57A5" w:sz="14"/>
            </w:tcBorders>
            <w:shd w:fill="DEEAFF" w:color="auto" w:val="clear"/>
            <w:tcMar>
              <w:top w:type="dxa" w:w="140"/>
              <w:left w:type="dxa" w:w="100"/>
              <w:bottom w:type="dxa" w:w="140"/>
              <w:right w:type="dxa" w:w="100"/>
            </w:tcMar>
            <w:vAlign w:val="center"/>
          </w:tcPr>
          <w:p>
            <w:pPr>
              <w:jc w:val="center"/>
            </w:pPr>
            <w:r>
              <w:rPr>
                <w:rFonts w:ascii="맑은 고딕" w:cs="맑은 고딕" w:eastAsia="맑은 고딕" w:hAnsi="맑은 고딕"/>
                <w:b/>
                <w:bCs/>
                <w:color w:val="3E57A5"/>
                <w:sz w:val="27"/>
                <w:szCs w:val="27"/>
              </w:rPr>
              <w:t xml:space="preserve">첨부 2</w:t>
            </w:r>
          </w:p>
        </w:tc>
        <w:tc>
          <w:tcPr>
            <w:tcW w:type="dxa" w:w="8156"/>
            <w:tcBorders>
              <w:top w:val="single" w:color="3E57A5" w:sz="14"/>
              <w:left w:val="single" w:color="3E57A5" w:sz="14"/>
              <w:bottom w:val="single" w:color="3E57A5" w:sz="14"/>
              <w:right w:val="single" w:color="3E57A5" w:sz="14"/>
            </w:tcBorders>
            <w:tcMar>
              <w:top w:type="dxa" w:w="140"/>
              <w:left w:type="dxa" w:w="220"/>
              <w:bottom w:type="dxa" w:w="140"/>
              <w:right w:type="dxa" w:w="160"/>
            </w:tcMar>
            <w:vAlign w:val="center"/>
          </w:tcPr>
          <w:p>
            <w:r>
              <w:rPr>
                <w:rFonts w:ascii="맑은 고딕" w:cs="맑은 고딕" w:eastAsia="맑은 고딕" w:hAnsi="맑은 고딕"/>
                <w:b/>
                <w:bCs/>
                <w:sz w:val="28"/>
                <w:szCs w:val="28"/>
              </w:rPr>
              <w:t xml:space="preserve">2026 금융 AI Challenge 기능 명세서</w:t>
            </w:r>
          </w:p>
        </w:tc>
      </w:tr>
    </w:tbl>
    <w:p>
      <w:pPr>
        <w:spacing w:after="1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7806"/>
      </w:tblGrid>
      <w:tr>
        <w:tc>
          <w:tcPr>
            <w:tcW w:type="dxa" w:w="1900"/>
            <w:tcBorders>
              <w:top w:val="single" w:color="000000" w:sz="8"/>
              <w:left w:val="single" w:color="000000" w:sz="8"/>
              <w:bottom w:val="single" w:color="000000" w:sz="8"/>
              <w:right w:val="single" w:color="000000" w:sz="8"/>
            </w:tcBorders>
            <w:shd w:fill="D9D9D9" w:color="auto" w:val="clear"/>
            <w:tcMar>
              <w:top w:type="dxa" w:w="120"/>
              <w:left w:type="dxa" w:w="100"/>
              <w:bottom w:type="dxa" w:w="120"/>
              <w:right w:type="dxa" w:w="100"/>
            </w:tcMar>
            <w:vAlign w:val="center"/>
          </w:tcPr>
          <w:p>
            <w:pPr>
              <w:jc w:val="center"/>
            </w:pPr>
            <w:r>
              <w:rPr>
                <w:rFonts w:ascii="맑은 고딕" w:cs="맑은 고딕" w:eastAsia="맑은 고딕" w:hAnsi="맑은 고딕"/>
                <w:b/>
                <w:bCs/>
                <w:sz w:val="22"/>
                <w:szCs w:val="22"/>
              </w:rPr>
              <w:t xml:space="preserve">팀명</w:t>
            </w:r>
          </w:p>
        </w:tc>
        <w:tc>
          <w:tcPr>
            <w:tcW w:type="dxa" w:w="7806"/>
            <w:tcBorders>
              <w:top w:val="single" w:color="000000" w:sz="8"/>
              <w:left w:val="single" w:color="000000" w:sz="8"/>
              <w:bottom w:val="single" w:color="000000" w:sz="8"/>
              <w:right w:val="single" w:color="000000" w:sz="8"/>
            </w:tcBorders>
            <w:tcMar>
              <w:top w:type="dxa" w:w="120"/>
              <w:left w:type="dxa" w:w="100"/>
              <w:bottom w:type="dxa" w:w="120"/>
              <w:right w:type="dxa" w:w="100"/>
            </w:tcMar>
            <w:vAlign w:val="center"/>
          </w:tcPr>
          <w:p>
            <w:pPr>
              <w:jc w:val="center"/>
            </w:pPr>
            <w:r>
              <w:rPr>
                <w:rFonts w:ascii="맑은 고딕" w:cs="맑은 고딕" w:eastAsia="맑은 고딕" w:hAnsi="맑은 고딕"/>
                <w:sz w:val="22"/>
                <w:szCs w:val="22"/>
              </w:rPr>
              <w:t xml:space="preserve">해빙</w:t>
            </w:r>
          </w:p>
        </w:tc>
      </w:tr>
      <w:tr>
        <w:tc>
          <w:tcPr>
            <w:tcW w:type="dxa" w:w="1900"/>
            <w:tcBorders>
              <w:top w:val="single" w:color="000000" w:sz="8"/>
              <w:left w:val="single" w:color="000000" w:sz="8"/>
              <w:bottom w:val="single" w:color="000000" w:sz="8"/>
              <w:right w:val="single" w:color="000000" w:sz="8"/>
            </w:tcBorders>
            <w:shd w:fill="D9D9D9" w:color="auto" w:val="clear"/>
            <w:tcMar>
              <w:top w:type="dxa" w:w="120"/>
              <w:left w:type="dxa" w:w="100"/>
              <w:bottom w:type="dxa" w:w="120"/>
              <w:right w:type="dxa" w:w="100"/>
            </w:tcMar>
            <w:vAlign w:val="center"/>
          </w:tcPr>
          <w:p>
            <w:pPr>
              <w:jc w:val="center"/>
            </w:pPr>
            <w:r>
              <w:rPr>
                <w:rFonts w:ascii="맑은 고딕" w:cs="맑은 고딕" w:eastAsia="맑은 고딕" w:hAnsi="맑은 고딕"/>
                <w:b/>
                <w:bCs/>
                <w:sz w:val="22"/>
                <w:szCs w:val="22"/>
              </w:rPr>
              <w:t xml:space="preserve">구성원 성명</w:t>
            </w:r>
          </w:p>
        </w:tc>
        <w:tc>
          <w:tcPr>
            <w:tcW w:type="dxa" w:w="7806"/>
            <w:tcBorders>
              <w:top w:val="single" w:color="000000" w:sz="8"/>
              <w:left w:val="single" w:color="000000" w:sz="8"/>
              <w:bottom w:val="single" w:color="000000" w:sz="8"/>
              <w:right w:val="single" w:color="000000" w:sz="8"/>
            </w:tcBorders>
            <w:tcMar>
              <w:top w:type="dxa" w:w="120"/>
              <w:left w:type="dxa" w:w="100"/>
              <w:bottom w:type="dxa" w:w="120"/>
              <w:right w:type="dxa" w:w="100"/>
            </w:tcMar>
            <w:vAlign w:val="center"/>
          </w:tcPr>
          <w:p>
            <w:pPr>
              <w:jc w:val="center"/>
            </w:pPr>
            <w:r>
              <w:rPr>
                <w:rFonts w:ascii="맑은 고딕" w:cs="맑은 고딕" w:eastAsia="맑은 고딕" w:hAnsi="맑은 고딕"/>
                <w:sz w:val="22"/>
                <w:szCs w:val="22"/>
              </w:rPr>
              <w:t xml:space="preserve">김영욱, 김응빈, 김태윤</w:t>
            </w:r>
          </w:p>
        </w:tc>
      </w:tr>
    </w:tbl>
    <w:p>
      <w:pPr>
        <w:spacing w:after="80"/>
      </w:pPr>
    </w:p>
    <w:p>
      <w:pPr>
        <w:spacing w:after="200"/>
        <w:jc w:val="right"/>
      </w:pPr>
      <w:r>
        <w:rPr>
          <w:rFonts w:ascii="맑은 고딕" w:cs="맑은 고딕" w:eastAsia="맑은 고딕" w:hAnsi="맑은 고딕"/>
          <w:sz w:val="19"/>
          <w:szCs w:val="19"/>
        </w:rPr>
        <w:t xml:space="preserve">( * 필수항목)</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single" w:color="000000" w:sz="8"/>
              <w:left w:val="single" w:color="000000" w:sz="8"/>
              <w:bottom w:val="single" w:color="000000" w:sz="8"/>
              <w:right w:val="single" w:color="000000" w:sz="8"/>
            </w:tcBorders>
            <w:shd w:fill="E5E5E5" w:color="auto" w:val="clear"/>
            <w:tcMar>
              <w:top w:type="dxa" w:w="110"/>
              <w:left w:type="dxa" w:w="160"/>
              <w:bottom w:type="dxa" w:w="110"/>
              <w:right w:type="dxa" w:w="160"/>
            </w:tcMar>
          </w:tcPr>
          <w:p>
            <w:r>
              <w:rPr>
                <w:rFonts w:ascii="맑은 고딕" w:cs="맑은 고딕" w:eastAsia="맑은 고딕" w:hAnsi="맑은 고딕"/>
                <w:b/>
                <w:bCs/>
                <w:sz w:val="25"/>
                <w:szCs w:val="25"/>
              </w:rPr>
              <w:t xml:space="preserve">1. MVP 구현 범위</w:t>
            </w:r>
            <w:r>
              <w:rPr>
                <w:rFonts w:ascii="맑은 고딕" w:cs="맑은 고딕" w:eastAsia="맑은 고딕" w:hAnsi="맑은 고딕"/>
                <w:b/>
                <w:bCs/>
                <w:sz w:val="16"/>
                <w:szCs w:val="16"/>
                <w:vertAlign w:val="superscript"/>
              </w:rPr>
              <w:t xml:space="preserve">*</w:t>
            </w:r>
          </w:p>
        </w:tc>
      </w:tr>
      <w:tr>
        <w:trPr>
          <w:cantSplit w:val="false"/>
        </w:trPr>
        <w:tc>
          <w:tcPr>
            <w:tcW w:type="dxa" w:w="9706"/>
            <w:tcBorders>
              <w:top w:val="single" w:color="000000" w:sz="8"/>
              <w:left w:val="single" w:color="000000" w:sz="8"/>
              <w:bottom w:val="single" w:color="000000" w:sz="8"/>
              <w:right w:val="single" w:color="000000" w:sz="8"/>
            </w:tcBorders>
            <w:tcMar>
              <w:top w:type="dxa" w:w="160"/>
              <w:left w:type="dxa" w:w="160"/>
              <w:bottom w:type="dxa" w:w="160"/>
              <w:right w:type="dxa" w:w="160"/>
            </w:tcMar>
          </w:tcPr>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지급정지된 계좌의 명의인이 상황 접수부터 증거 정리, 제출 준비도 점검, 소명서 작성, 접수 안내까지 전 과정을 서비스 하나로 진행할 수 있도록 5단계가 모두 실제로 동작함</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구현된 핵심 기능 ㅡ 문진 6문항을 통한 상황 접수와 이의제기 기한 자동 계산, 이미지 업로드와 AI 자동 판독, 추출 결과 사용자 확인, 시간순 타임라인 재구성과 증거 공백 표시, 결정적 규칙에 따른 제출 준비도 점검, 소명서 자동 작성과 사실 일치 검증, 첨부 서류 체크리스트, 통장협박 감지 및 대응 안내</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b/>
                <w:bCs/>
                <w:sz w:val="21"/>
                <w:szCs w:val="21"/>
              </w:rPr>
              <w:t xml:space="preserve">제출 패키지 내보내기</w:t>
            </w:r>
            <w:r>
              <w:rPr>
                <w:rFonts w:ascii="맑은 고딕" w:cs="맑은 고딕" w:eastAsia="맑은 고딕" w:hAnsi="맑은 고딕"/>
                <w:sz w:val="21"/>
                <w:szCs w:val="21"/>
              </w:rPr>
              <w:t xml:space="preserve"> ㅡ 시행령 별지 제4호서식 이의제기신청서 작성 지원본, 사실관계 진술서, 거래 타임라인, 증빙자료 목록, 원본 이미지를 표지가 붙은 </w:t>
            </w:r>
            <w:r>
              <w:rPr>
                <w:rFonts w:ascii="맑은 고딕" w:cs="맑은 고딕" w:eastAsia="맑은 고딕" w:hAnsi="맑은 고딕"/>
                <w:b/>
                <w:bCs/>
                <w:sz w:val="21"/>
                <w:szCs w:val="21"/>
              </w:rPr>
              <w:t xml:space="preserve">한 개의 PDF</w:t>
            </w:r>
            <w:r>
              <w:rPr>
                <w:rFonts w:ascii="맑은 고딕" w:cs="맑은 고딕" w:eastAsia="맑은 고딕" w:hAnsi="맑은 고딕"/>
                <w:sz w:val="21"/>
                <w:szCs w:val="21"/>
              </w:rPr>
              <w:t xml:space="preserve">로 묶어 내려받음. 텍스트 면은 서버가 생성하고 원본 이미지 면은 브라우저가 만들어 병합</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범위 밖 ㅡ 전자서명(사용자가 출력해 자필 서명), 신분증 사본 수집, 은행 시스템 실연동</w:t>
            </w:r>
          </w:p>
        </w:tc>
      </w:tr>
    </w:tbl>
    <w:p>
      <w:pPr>
        <w:spacing w:after="1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single" w:color="000000" w:sz="8"/>
              <w:left w:val="single" w:color="000000" w:sz="8"/>
              <w:bottom w:val="single" w:color="000000" w:sz="8"/>
              <w:right w:val="single" w:color="000000" w:sz="8"/>
            </w:tcBorders>
            <w:shd w:fill="E5E5E5" w:color="auto" w:val="clear"/>
            <w:tcMar>
              <w:top w:type="dxa" w:w="110"/>
              <w:left w:type="dxa" w:w="160"/>
              <w:bottom w:type="dxa" w:w="110"/>
              <w:right w:type="dxa" w:w="160"/>
            </w:tcMar>
          </w:tcPr>
          <w:p>
            <w:r>
              <w:rPr>
                <w:rFonts w:ascii="맑은 고딕" w:cs="맑은 고딕" w:eastAsia="맑은 고딕" w:hAnsi="맑은 고딕"/>
                <w:b/>
                <w:bCs/>
                <w:sz w:val="25"/>
                <w:szCs w:val="25"/>
              </w:rPr>
              <w:t xml:space="preserve">2. 주요 기능 목록</w:t>
            </w:r>
            <w:r>
              <w:rPr>
                <w:rFonts w:ascii="맑은 고딕" w:cs="맑은 고딕" w:eastAsia="맑은 고딕" w:hAnsi="맑은 고딕"/>
                <w:b/>
                <w:bCs/>
                <w:sz w:val="16"/>
                <w:szCs w:val="16"/>
                <w:vertAlign w:val="superscript"/>
              </w:rPr>
              <w:t xml:space="preserve">*</w:t>
            </w:r>
          </w:p>
        </w:tc>
      </w:tr>
      <w:tr>
        <w:trPr>
          <w:cantSplit w:val="false"/>
        </w:trPr>
        <w:tc>
          <w:tcPr>
            <w:tcW w:type="dxa" w:w="970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706"/>
              <w:tblBorders>
                <w:top w:val="single" w:color="000000" w:sz="8"/>
                <w:left w:val="single" w:color="000000" w:sz="8"/>
                <w:bottom w:val="single" w:color="000000" w:sz="8"/>
                <w:right w:val="single" w:color="000000" w:sz="8"/>
                <w:insideH w:val="single" w:color="999999" w:sz="5"/>
                <w:insideV w:val="single" w:color="999999" w:sz="5"/>
              </w:tblBorders>
            </w:tblPr>
            <w:tblGrid>
              <w:gridCol w:w="1600"/>
              <w:gridCol w:w="4500"/>
              <w:gridCol w:w="1900"/>
              <w:gridCol w:w="1706"/>
            </w:tblGrid>
            <w:tr>
              <w:trPr>
                <w:tblHeader/>
              </w:trPr>
              <w:tc>
                <w:tcPr>
                  <w:tcW w:type="dxa" w:w="1600"/>
                  <w:shd w:fill="E5E5E5" w:color="auto" w:val="clear"/>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bCs/>
                      <w:sz w:val="19"/>
                      <w:szCs w:val="19"/>
                    </w:rPr>
                    <w:t xml:space="preserve">기능명</w:t>
                  </w:r>
                </w:p>
              </w:tc>
              <w:tc>
                <w:tcPr>
                  <w:tcW w:type="dxa" w:w="4500"/>
                  <w:shd w:fill="E5E5E5" w:color="auto" w:val="clear"/>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bCs/>
                      <w:sz w:val="19"/>
                      <w:szCs w:val="19"/>
                    </w:rPr>
                    <w:t xml:space="preserve">기능 설명</w:t>
                  </w:r>
                </w:p>
              </w:tc>
              <w:tc>
                <w:tcPr>
                  <w:tcW w:type="dxa" w:w="1900"/>
                  <w:shd w:fill="E5E5E5" w:color="auto" w:val="clear"/>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bCs/>
                      <w:sz w:val="19"/>
                      <w:szCs w:val="19"/>
                    </w:rPr>
                    <w:t xml:space="preserve">관련 화면</w:t>
                  </w:r>
                </w:p>
              </w:tc>
              <w:tc>
                <w:tcPr>
                  <w:tcW w:type="dxa" w:w="1706"/>
                  <w:shd w:fill="E5E5E5" w:color="auto" w:val="clear"/>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bCs/>
                      <w:sz w:val="19"/>
                      <w:szCs w:val="19"/>
                    </w:rPr>
                    <w:t xml:space="preserve">구현 상태</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문진 기반 상황 접수</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6개 선택형 문항으로 계좌 상황과 준비도 점검에 필요한 정보를 입력받고, 지급정지일·공고일로 이의제기 기한을 자동 계산한다. 물품 거래를 고르면 거래 방식 문항이 하나 더 붙는다. 증빙 자료가 없어도 진행 가능</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상황 접수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증거 이미지 자동 판독</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카카오톡 대화, 거래내역, 송장 등 최대 10장의 이미지를 업로드하면 AI가 대화 내용·금액·시점을 자동으로 읽어낸다. 전송 전 브라우저에서 개인정보를 가리며 원본 이미지는 서버에 저장하지 않는다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증거 정리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추출 결과 사용자 확인</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AI가 읽어낸 내용을 사건 카드로 보여주고 사용자가 직접 확인·수정한다. 날짜·금액의 신뢰도가 낮거나 날짜를 읽지 못한 카드는 확인해야 다음 단계로 넘어갈 수 있다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증거 정리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타임라인 재구성 및 증거 공백 표시</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추출된 정보를 시간 순서대로 정리하고 반복되는 정기 거래는 하나로 묶으며, 소명에 필요한데 빠진 자료가 있으면 화면에 표시해 알려준다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증거 정리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제출 준비도 점검</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확인되지 않은 값·필수 증빙 누락·자료 간 충돌을 결정적 규칙으로 따져 제출 준비 완료 / 증빙 보완 필요 / 은행 확인 필요 중 하나와 그 근거를 제시한다. 해제 여부나 승인 가능성은 예측하지 않으며 최종 판단이 은행에 있음을 함께 표시한다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준비도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소명서 자동 작성</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정리된 타임라인과 준비도 점검 결과를 바탕으로 은행 제출용 사실 진술서 초안을 자동으로 작성하고, 근거 없는 내용이 들어가지 않았는지 자동으로 검증한다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소명서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문장별 근거 원본 연결</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소명서의 각 문장이 어느 캡처에서 나온 것인지 연결해, 사용자가 원본을 열어 대조하고 틀린 문장을 제외한 뒤 다시 만들 수 있다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소명서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첨부 서류 체크리스트</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거래 유형에 맞는 법정 첨부서류와 금융감독원 표준 소명자료를 보유·미보유로 정리해 무엇을 더 준비해야 하는지 알려준다. 이 목록은 화면에만 두고 제출본에는 넣지 않는다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소명서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이의제기신청서 작성 지원</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시행령 별지 제4호서식의 11개 항목을 입력받아 서식 그대로 채워진 신청서를 만든다. 모두 선택 입력이라 빈 칸은 공란으로 나가며, 서명란은 사용자가 출력해 자필로 서명한다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소명서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제출 패키지 내보내기</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표지·이의제기신청서·사실관계 진술서·거래 타임라인·증빙자료 목록·원본 이미지를 한 개의 PDF로 묶어 내려받는다. 다운로드 전 미리보기에서 최종 확인할 수 있다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소명서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통장협박 대응 안내</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지급정지 해제를 조건으로 금전을 요구하는 협박 메시지를 감지하면 즉시 보존 방법을 안내하고, 해당 메시지를 소명서에 반영한다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전체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텍스트 직접 입력</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이미지가 없거나 인식이 안 될 때 상황을 글로 직접 써서 진행할 수 있는 대체 경로</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증거 정리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r>
              <w:trPr>
                <w:cantSplit/>
              </w:trPr>
              <w:tc>
                <w:tcPr>
                  <w:tcW w:type="dxa" w:w="16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접수 경로 안내</w:t>
                  </w:r>
                </w:p>
              </w:tc>
              <w:tc>
                <w:tcPr>
                  <w:tcW w:type="dxa" w:w="4500"/>
                  <w:tcMar>
                    <w:top w:type="dxa" w:w="100"/>
                    <w:left w:type="dxa" w:w="110"/>
                    <w:bottom w:type="dxa" w:w="100"/>
                    <w:right w:type="dxa" w:w="110"/>
                  </w:tcMar>
                  <w:vAlign w:val="center"/>
                </w:tcPr>
                <w:p>
                  <w:pPr>
                    <w:spacing w:line="300" w:lineRule="atLeast"/>
                    <w:jc w:val="left"/>
                  </w:pPr>
                  <w:r>
                    <w:rPr>
                      <w:rFonts w:ascii="맑은 고딕" w:cs="맑은 고딕" w:eastAsia="맑은 고딕" w:hAnsi="맑은 고딕"/>
                      <w:b w:val="false"/>
                      <w:bCs w:val="false"/>
                      <w:sz w:val="19"/>
                      <w:szCs w:val="19"/>
                    </w:rPr>
                    <w:t xml:space="preserve">공식 제출처인 해당 계좌 관리 금융회사를 먼저 안내하고 영업점 창구·금융감독원 민원은 보조 경로로 구분해 표시한다. 해제 이후에도 남는 사기이용계좌 등록 제한도 함께 알린다</w:t>
                  </w:r>
                </w:p>
              </w:tc>
              <w:tc>
                <w:tcPr>
                  <w:tcW w:type="dxa" w:w="1900"/>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접수 안내 화면</w:t>
                  </w:r>
                </w:p>
              </w:tc>
              <w:tc>
                <w:tcPr>
                  <w:tcW w:type="dxa" w:w="1706"/>
                  <w:tcMar>
                    <w:top w:type="dxa" w:w="100"/>
                    <w:left w:type="dxa" w:w="110"/>
                    <w:bottom w:type="dxa" w:w="100"/>
                    <w:right w:type="dxa" w:w="110"/>
                  </w:tcMar>
                  <w:vAlign w:val="center"/>
                </w:tcPr>
                <w:p>
                  <w:pPr>
                    <w:spacing w:line="300" w:lineRule="atLeast"/>
                    <w:jc w:val="center"/>
                  </w:pPr>
                  <w:r>
                    <w:rPr>
                      <w:rFonts w:ascii="맑은 고딕" w:cs="맑은 고딕" w:eastAsia="맑은 고딕" w:hAnsi="맑은 고딕"/>
                      <w:b w:val="false"/>
                      <w:bCs w:val="false"/>
                      <w:sz w:val="19"/>
                      <w:szCs w:val="19"/>
                    </w:rPr>
                    <w:t xml:space="preserve">완료</w:t>
                  </w:r>
                </w:p>
              </w:tc>
            </w:tr>
          </w:tbl>
          <w:p/>
        </w:tc>
      </w:tr>
    </w:tbl>
    <w:p>
      <w:pPr>
        <w:spacing w:after="1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single" w:color="000000" w:sz="8"/>
              <w:left w:val="single" w:color="000000" w:sz="8"/>
              <w:bottom w:val="single" w:color="000000" w:sz="8"/>
              <w:right w:val="single" w:color="000000" w:sz="8"/>
            </w:tcBorders>
            <w:shd w:fill="E5E5E5" w:color="auto" w:val="clear"/>
            <w:tcMar>
              <w:top w:type="dxa" w:w="110"/>
              <w:left w:type="dxa" w:w="160"/>
              <w:bottom w:type="dxa" w:w="110"/>
              <w:right w:type="dxa" w:w="160"/>
            </w:tcMar>
          </w:tcPr>
          <w:p>
            <w:r>
              <w:rPr>
                <w:rFonts w:ascii="맑은 고딕" w:cs="맑은 고딕" w:eastAsia="맑은 고딕" w:hAnsi="맑은 고딕"/>
                <w:b/>
                <w:bCs/>
                <w:sz w:val="25"/>
                <w:szCs w:val="25"/>
              </w:rPr>
              <w:t xml:space="preserve">3. 사용자 이용 흐름</w:t>
            </w:r>
            <w:r>
              <w:rPr>
                <w:rFonts w:ascii="맑은 고딕" w:cs="맑은 고딕" w:eastAsia="맑은 고딕" w:hAnsi="맑은 고딕"/>
                <w:b/>
                <w:bCs/>
                <w:sz w:val="16"/>
                <w:szCs w:val="16"/>
                <w:vertAlign w:val="superscript"/>
              </w:rPr>
              <w:t xml:space="preserve">*</w:t>
            </w:r>
          </w:p>
        </w:tc>
      </w:tr>
      <w:tr>
        <w:trPr>
          <w:cantSplit w:val="false"/>
        </w:trPr>
        <w:tc>
          <w:tcPr>
            <w:tcW w:type="dxa" w:w="9706"/>
            <w:tcBorders>
              <w:top w:val="single" w:color="000000" w:sz="8"/>
              <w:left w:val="single" w:color="000000" w:sz="8"/>
              <w:bottom w:val="single" w:color="000000" w:sz="8"/>
              <w:right w:val="single" w:color="000000" w:sz="8"/>
            </w:tcBorders>
            <w:tcMar>
              <w:top w:type="dxa" w:w="160"/>
              <w:left w:type="dxa" w:w="160"/>
              <w:bottom w:type="dxa" w:w="160"/>
              <w:right w:type="dxa" w:w="160"/>
            </w:tcMar>
          </w:tcPr>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URL 접속 ㅡ 진입 화면 상단에 “지금 협박 연락을 받고 있다면 돈을 보내지 마세요 · 메시지를 지우지 마세요 · 답장하지 마세요” 안내를 항상 표시하고, 판독 과정에서 협박이 감지되면 이후 화면 상단에도 같은 배너를 고정</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[시작하기] → 문진 6문항 응답(지급정지일, 채권소멸절차 개시 공고, 문제 입금액, 거래 성격, 과거 이력, 계좌 사용 목적). 중고 물건 판매를 고르면 거래 방식 1문항이 조건부로 추가되며, 지급정지일·공고일로 이의제기 기한을 자동 계산</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보유한 캡처 이미지(카톡 대화·거래내역·송장 등) 업로드 → AI가 판독한 결과를 </w:t>
            </w:r>
            <w:r>
              <w:rPr>
                <w:rFonts w:ascii="맑은 고딕" w:cs="맑은 고딕" w:eastAsia="맑은 고딕" w:hAnsi="맑은 고딕"/>
                <w:b/>
                <w:bCs/>
                <w:sz w:val="21"/>
                <w:szCs w:val="21"/>
              </w:rPr>
              <w:t xml:space="preserve">사건 카드로 확인</w:t>
            </w:r>
            <w:r>
              <w:rPr>
                <w:rFonts w:ascii="맑은 고딕" w:cs="맑은 고딕" w:eastAsia="맑은 고딕" w:hAnsi="맑은 고딕"/>
                <w:sz w:val="21"/>
                <w:szCs w:val="21"/>
              </w:rPr>
              <w:t xml:space="preserve"> ㅡ 날짜·금액의 신뢰도가 낮거나 날짜를 읽지 못한 카드는 확인해야 다음 단계로 진행 → 시간순 타임라인으로 재구성되고 부족한 증거는 공백으로 표시</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준비도 화면에서 </w:t>
            </w:r>
            <w:r>
              <w:rPr>
                <w:rFonts w:ascii="맑은 고딕" w:cs="맑은 고딕" w:eastAsia="맑은 고딕" w:hAnsi="맑은 고딕"/>
                <w:b/>
                <w:bCs/>
                <w:sz w:val="21"/>
                <w:szCs w:val="21"/>
              </w:rPr>
              <w:t xml:space="preserve">제출 준비 완료 / 증빙 보완 필요 / 은행 확인 필요</w:t>
            </w:r>
            <w:r>
              <w:rPr>
                <w:rFonts w:ascii="맑은 고딕" w:cs="맑은 고딕" w:eastAsia="맑은 고딕" w:hAnsi="맑은 고딕"/>
                <w:sz w:val="21"/>
                <w:szCs w:val="21"/>
              </w:rPr>
              <w:t xml:space="preserve"> 세 상태 중 하나와 그 근거(확인 안 된 자료, 누락 증빙, 자료 간 충돌)를 확인. 세 상태 모두에 “최종 판단은 은행이 합니다”를 병기하며 해제 여부는 예측하지 않음</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소명서 화면에서 자동 생성된 사실관계 진술서 초안과 첨부 서류 체크리스트를 확인. 문장마다 근거가 된 원본 캡처를 열어 대조하고, 필요 시 문장을 제외하거나 증거를 추가해 재생성</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별지 제4호서식 11개 필드(전부 선택 입력)를 채우고 미리보기로 최종 확인한 뒤 </w:t>
            </w:r>
            <w:r>
              <w:rPr>
                <w:rFonts w:ascii="맑은 고딕" w:cs="맑은 고딕" w:eastAsia="맑은 고딕" w:hAnsi="맑은 고딕"/>
                <w:b/>
                <w:bCs/>
                <w:sz w:val="21"/>
                <w:szCs w:val="21"/>
              </w:rPr>
              <w:t xml:space="preserve">표지·신청서·진술서·타임라인·증빙목록·원본 이미지가 하나로 묶인 PDF</w:t>
            </w:r>
            <w:r>
              <w:rPr>
                <w:rFonts w:ascii="맑은 고딕" w:cs="맑은 고딕" w:eastAsia="맑은 고딕" w:hAnsi="맑은 고딕"/>
                <w:sz w:val="21"/>
                <w:szCs w:val="21"/>
              </w:rPr>
              <w:t xml:space="preserve">를 내려받음</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접수·대응 안내 화면에서 접수 경로(공식 제출처는 해당 계좌를 관리하는 금융회사이며, 영업점 창구·금융감독원 민원은 보조 경로로 구분 표시)와 통장협박 대응 수칙, 해제 이후에도 남는 등록 제한을 확인하며 종료</w:t>
            </w:r>
          </w:p>
        </w:tc>
      </w:tr>
    </w:tbl>
    <w:p>
      <w:pPr>
        <w:spacing w:after="1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single" w:color="000000" w:sz="8"/>
              <w:left w:val="single" w:color="000000" w:sz="8"/>
              <w:bottom w:val="single" w:color="000000" w:sz="8"/>
              <w:right w:val="single" w:color="000000" w:sz="8"/>
            </w:tcBorders>
            <w:shd w:fill="E5E5E5" w:color="auto" w:val="clear"/>
            <w:tcMar>
              <w:top w:type="dxa" w:w="110"/>
              <w:left w:type="dxa" w:w="160"/>
              <w:bottom w:type="dxa" w:w="110"/>
              <w:right w:type="dxa" w:w="160"/>
            </w:tcMar>
          </w:tcPr>
          <w:p>
            <w:r>
              <w:rPr>
                <w:rFonts w:ascii="맑은 고딕" w:cs="맑은 고딕" w:eastAsia="맑은 고딕" w:hAnsi="맑은 고딕"/>
                <w:b/>
                <w:bCs/>
                <w:sz w:val="25"/>
                <w:szCs w:val="25"/>
              </w:rPr>
              <w:t xml:space="preserve">4. AI 및 데이터 처리 방식</w:t>
            </w:r>
            <w:r>
              <w:rPr>
                <w:rFonts w:ascii="맑은 고딕" w:cs="맑은 고딕" w:eastAsia="맑은 고딕" w:hAnsi="맑은 고딕"/>
                <w:b/>
                <w:bCs/>
                <w:sz w:val="16"/>
                <w:szCs w:val="16"/>
                <w:vertAlign w:val="superscript"/>
              </w:rPr>
              <w:t xml:space="preserve">*</w:t>
            </w:r>
          </w:p>
        </w:tc>
      </w:tr>
      <w:tr>
        <w:trPr>
          <w:cantSplit w:val="false"/>
        </w:trPr>
        <w:tc>
          <w:tcPr>
            <w:tcW w:type="dxa" w:w="9706"/>
            <w:tcBorders>
              <w:top w:val="single" w:color="000000" w:sz="8"/>
              <w:left w:val="single" w:color="000000" w:sz="8"/>
              <w:bottom w:val="single" w:color="000000" w:sz="8"/>
              <w:right w:val="single" w:color="000000" w:sz="8"/>
            </w:tcBorders>
            <w:tcMar>
              <w:top w:type="dxa" w:w="160"/>
              <w:left w:type="dxa" w:w="160"/>
              <w:bottom w:type="dxa" w:w="160"/>
              <w:right w:type="dxa" w:w="160"/>
            </w:tcMar>
          </w:tcPr>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AI 역할</w:t>
            </w:r>
          </w:p>
          <w:p>
            <w:pPr>
              <w:spacing w:after="120" w:line="340" w:lineRule="atLeast"/>
              <w:ind w:left="520" w:hanging="300"/>
            </w:pPr>
            <w:r>
              <w:rPr>
                <w:rFonts w:ascii="맑은 고딕" w:cs="맑은 고딕" w:eastAsia="맑은 고딕" w:hAnsi="맑은 고딕"/>
                <w:sz w:val="21"/>
                <w:szCs w:val="21"/>
              </w:rPr>
              <w:t xml:space="preserve">① </w:t>
            </w:r>
            <w:r>
              <w:rPr>
                <w:rFonts w:ascii="맑은 고딕" w:cs="맑은 고딕" w:eastAsia="맑은 고딕" w:hAnsi="맑은 고딕"/>
                <w:sz w:val="21"/>
                <w:szCs w:val="21"/>
              </w:rPr>
              <w:t xml:space="preserve">이미지 판독 ㅡ 업로드된 이미지에서 실제로 보이는 내용만 추출하고, 시각이 불명확하면 신뢰도를 낮음으로 표기해 정해진 형식으로 정리함. </w:t>
            </w:r>
            <w:r>
              <w:rPr>
                <w:rFonts w:ascii="맑은 고딕" w:cs="맑은 고딕" w:eastAsia="맑은 고딕" w:hAnsi="맑은 고딕"/>
                <w:b/>
                <w:bCs/>
                <w:sz w:val="21"/>
                <w:szCs w:val="21"/>
              </w:rPr>
              <w:t xml:space="preserve">추정하지 않는 것이 원칙이며 예외는 연도 하나</w:t>
            </w:r>
            <w:r>
              <w:rPr>
                <w:rFonts w:ascii="맑은 고딕" w:cs="맑은 고딕" w:eastAsia="맑은 고딕" w:hAnsi="맑은 고딕"/>
                <w:sz w:val="21"/>
                <w:szCs w:val="21"/>
              </w:rPr>
              <w:t xml:space="preserve"> ㅡ 연도가 없는 은행 캡처가 흔해 기준 시점이 함께 전달될 때만 연도를 추론하고, 추론한 값은 신뢰도를 항상 낮음으로 강제해 사용자 확인 전에는 다음 단계로 넘어가지 못함</w:t>
            </w:r>
          </w:p>
          <w:p>
            <w:pPr>
              <w:spacing w:after="120" w:line="340" w:lineRule="atLeast"/>
              <w:ind w:left="520" w:hanging="300"/>
            </w:pPr>
            <w:r>
              <w:rPr>
                <w:rFonts w:ascii="맑은 고딕" w:cs="맑은 고딕" w:eastAsia="맑은 고딕" w:hAnsi="맑은 고딕"/>
                <w:sz w:val="21"/>
                <w:szCs w:val="21"/>
              </w:rPr>
              <w:t xml:space="preserve">② </w:t>
            </w:r>
            <w:r>
              <w:rPr>
                <w:rFonts w:ascii="맑은 고딕" w:cs="맑은 고딕" w:eastAsia="맑은 고딕" w:hAnsi="맑은 고딕"/>
                <w:sz w:val="21"/>
                <w:szCs w:val="21"/>
              </w:rPr>
              <w:t xml:space="preserve">소명서 생성 ㅡ 정리된 타임라인과 준비도 점검 결과를 입력받아 사실 진술서 초안을 생성. 타임라인에 없는 사실, 법률적 주장, 감정 호소는 AI 생성 규칙으로 금지하고, 생성 후 날짜·금액·식별자를 타임라인과 대조해 근거 없는 문장은 제거 후 재생성함</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제출 준비도 점검은 AI가 아닌 </w:t>
            </w:r>
            <w:r>
              <w:rPr>
                <w:rFonts w:ascii="맑은 고딕" w:cs="맑은 고딕" w:eastAsia="맑은 고딕" w:hAnsi="맑은 고딕"/>
                <w:b/>
                <w:bCs/>
                <w:sz w:val="21"/>
                <w:szCs w:val="21"/>
              </w:rPr>
              <w:t xml:space="preserve">결정적 규칙</w:t>
            </w:r>
            <w:r>
              <w:rPr>
                <w:rFonts w:ascii="맑은 고딕" w:cs="맑은 고딕" w:eastAsia="맑은 고딕" w:hAnsi="맑은 고딕"/>
                <w:sz w:val="21"/>
                <w:szCs w:val="21"/>
              </w:rPr>
              <w:t xml:space="preserve">으로 수행 ㅡ 확인되지 않은 값·필수 증빙 누락·자료 간 충돌을 보는 고정 규칙이라 같은 입력이면 언제나 같은 결과가 나오며, 임의 점수 계산을 사용하지 않고 해제 여부·승인 가능성도 예측하지 않음</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입력 데이터 ㅡ 사용자가 업로드한 이미지(JPG/PNG), 문진 6문항(물품 거래 시 1문항 추가), 이미지가 없거나 판독이 어려울 때의 텍스트 직접 입력</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출력 데이터 ㅡ 시각·행위 주체·금액·자료 유형·반복 주기·필드별 신뢰도로 정리된 이벤트 카드, 시간순 타임라인, 준비도 결과와 그 근거, 소명서 문장과 문장별 근거 연결, 첨부 서류 체크리스트</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개인정보·민감정보 처리 ㅡ 전화번호·계좌번호 전체·주민등록번호·주소는 </w:t>
            </w:r>
            <w:r>
              <w:rPr>
                <w:rFonts w:ascii="맑은 고딕" w:cs="맑은 고딕" w:eastAsia="맑은 고딕" w:hAnsi="맑은 고딕"/>
                <w:b/>
                <w:bCs/>
                <w:sz w:val="21"/>
                <w:szCs w:val="21"/>
              </w:rPr>
              <w:t xml:space="preserve">브라우저에서 전송 전에</w:t>
            </w:r>
            <w:r>
              <w:rPr>
                <w:rFonts w:ascii="맑은 고딕" w:cs="맑은 고딕" w:eastAsia="맑은 고딕" w:hAnsi="맑은 고딕"/>
                <w:sz w:val="21"/>
                <w:szCs w:val="21"/>
              </w:rPr>
              <w:t xml:space="preserve"> 가리고 추출 단계에서 한 번 더 마스킹. 다만 거래 상대방·입금자의 이름은 구매자–송금인 일치 확인에 쓰이므로 가리지 않음. 이미지 원본은 서버에 저장하지 않고 판독 직후 메모리에서 해제(무저장 원칙), 회원가입 없이 익명 세션(30분 무활동 시 자동 만료)으로만 운영하며 DB에는 개인 식별이 불가능한 익명 통계만 저장</w:t>
            </w:r>
          </w:p>
        </w:tc>
      </w:tr>
    </w:tbl>
    <w:p>
      <w:pPr>
        <w:spacing w:after="1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single" w:color="000000" w:sz="8"/>
              <w:left w:val="single" w:color="000000" w:sz="8"/>
              <w:bottom w:val="single" w:color="000000" w:sz="8"/>
              <w:right w:val="single" w:color="000000" w:sz="8"/>
            </w:tcBorders>
            <w:shd w:fill="E5E5E5" w:color="auto" w:val="clear"/>
            <w:tcMar>
              <w:top w:type="dxa" w:w="110"/>
              <w:left w:type="dxa" w:w="160"/>
              <w:bottom w:type="dxa" w:w="110"/>
              <w:right w:type="dxa" w:w="160"/>
            </w:tcMar>
          </w:tcPr>
          <w:p>
            <w:r>
              <w:rPr>
                <w:rFonts w:ascii="맑은 고딕" w:cs="맑은 고딕" w:eastAsia="맑은 고딕" w:hAnsi="맑은 고딕"/>
                <w:b/>
                <w:bCs/>
                <w:sz w:val="25"/>
                <w:szCs w:val="25"/>
              </w:rPr>
              <w:t xml:space="preserve">5. MVP 검증 방법</w:t>
            </w:r>
            <w:r>
              <w:rPr>
                <w:rFonts w:ascii="맑은 고딕" w:cs="맑은 고딕" w:eastAsia="맑은 고딕" w:hAnsi="맑은 고딕"/>
                <w:b/>
                <w:bCs/>
                <w:sz w:val="16"/>
                <w:szCs w:val="16"/>
                <w:vertAlign w:val="superscript"/>
              </w:rPr>
              <w:t xml:space="preserve">*</w:t>
            </w:r>
          </w:p>
        </w:tc>
      </w:tr>
      <w:tr>
        <w:trPr>
          <w:cantSplit w:val="false"/>
        </w:trPr>
        <w:tc>
          <w:tcPr>
            <w:tcW w:type="dxa" w:w="9706"/>
            <w:tcBorders>
              <w:top w:val="single" w:color="000000" w:sz="8"/>
              <w:left w:val="single" w:color="000000" w:sz="8"/>
              <w:bottom w:val="single" w:color="000000" w:sz="8"/>
              <w:right w:val="single" w:color="000000" w:sz="8"/>
            </w:tcBorders>
            <w:tcMar>
              <w:top w:type="dxa" w:w="160"/>
              <w:left w:type="dxa" w:w="160"/>
              <w:bottom w:type="dxa" w:w="160"/>
              <w:right w:type="dxa" w:w="160"/>
            </w:tcMar>
          </w:tcPr>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검증 절차 ㅡ 배포 URL 접속 → 문진 6문항 응답 → 샘플 이미지 업로드 → 추출된 사건 카드 확인 → 준비도 화면 확인 → 준비도 화면의 ‘과거 지급정지 이력 있음’ 스위치를 켜 결과가 실시간으로 바뀌는지 확인 → 소명서·체크리스트 생성 확인 → 제출 패키지 PDF 다운로드</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계정 ㅡ 별도 로그인 없음. 접속 시 익명 세션이 자동 발급됨</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샘플 입력값 및 예상 결과 ㅡ 거래성격 “중고 물건 판매”로 올린 자료를 모두 확인해 </w:t>
            </w:r>
            <w:r>
              <w:rPr>
                <w:rFonts w:ascii="맑은 고딕" w:cs="맑은 고딕" w:eastAsia="맑은 고딕" w:hAnsi="맑은 고딕"/>
                <w:b/>
                <w:bCs/>
                <w:sz w:val="21"/>
                <w:szCs w:val="21"/>
              </w:rPr>
              <w:t xml:space="preserve">“제출 준비 완료”</w:t>
            </w:r>
            <w:r>
              <w:rPr>
                <w:rFonts w:ascii="맑은 고딕" w:cs="맑은 고딕" w:eastAsia="맑은 고딕" w:hAnsi="맑은 고딕"/>
                <w:sz w:val="21"/>
                <w:szCs w:val="21"/>
              </w:rPr>
              <w:t xml:space="preserve">가 나온 상태에서 ‘과거 지급정지 이력 있음’ 스위치를 켜면 → </w:t>
            </w:r>
            <w:r>
              <w:rPr>
                <w:rFonts w:ascii="맑은 고딕" w:cs="맑은 고딕" w:eastAsia="맑은 고딕" w:hAnsi="맑은 고딕"/>
                <w:b/>
                <w:bCs/>
                <w:sz w:val="21"/>
                <w:szCs w:val="21"/>
              </w:rPr>
              <w:t xml:space="preserve">“은행 확인 필요”</w:t>
            </w:r>
            <w:r>
              <w:rPr>
                <w:rFonts w:ascii="맑은 고딕" w:cs="맑은 고딕" w:eastAsia="맑은 고딕" w:hAnsi="맑은 고딕"/>
                <w:sz w:val="21"/>
                <w:szCs w:val="21"/>
              </w:rPr>
              <w:t xml:space="preserve">로 즉시 전환. 과거 지급정지 이력은 은행이 확인할 사항이라 서비스가 기각을 예측하지 않음</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실행 환경 ㅡ Chrome / Safari / Edge 브라우저 가능. 반응형으로 제작되었고 이미지 없이 문진만으로도 전 단계 진행 가능</w:t>
            </w:r>
          </w:p>
          <w:p>
            <w:pPr>
              <w:spacing w:after="140" w:line="340" w:lineRule="atLeast"/>
              <w:ind w:left="260" w:hanging="260"/>
            </w:pPr>
            <w:r>
              <w:rPr>
                <w:rFonts w:ascii="맑은 고딕" w:cs="맑은 고딕" w:eastAsia="맑은 고딕" w:hAnsi="맑은 고딕"/>
                <w:sz w:val="21"/>
                <w:szCs w:val="21"/>
              </w:rPr>
              <w:t xml:space="preserve">- </w:t>
            </w:r>
            <w:r>
              <w:rPr>
                <w:rFonts w:ascii="맑은 고딕" w:cs="맑은 고딕" w:eastAsia="맑은 고딕" w:hAnsi="맑은 고딕"/>
                <w:sz w:val="21"/>
                <w:szCs w:val="21"/>
              </w:rPr>
              <w:t xml:space="preserve">MVP 단계 제한사항 ㅡ 은행 시스템과 실 연동되지 않는 진단·준비 지원 도구이며, 은행별 구체적인 접수 절차는 일반 경로만 안내. 신청서 서명란은 공란으로 나가므로 사용자가 출력해 자필 서명하고 신분증 사본은 직접 첨부해야 함. AI가 이미지를 읽지 못할 경우 텍스트 입력 경로로 자동 전환되며, AI 서비스에 장애가 발생해도 전체 흐름을 계속 확인할 수 있도록 사전 저장된 시연 데이터가 내장되어 있음</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2026-08-22T14:25:45.215Z</dcterms:created>
  <dcterms:modified xsi:type="dcterms:W3CDTF">2026-08-22T14:25:45.216Z</dcterms:modified>
</cp:coreProperties>
</file>

<file path=docProps/custom.xml><?xml version="1.0" encoding="utf-8"?>
<Properties xmlns="http://schemas.openxmlformats.org/officeDocument/2006/custom-properties" xmlns:vt="http://schemas.openxmlformats.org/officeDocument/2006/docPropsVTypes"/>
</file>