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Cambria" w:cs="Cambria" w:eastAsia="Cambria" w:hAnsi="Cambria"/>
          <w:b/>
          <w:bCs/>
          <w:color w:val="1E4620"/>
          <w:spacing w:val="20"/>
          <w:sz w:val="72"/>
          <w:szCs w:val="72"/>
        </w:rPr>
        <w:t xml:space="preserve">SCHOOLPULSE</w:t>
      </w:r>
    </w:p>
    <w:p>
      <w:pPr>
        <w:pBdr>
          <w:bottom w:val="single" w:color="A2E8B7" w:sz="16" w:space="14"/>
        </w:pBdr>
        <w:spacing w:after="400"/>
        <w:jc w:val="center"/>
      </w:pPr>
      <w:r>
        <w:t xml:space="preserve"/>
      </w:r>
    </w:p>
    <w:p>
      <w:pPr>
        <w:spacing w:after="700"/>
        <w:jc w:val="center"/>
      </w:pPr>
      <w:r>
        <w:rPr>
          <w:rFonts w:ascii="Cambria" w:cs="Cambria" w:eastAsia="Cambria" w:hAnsi="Cambria"/>
          <w:i/>
          <w:iCs/>
          <w:color w:val="1E1E1E"/>
          <w:sz w:val="28"/>
          <w:szCs w:val="28"/>
        </w:rPr>
        <w:t xml:space="preserve">A Modern School Management Platform Built for Kenyan Schools</w:t>
      </w:r>
    </w:p>
    <w:p>
      <w:pPr>
        <w:spacing w:after="80" w:before="2400"/>
        <w:jc w:val="center"/>
      </w:pPr>
      <w:r>
        <w:rPr>
          <w:rFonts w:ascii="Calibri" w:cs="Calibri" w:eastAsia="Calibri" w:hAnsi="Calibri"/>
          <w:color w:val="595959"/>
          <w:sz w:val="24"/>
          <w:szCs w:val="24"/>
        </w:rPr>
        <w:t xml:space="preserve">Comprehensive Product &amp; Engineering Document</w:t>
      </w:r>
    </w:p>
    <w:p>
      <w:pPr>
        <w:spacing w:after="900"/>
        <w:jc w:val="center"/>
      </w:pPr>
      <w:r>
        <w:rPr>
          <w:rFonts w:ascii="Calibri" w:cs="Calibri" w:eastAsia="Calibri" w:hAnsi="Calibri"/>
          <w:color w:val="595959"/>
          <w:sz w:val="22"/>
          <w:szCs w:val="22"/>
        </w:rPr>
        <w:t xml:space="preserve">Version 1.3  |  March 2026</w:t>
      </w:r>
    </w:p>
    <w:p>
      <w:pPr>
        <w:spacing w:after="60"/>
        <w:jc w:val="center"/>
      </w:pPr>
      <w:r>
        <w:rPr>
          <w:rFonts w:ascii="Calibri" w:cs="Calibri" w:eastAsia="Calibri" w:hAnsi="Calibri"/>
          <w:color w:val="595959"/>
          <w:sz w:val="20"/>
          <w:szCs w:val="20"/>
        </w:rPr>
        <w:t xml:space="preserve">Prepared by</w:t>
      </w:r>
    </w:p>
    <w:p>
      <w:pPr>
        <w:spacing w:after="40"/>
        <w:jc w:val="center"/>
      </w:pPr>
      <w:r>
        <w:rPr>
          <w:rFonts w:ascii="Cambria" w:cs="Cambria" w:eastAsia="Cambria" w:hAnsi="Cambria"/>
          <w:b/>
          <w:bCs/>
          <w:color w:val="1E4620"/>
          <w:sz w:val="26"/>
          <w:szCs w:val="26"/>
        </w:rPr>
        <w:t xml:space="preserve">Dennis Wambugu</w:t>
      </w:r>
    </w:p>
    <w:p>
      <w:pPr>
        <w:spacing w:after="700"/>
        <w:jc w:val="center"/>
      </w:pPr>
      <w:r>
        <w:rPr>
          <w:rFonts w:ascii="Calibri" w:cs="Calibri" w:eastAsia="Calibri" w:hAnsi="Calibri"/>
          <w:i/>
          <w:iCs/>
          <w:color w:val="1E1E1E"/>
          <w:sz w:val="20"/>
          <w:szCs w:val="20"/>
        </w:rPr>
        <w:t xml:space="preserve">Founder &amp; Lead Engineer</w:t>
      </w:r>
    </w:p>
    <w:p>
      <w:pPr>
        <w:spacing w:before="1800"/>
        <w:jc w:val="center"/>
      </w:pPr>
      <w:r>
        <w:rPr>
          <w:rFonts w:ascii="Calibri" w:cs="Calibri" w:eastAsia="Calibri" w:hAnsi="Calibri"/>
          <w:color w:val="595959"/>
          <w:sz w:val="18"/>
          <w:szCs w:val="18"/>
        </w:rPr>
        <w:t xml:space="preserve">Target Audience: School Owners · Principals · Directors · Bursars · Academic Leaders · Boards of Management · Investors</w:t>
      </w:r>
    </w:p>
    <w:p>
      <w:pPr>
        <w:spacing w:before="200"/>
        <w:jc w:val="center"/>
      </w:pPr>
      <w:r>
        <w:rPr>
          <w:rFonts w:ascii="Calibri" w:cs="Calibri" w:eastAsia="Calibri" w:hAnsi="Calibri"/>
          <w:b/>
          <w:bCs/>
          <w:color w:val="1E1E1E"/>
          <w:sz w:val="18"/>
          <w:szCs w:val="18"/>
        </w:rPr>
        <w:t xml:space="preserve">Classification: Confidential — For Internal &amp; Investor Use</w:t>
      </w:r>
    </w:p>
    <w:p>
      <w:pPr>
        <w:sectPr>
          <w:headerReference w:type="default" r:id="rId7"/>
          <w:footerReference w:type="default" r:id="rId8"/>
          <w:pgSz w:w="12240" w:h="15840" w:orient="portrait"/>
          <w:pgMar w:top="1080" w:right="1080" w:bottom="1080" w:left="1080" w:header="708" w:footer="708" w:gutter="0"/>
          <w:pgNumType/>
          <w:titlePg/>
          <w:docGrid w:linePitch="360"/>
        </w:sectPr>
      </w:pPr>
    </w:p>
    <w:p>
      <w:pPr>
        <w:pStyle w:val="Heading1"/>
        <w:pBdr>
          <w:bottom w:val="single" w:color="1E4620" w:sz="12" w:space="6"/>
        </w:pBdr>
        <w:spacing w:after="200" w:before="420"/>
      </w:pPr>
      <w:r>
        <w:rPr>
          <w:rFonts w:ascii="Cambria" w:cs="Cambria" w:eastAsia="Cambria" w:hAnsi="Cambria"/>
          <w:b/>
          <w:bCs/>
          <w:color w:val="1E4620"/>
          <w:sz w:val="32"/>
          <w:szCs w:val="32"/>
        </w:rPr>
        <w:t xml:space="preserve">A Message From the Creator</w:t>
      </w:r>
    </w:p>
    <w:p>
      <w:pPr>
        <w:pBdr>
          <w:left w:val="single" w:color="A2E8B7" w:sz="24" w:space="12"/>
        </w:pBdr>
        <w:spacing w:after="200" w:before="200"/>
        <w:ind w:left="360" w:right="360"/>
      </w:pPr>
      <w:r>
        <w:rPr>
          <w:rFonts w:ascii="Cambria" w:cs="Cambria" w:eastAsia="Cambria" w:hAnsi="Cambria"/>
          <w:i/>
          <w:iCs/>
          <w:color w:val="1E4620"/>
          <w:sz w:val="23"/>
          <w:szCs w:val="23"/>
        </w:rPr>
        <w:t xml:space="preserve">I created SchoolPulse because I believe schools deserve better systems for the work they already carry every day.</w:t>
      </w:r>
    </w:p>
    <w:p>
      <w:pPr>
        <w:spacing w:after="160" w:line="276"/>
      </w:pPr>
      <w:r>
        <w:rPr>
          <w:rFonts w:ascii="Calibri" w:cs="Calibri" w:eastAsia="Calibri" w:hAnsi="Calibri"/>
          <w:color w:val="1E1E1E"/>
          <w:sz w:val="21"/>
          <w:szCs w:val="21"/>
        </w:rPr>
        <w:t xml:space="preserve">Every school is more than buildings, books, and timetables. A school is a living institution where decisions made in the office affect real children in classrooms. When fee information is late, a learner can lose a school day. When attendance is hidden in a paper book, a parent may not know their child was absent. When academic progress is only seen at the end of term, intervention comes too late. When communication is scattered across phone calls, WhatsApp groups, and handwritten notes, trust becomes harder to maintain.</w:t>
      </w:r>
    </w:p>
    <w:p>
      <w:pPr>
        <w:spacing w:after="160" w:line="276"/>
      </w:pPr>
      <w:r>
        <w:rPr>
          <w:rFonts w:ascii="Calibri" w:cs="Calibri" w:eastAsia="Calibri" w:hAnsi="Calibri"/>
          <w:color w:val="1E1E1E"/>
          <w:sz w:val="21"/>
          <w:szCs w:val="21"/>
        </w:rPr>
        <w:t xml:space="preserve">SchoolPulse is built to bring those daily operations into one reliable system. It helps schools see clearly, communicate earlier, collect fees more confidently, and serve parents with professionalism.</w:t>
      </w:r>
    </w:p>
    <w:p>
      <w:pPr>
        <w:spacing w:after="160" w:line="276"/>
      </w:pPr>
      <w:r>
        <w:rPr>
          <w:rFonts w:ascii="Calibri" w:cs="Calibri" w:eastAsia="Calibri" w:hAnsi="Calibri"/>
          <w:color w:val="1E1E1E"/>
          <w:sz w:val="21"/>
          <w:szCs w:val="21"/>
        </w:rPr>
        <w:t xml:space="preserve">The goal is simple: help schools run with the clarity, discipline, and confidence of a modern institution.</w:t>
      </w:r>
    </w:p>
    <w:p>
      <w:pPr>
        <w:spacing w:after="40" w:before="400"/>
      </w:pPr>
      <w:r>
        <w:rPr>
          <w:rFonts w:ascii="Cambria" w:cs="Cambria" w:eastAsia="Cambria" w:hAnsi="Cambria"/>
          <w:b/>
          <w:bCs/>
          <w:color w:val="1E4620"/>
          <w:sz w:val="24"/>
          <w:szCs w:val="24"/>
        </w:rPr>
        <w:t xml:space="preserve">Dennis Wambugu</w:t>
      </w:r>
    </w:p>
    <w:p>
      <w:r>
        <w:rPr>
          <w:rFonts w:ascii="Calibri" w:cs="Calibri" w:eastAsia="Calibri" w:hAnsi="Calibri"/>
          <w:i/>
          <w:iCs/>
          <w:color w:val="595959"/>
          <w:sz w:val="20"/>
          <w:szCs w:val="20"/>
        </w:rPr>
        <w:t xml:space="preserve">Founder &amp; Lead Engineer, SchoolPulse</w:t>
      </w:r>
    </w:p>
    <w:p>
      <w:r>
        <w:br w:type="page"/>
      </w:r>
    </w:p>
    <w:p>
      <w:pPr>
        <w:pStyle w:val="Heading1"/>
        <w:spacing w:after="300" w:before="200"/>
      </w:pPr>
      <w:r>
        <w:rPr>
          <w:rFonts w:ascii="Cambria" w:cs="Cambria" w:eastAsia="Cambria" w:hAnsi="Cambria"/>
          <w:b/>
          <w:bCs/>
          <w:color w:val="1E462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9"/>
          <w:footerReference w:type="default" r:id="rId10"/>
          <w:pgSz w:w="12240" w:h="15840" w:orient="portrait"/>
          <w:pgMar w:top="1080" w:right="1080" w:bottom="1080" w:left="1080" w:header="708" w:footer="708" w:gutter="0"/>
          <w:pgNumType/>
          <w:docGrid w:linePitch="360"/>
        </w:sectPr>
      </w:pPr>
    </w:p>
    <w:p>
      <w:pPr>
        <w:pStyle w:val="Heading1"/>
        <w:pBdr>
          <w:bottom w:val="single" w:color="1E4620" w:sz="12" w:space="6"/>
        </w:pBdr>
        <w:spacing w:after="200" w:before="420"/>
      </w:pPr>
      <w:r>
        <w:rPr>
          <w:rFonts w:ascii="Cambria" w:cs="Cambria" w:eastAsia="Cambria" w:hAnsi="Cambria"/>
          <w:b/>
          <w:bCs/>
          <w:color w:val="1E4620"/>
          <w:sz w:val="32"/>
          <w:szCs w:val="32"/>
        </w:rPr>
        <w:t xml:space="preserve">1. Executive Summary</w:t>
      </w:r>
    </w:p>
    <w:p>
      <w:pPr>
        <w:spacing w:after="160" w:line="276"/>
      </w:pPr>
      <w:r>
        <w:rPr>
          <w:rFonts w:ascii="Calibri" w:cs="Calibri" w:eastAsia="Calibri" w:hAnsi="Calibri"/>
          <w:color w:val="1E1E1E"/>
          <w:sz w:val="21"/>
          <w:szCs w:val="21"/>
        </w:rPr>
        <w:t xml:space="preserve">SchoolPulse is a cloud-based School Management System (SMS) designed specifically for Kenyan primary and secondary schools. It digitizes fee management, attendance tracking, academic records, parent communication, and discipline management, all accessible from a single dashboard on any web browser or mobile device.</w:t>
      </w:r>
    </w:p>
    <w:p>
      <w:pPr>
        <w:spacing w:after="160" w:line="276"/>
      </w:pPr>
      <w:r>
        <w:rPr>
          <w:rFonts w:ascii="Calibri" w:cs="Calibri" w:eastAsia="Calibri" w:hAnsi="Calibri"/>
          <w:color w:val="1E1E1E"/>
          <w:sz w:val="21"/>
          <w:szCs w:val="21"/>
        </w:rPr>
        <w:t xml:space="preserve">Kenya's schools face significant financial leaks, student retention challenges, and performance dips due to outdated internal management systems. Government audits have confirmed KES 3.7 billion lost to ghost students, thousands of schools operating with unverified attendance records, and parents locked out of their children's progress until it is too late to intervene.</w:t>
      </w:r>
    </w:p>
    <w:p>
      <w:pPr>
        <w:pBdr>
          <w:left w:val="single" w:color="A2E8B7" w:sz="24" w:space="12"/>
        </w:pBdr>
        <w:spacing w:after="200" w:before="200"/>
        <w:ind w:left="360" w:right="360"/>
      </w:pPr>
      <w:r>
        <w:rPr>
          <w:rFonts w:ascii="Cambria" w:cs="Cambria" w:eastAsia="Cambria" w:hAnsi="Cambria"/>
          <w:i/>
          <w:iCs/>
          <w:color w:val="1E4620"/>
          <w:sz w:val="23"/>
          <w:szCs w:val="23"/>
        </w:rPr>
        <w:t xml:space="preserve">Mission: To give every Kenyan school, from a 200-student rural primary to a 2,000-student national secondary, the management infrastructure of a world-class institution, at an affordable subscription that pays for itself within one term.</w:t>
      </w:r>
    </w:p>
    <w:p>
      <w:pPr>
        <w:pStyle w:val="Heading3"/>
        <w:spacing w:after="120" w:before="240"/>
      </w:pPr>
      <w:r>
        <w:rPr>
          <w:rFonts w:ascii="Cambria" w:cs="Cambria" w:eastAsia="Cambria" w:hAnsi="Cambria"/>
          <w:b/>
          <w:bCs/>
          <w:color w:val="1E1E1E"/>
          <w:sz w:val="23"/>
          <w:szCs w:val="23"/>
        </w:rPr>
        <w:t xml:space="preserve">Key Numbers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860"/>
      </w:tblGrid>
      <w:tr>
        <w:trPr>
          <w:tblHeader/>
        </w:trPr>
        <w:tc>
          <w:tcPr>
            <w:tcW w:type="dxa" w:w="26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Metric</w:t>
            </w:r>
          </w:p>
        </w:tc>
        <w:tc>
          <w:tcPr>
            <w:tcW w:type="dxa" w:w="33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Current State</w:t>
            </w:r>
          </w:p>
        </w:tc>
        <w:tc>
          <w:tcPr>
            <w:tcW w:type="dxa" w:w="38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SchoolPulse Impact</w:t>
            </w:r>
          </w:p>
        </w:tc>
      </w:tr>
      <w:tr>
        <w:tc>
          <w:tcPr>
            <w:tcW w:type="dxa" w:w="26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Ghost Students (Public Sector)</w:t>
            </w:r>
          </w:p>
        </w:tc>
        <w:tc>
          <w:tcPr>
            <w:tcW w:type="dxa" w:w="33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87,000 uncovered in 2024 audit</w:t>
            </w:r>
          </w:p>
        </w:tc>
        <w:tc>
          <w:tcPr>
            <w:tcW w:type="dxa" w:w="38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Real-time verified attendance eliminates fraud</w:t>
            </w:r>
          </w:p>
        </w:tc>
      </w:tr>
      <w:tr>
        <w:tc>
          <w:tcPr>
            <w:tcW w:type="dxa" w:w="26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KCSE Pass Rate (C+ and Above)</w:t>
            </w:r>
          </w:p>
        </w:tc>
        <w:tc>
          <w:tcPr>
            <w:tcW w:type="dxa" w:w="33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21.07% over 2020–2024</w:t>
            </w:r>
          </w:p>
        </w:tc>
        <w:tc>
          <w:tcPr>
            <w:tcW w:type="dxa" w:w="38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Early academic tracking flags at-risk students</w:t>
            </w:r>
          </w:p>
        </w:tc>
      </w:tr>
      <w:tr>
        <w:tc>
          <w:tcPr>
            <w:tcW w:type="dxa" w:w="26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Fee Collection Visibility</w:t>
            </w:r>
          </w:p>
        </w:tc>
        <w:tc>
          <w:tcPr>
            <w:tcW w:type="dxa" w:w="33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Manual ledger books, unoptimized software</w:t>
            </w:r>
          </w:p>
        </w:tc>
        <w:tc>
          <w:tcPr>
            <w:tcW w:type="dxa" w:w="38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Live dashboard with native M-Pesa integration</w:t>
            </w:r>
          </w:p>
        </w:tc>
      </w:tr>
      <w:tr>
        <w:tc>
          <w:tcPr>
            <w:tcW w:type="dxa" w:w="26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Parent Communication</w:t>
            </w:r>
          </w:p>
        </w:tc>
        <w:tc>
          <w:tcPr>
            <w:tcW w:type="dxa" w:w="33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Scattered WhatsApp groups, manual phone calls</w:t>
            </w:r>
          </w:p>
        </w:tc>
        <w:tc>
          <w:tcPr>
            <w:tcW w:type="dxa" w:w="38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Automated SMS and WhatsApp per-event notifications</w:t>
            </w:r>
          </w:p>
        </w:tc>
      </w:tr>
      <w:tr>
        <w:tc>
          <w:tcPr>
            <w:tcW w:type="dxa" w:w="26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Primary Market Size</w:t>
            </w:r>
          </w:p>
        </w:tc>
        <w:tc>
          <w:tcPr>
            <w:tcW w:type="dxa" w:w="33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8,500+ private schools in Kenya</w:t>
            </w:r>
          </w:p>
        </w:tc>
        <w:tc>
          <w:tcPr>
            <w:tcW w:type="dxa" w:w="38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Scalable SaaS model: KES 3,000 to KES 12,000/month</w:t>
            </w:r>
          </w:p>
        </w:tc>
      </w:tr>
    </w:tbl>
    <w:p>
      <w:r>
        <w:br w:type="page"/>
      </w:r>
    </w:p>
    <w:p>
      <w:pPr>
        <w:pStyle w:val="Heading1"/>
        <w:pBdr>
          <w:bottom w:val="single" w:color="1E4620" w:sz="12" w:space="6"/>
        </w:pBdr>
        <w:spacing w:after="200" w:before="420"/>
      </w:pPr>
      <w:r>
        <w:rPr>
          <w:rFonts w:ascii="Cambria" w:cs="Cambria" w:eastAsia="Cambria" w:hAnsi="Cambria"/>
          <w:b/>
          <w:bCs/>
          <w:color w:val="1E4620"/>
          <w:sz w:val="32"/>
          <w:szCs w:val="32"/>
        </w:rPr>
        <w:t xml:space="preserve">2. Market Problem Analysis</w:t>
      </w:r>
    </w:p>
    <w:p>
      <w:pPr>
        <w:spacing w:after="160" w:line="276"/>
      </w:pPr>
      <w:r>
        <w:rPr>
          <w:rFonts w:ascii="Calibri" w:cs="Calibri" w:eastAsia="Calibri" w:hAnsi="Calibri"/>
          <w:color w:val="1E1E1E"/>
          <w:sz w:val="21"/>
          <w:szCs w:val="21"/>
        </w:rPr>
        <w:t xml:space="preserve">The majority of schools in Kenya lack formal, secure systems to manage daily operations. The consequences range from structural financial losses to complete institutional collapse.</w:t>
      </w:r>
    </w:p>
    <w:p>
      <w:pPr>
        <w:pStyle w:val="Heading2"/>
        <w:spacing w:after="160" w:before="320"/>
      </w:pPr>
      <w:r>
        <w:rPr>
          <w:rFonts w:ascii="Cambria" w:cs="Cambria" w:eastAsia="Cambria" w:hAnsi="Cambria"/>
          <w:b/>
          <w:bCs/>
          <w:color w:val="1E4620"/>
          <w:sz w:val="26"/>
          <w:szCs w:val="26"/>
        </w:rPr>
        <w:t xml:space="preserve">2.1  Ghost Students &amp; Fraudulent Enrollment: KES 3.7 Billion Lost</w:t>
      </w:r>
    </w:p>
    <w:p>
      <w:pPr>
        <w:spacing w:after="160" w:line="276"/>
      </w:pPr>
      <w:r>
        <w:rPr>
          <w:rFonts w:ascii="Calibri" w:cs="Calibri" w:eastAsia="Calibri" w:hAnsi="Calibri"/>
          <w:color w:val="1E1E1E"/>
          <w:sz w:val="21"/>
          <w:szCs w:val="21"/>
        </w:rPr>
        <w:t xml:space="preserve">A special government audit covering 2020–2024 uncovered 87,000 ghost learners in public schools. Out of 1,039 sampled schools, 723 had inflated enrollment numbers, leading to KES 3.59 billion overpaid in state capitation. In extreme fraud cases, three schools shared a single bank account to siphon KES 103.3 million.</w:t>
      </w:r>
    </w:p>
    <w:p>
      <w:pPr>
        <w:spacing w:after="160" w:line="276"/>
      </w:pPr>
      <w:r>
        <w:rPr>
          <w:rFonts w:ascii="Calibri" w:cs="Calibri" w:eastAsia="Calibri" w:hAnsi="Calibri"/>
          <w:color w:val="1E1E1E"/>
          <w:sz w:val="21"/>
          <w:szCs w:val="21"/>
        </w:rPr>
        <w:t xml:space="preserve">Root Cause: Reliance on manual paper registers with no verification or digital audit trail. Enrollment data is rarely cross-checked against physical daily headcounts, making fraud invisible until external audits occur.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2E8B7" w:sz="4"/>
              <w:left w:val="single" w:color="1E4620" w:sz="24"/>
              <w:bottom w:val="single" w:color="A2E8B7" w:sz="4"/>
              <w:right w:val="single" w:color="A2E8B7" w:sz="4"/>
            </w:tcBorders>
            <w:shd w:fill="E8F7ED" w:color="auto" w:val="clear"/>
            <w:tcMar>
              <w:top w:type="dxa" w:w="180"/>
              <w:left w:type="dxa" w:w="240"/>
              <w:bottom w:type="dxa" w:w="180"/>
              <w:right w:type="dxa" w:w="240"/>
            </w:tcMar>
          </w:tcPr>
          <w:p>
            <w:pPr>
              <w:spacing w:after="100"/>
            </w:pPr>
            <w:r>
              <w:rPr>
                <w:rFonts w:ascii="Cambria" w:cs="Cambria" w:eastAsia="Cambria" w:hAnsi="Cambria"/>
                <w:b/>
                <w:bCs/>
                <w:color w:val="1E4620"/>
                <w:sz w:val="20"/>
                <w:szCs w:val="20"/>
              </w:rPr>
              <w:t xml:space="preserve">THE COST OF PAPER SYSTEMS</w:t>
            </w:r>
          </w:p>
          <w:p>
            <w:pPr>
              <w:spacing w:after="40"/>
            </w:pPr>
            <w:r>
              <w:rPr>
                <w:rFonts w:ascii="Consolas" w:cs="Consolas" w:eastAsia="Consolas" w:hAnsi="Consolas"/>
                <w:color w:val="1E1E1E"/>
                <w:sz w:val="17"/>
                <w:szCs w:val="17"/>
              </w:rPr>
              <w:t xml:space="preserve">Manual Register  →  Unverified Enrollment  →  Capitation Leaks (KES 3.7B Lost)</w:t>
            </w:r>
          </w:p>
          <w:p>
            <w:pPr>
              <w:spacing w:after="40"/>
            </w:pPr>
            <w:r>
              <w:rPr>
                <w:rFonts w:ascii="Consolas" w:cs="Consolas" w:eastAsia="Consolas" w:hAnsi="Consolas"/>
                <w:color w:val="1E1E1E"/>
                <w:sz w:val="17"/>
                <w:szCs w:val="17"/>
              </w:rPr>
              <w:t xml:space="preserve">SchoolPulse System  →  Teacher-Locked Timestamp  →  Real-Time Verification (0% Leakage)</w:t>
            </w:r>
          </w:p>
        </w:tc>
      </w:tr>
    </w:tbl>
    <w:p>
      <w:pPr>
        <w:pStyle w:val="Heading2"/>
        <w:spacing w:after="160" w:before="320"/>
      </w:pPr>
      <w:r>
        <w:rPr>
          <w:rFonts w:ascii="Cambria" w:cs="Cambria" w:eastAsia="Cambria" w:hAnsi="Cambria"/>
          <w:b/>
          <w:bCs/>
          <w:color w:val="1E4620"/>
          <w:sz w:val="26"/>
          <w:szCs w:val="26"/>
        </w:rPr>
        <w:t xml:space="preserve">2.2  Case Studies: Management-Related Institutional Failures</w:t>
      </w:r>
    </w:p>
    <w:p>
      <w:pPr>
        <w:pStyle w:val="ListParagraph"/>
        <w:numPr>
          <w:ilvl w:val="0"/>
          <w:numId w:val="2"/>
        </w:numPr>
        <w:spacing w:after="90" w:line="276"/>
      </w:pPr>
      <w:r>
        <w:rPr>
          <w:rFonts w:ascii="Calibri" w:cs="Calibri" w:eastAsia="Calibri" w:hAnsi="Calibri"/>
          <w:color w:val="1E1E1E"/>
          <w:sz w:val="21"/>
          <w:szCs w:val="21"/>
        </w:rPr>
        <w:t xml:space="preserve">Kiambogo Secondary School — closed January 2025 due to insurmountable debt caused by poor fee tracking and a lack of financial oversight.</w:t>
      </w:r>
    </w:p>
    <w:p>
      <w:pPr>
        <w:pStyle w:val="ListParagraph"/>
        <w:numPr>
          <w:ilvl w:val="0"/>
          <w:numId w:val="2"/>
        </w:numPr>
        <w:spacing w:after="90" w:line="276"/>
      </w:pPr>
      <w:r>
        <w:rPr>
          <w:rFonts w:ascii="Calibri" w:cs="Calibri" w:eastAsia="Calibri" w:hAnsi="Calibri"/>
          <w:color w:val="1E1E1E"/>
          <w:sz w:val="21"/>
          <w:szCs w:val="21"/>
        </w:rPr>
        <w:t xml:space="preserve">St. Peter's Barichu Secondary School — faced near-closure after KCSE results collapsed following years of zero academic tracking or early intervention.</w:t>
      </w:r>
    </w:p>
    <w:p>
      <w:pPr>
        <w:pStyle w:val="ListParagraph"/>
        <w:numPr>
          <w:ilvl w:val="0"/>
          <w:numId w:val="2"/>
        </w:numPr>
        <w:spacing w:after="90" w:line="276"/>
      </w:pPr>
      <w:r>
        <w:rPr>
          <w:rFonts w:ascii="Calibri" w:cs="Calibri" w:eastAsia="Calibri" w:hAnsi="Calibri"/>
          <w:color w:val="1E1E1E"/>
          <w:sz w:val="21"/>
          <w:szCs w:val="21"/>
        </w:rPr>
        <w:t xml:space="preserve">Gabondu North Secondary, Kirinyaga — suffered community disrepute and closure threats due to chaotic admission records and a complete lack of management infrastructure.</w:t>
      </w:r>
    </w:p>
    <w:p>
      <w:pPr>
        <w:pStyle w:val="ListParagraph"/>
        <w:numPr>
          <w:ilvl w:val="0"/>
          <w:numId w:val="2"/>
        </w:numPr>
        <w:spacing w:after="90" w:line="276"/>
      </w:pPr>
      <w:r>
        <w:rPr>
          <w:rFonts w:ascii="Calibri" w:cs="Calibri" w:eastAsia="Calibri" w:hAnsi="Calibri"/>
          <w:color w:val="1E1E1E"/>
          <w:sz w:val="21"/>
          <w:szCs w:val="21"/>
        </w:rPr>
        <w:t xml:space="preserve">Mbea Secondary School — experienced chronic, untracked student truancy, leading to prolonged poor KCSE performance and institutional demotion.</w:t>
      </w:r>
    </w:p>
    <w:p>
      <w:pPr>
        <w:pStyle w:val="Heading2"/>
        <w:spacing w:after="160" w:before="320"/>
      </w:pPr>
      <w:r>
        <w:rPr>
          <w:rFonts w:ascii="Cambria" w:cs="Cambria" w:eastAsia="Cambria" w:hAnsi="Cambria"/>
          <w:b/>
          <w:bCs/>
          <w:color w:val="1E4620"/>
          <w:sz w:val="26"/>
          <w:szCs w:val="26"/>
        </w:rPr>
        <w:t xml:space="preserve">2.3  The KCSE Performance Crisis</w:t>
      </w:r>
    </w:p>
    <w:p>
      <w:pPr>
        <w:spacing w:after="160" w:line="276"/>
      </w:pPr>
      <w:r>
        <w:rPr>
          <w:rFonts w:ascii="Calibri" w:cs="Calibri" w:eastAsia="Calibri" w:hAnsi="Calibri"/>
          <w:color w:val="1E1E1E"/>
          <w:sz w:val="21"/>
          <w:szCs w:val="21"/>
        </w:rPr>
        <w:t xml:space="preserve">Between 2020 and 2024, only 21.07% of all KCSE candidates scored a university entry grade of C+ or above. This means 78.93% of candidates (3,407,565 students) missed out on direct university admission. Top-performing national institutions like Alliance, Kabarak, Kapsabet, and Maseno maintain their status because they use robust internal management infrastructure. Academic performance relies heavily on operational tracking.</w:t>
      </w:r>
    </w:p>
    <w:p>
      <w:pPr>
        <w:pStyle w:val="Heading2"/>
        <w:spacing w:after="160" w:before="320"/>
      </w:pPr>
      <w:r>
        <w:rPr>
          <w:rFonts w:ascii="Cambria" w:cs="Cambria" w:eastAsia="Cambria" w:hAnsi="Cambria"/>
          <w:b/>
          <w:bCs/>
          <w:color w:val="1E4620"/>
          <w:sz w:val="26"/>
          <w:szCs w:val="26"/>
        </w:rPr>
        <w:t xml:space="preserve">2.4  Fee Transparency and Opaque Invoicing</w:t>
      </w:r>
    </w:p>
    <w:p>
      <w:pPr>
        <w:spacing w:after="160" w:line="276"/>
      </w:pPr>
      <w:r>
        <w:rPr>
          <w:rFonts w:ascii="Calibri" w:cs="Calibri" w:eastAsia="Calibri" w:hAnsi="Calibri"/>
          <w:color w:val="1E1E1E"/>
          <w:sz w:val="21"/>
          <w:szCs w:val="21"/>
        </w:rPr>
        <w:t xml:space="preserve">The Ministry of Education frequently flags schools for charging undisclosed fees. Certificate withholding due to arrears is a nationwide issue, forcing the government to move Form Four certificate collections to sub-county offices. Parents often find out about surprise fees only when their children are turned away at the gate.</w:t>
      </w:r>
    </w:p>
    <w:p>
      <w:pPr>
        <w:pStyle w:val="Heading2"/>
        <w:spacing w:after="160" w:before="320"/>
      </w:pPr>
      <w:r>
        <w:rPr>
          <w:rFonts w:ascii="Cambria" w:cs="Cambria" w:eastAsia="Cambria" w:hAnsi="Cambria"/>
          <w:b/>
          <w:bCs/>
          <w:color w:val="1E4620"/>
          <w:sz w:val="26"/>
          <w:szCs w:val="26"/>
        </w:rPr>
        <w:t xml:space="preserve">2.5  Communication Infrastructure Breakdown</w:t>
      </w:r>
    </w:p>
    <w:p>
      <w:pPr>
        <w:spacing w:after="160" w:line="276"/>
      </w:pPr>
      <w:r>
        <w:rPr>
          <w:rFonts w:ascii="Calibri" w:cs="Calibri" w:eastAsia="Calibri" w:hAnsi="Calibri"/>
          <w:color w:val="1E1E1E"/>
          <w:sz w:val="21"/>
          <w:szCs w:val="21"/>
        </w:rPr>
        <w:t xml:space="preserve">Most schools rely on standard WhatsApp groups, which are disorganized, lack tracking, and lock out parents using feature phones. When billing details or report cards are sent home as physical printouts with students, they frequently fail to arrive or get delayed, causing major learning disruptions when students are sent home for balances.</w:t>
      </w:r>
    </w:p>
    <w:p>
      <w:r>
        <w:br w:type="page"/>
      </w:r>
    </w:p>
    <w:p>
      <w:pPr>
        <w:pStyle w:val="Heading1"/>
        <w:pBdr>
          <w:bottom w:val="single" w:color="1E4620" w:sz="12" w:space="6"/>
        </w:pBdr>
        <w:spacing w:after="200" w:before="420"/>
      </w:pPr>
      <w:r>
        <w:rPr>
          <w:rFonts w:ascii="Cambria" w:cs="Cambria" w:eastAsia="Cambria" w:hAnsi="Cambria"/>
          <w:b/>
          <w:bCs/>
          <w:color w:val="1E4620"/>
          <w:sz w:val="32"/>
          <w:szCs w:val="32"/>
        </w:rPr>
        <w:t xml:space="preserve">3. The SchoolPulse Value Proposition</w:t>
      </w:r>
    </w:p>
    <w:p>
      <w:pPr>
        <w:pStyle w:val="Heading2"/>
        <w:spacing w:after="160" w:before="320"/>
      </w:pPr>
      <w:r>
        <w:rPr>
          <w:rFonts w:ascii="Cambria" w:cs="Cambria" w:eastAsia="Cambria" w:hAnsi="Cambria"/>
          <w:b/>
          <w:bCs/>
          <w:color w:val="1E4620"/>
          <w:sz w:val="26"/>
          <w:szCs w:val="26"/>
        </w:rPr>
        <w:t xml:space="preserve">3.1  Competitive Comparison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900"/>
        <w:gridCol w:w="2060"/>
      </w:tblGrid>
      <w:tr>
        <w:trPr>
          <w:tblHeader/>
        </w:trPr>
        <w:tc>
          <w:tcPr>
            <w:tcW w:type="dxa" w:w="19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System Type</w:t>
            </w:r>
          </w:p>
        </w:tc>
        <w:tc>
          <w:tcPr>
            <w:tcW w:type="dxa" w:w="29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Core Operational Deficit</w:t>
            </w:r>
          </w:p>
        </w:tc>
        <w:tc>
          <w:tcPr>
            <w:tcW w:type="dxa" w:w="29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SchoolPulse Advantage</w:t>
            </w:r>
          </w:p>
        </w:tc>
        <w:tc>
          <w:tcPr>
            <w:tcW w:type="dxa" w:w="20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Verdict</w:t>
            </w:r>
          </w:p>
        </w:tc>
      </w:tr>
      <w:tr>
        <w:tc>
          <w:tcPr>
            <w:tcW w:type="dxa" w:w="1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Paper &amp; Ledgers</w:t>
            </w:r>
          </w:p>
        </w:tc>
        <w:tc>
          <w:tcPr>
            <w:tcW w:type="dxa" w:w="2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 backups, high vulnerability to data manipulation, no analytics</w:t>
            </w:r>
          </w:p>
        </w:tc>
        <w:tc>
          <w:tcPr>
            <w:tcW w:type="dxa" w:w="2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Secure digital audit trail, instant business intelligence</w:t>
            </w:r>
          </w:p>
        </w:tc>
        <w:tc>
          <w:tcPr>
            <w:tcW w:type="dxa" w:w="20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Replace Completely</w:t>
            </w:r>
          </w:p>
        </w:tc>
      </w:tr>
      <w:tr>
        <w:tc>
          <w:tcPr>
            <w:tcW w:type="dxa" w:w="1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Excel Spreadsheets</w:t>
            </w:r>
          </w:p>
        </w:tc>
        <w:tc>
          <w:tcPr>
            <w:tcW w:type="dxa" w:w="2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Single-user bottlenecks, no automation, no SMS integration</w:t>
            </w:r>
          </w:p>
        </w:tc>
        <w:tc>
          <w:tcPr>
            <w:tcW w:type="dxa" w:w="2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Multi-user access, event-driven automated notifications</w:t>
            </w:r>
          </w:p>
        </w:tc>
        <w:tc>
          <w:tcPr>
            <w:tcW w:type="dxa" w:w="20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Replace Completely</w:t>
            </w:r>
          </w:p>
        </w:tc>
      </w:tr>
      <w:tr>
        <w:tc>
          <w:tcPr>
            <w:tcW w:type="dxa" w:w="1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WhatsApp Groups</w:t>
            </w:r>
          </w:p>
        </w:tc>
        <w:tc>
          <w:tcPr>
            <w:tcW w:type="dxa" w:w="2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Unstructured data stream, zero delivery tracking, unsearchable</w:t>
            </w:r>
          </w:p>
        </w:tc>
        <w:tc>
          <w:tcPr>
            <w:tcW w:type="dxa" w:w="2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Structured bulk notifications, verifiable delivery logs</w:t>
            </w:r>
          </w:p>
        </w:tc>
        <w:tc>
          <w:tcPr>
            <w:tcW w:type="dxa" w:w="20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Replace &amp; Enhance</w:t>
            </w:r>
          </w:p>
        </w:tc>
      </w:tr>
      <w:tr>
        <w:tc>
          <w:tcPr>
            <w:tcW w:type="dxa" w:w="1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Zeraki / uSMART</w:t>
            </w:r>
          </w:p>
        </w:tc>
        <w:tc>
          <w:tcPr>
            <w:tcW w:type="dxa" w:w="2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Premium pricing tiers, complex interfaces for large elite schools</w:t>
            </w:r>
          </w:p>
        </w:tc>
        <w:tc>
          <w:tcPr>
            <w:tcW w:type="dxa" w:w="2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Accessible pricing, intuitive UX optimized for Kenya</w:t>
            </w:r>
          </w:p>
        </w:tc>
        <w:tc>
          <w:tcPr>
            <w:tcW w:type="dxa" w:w="20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Undercut on Price &amp; UX</w:t>
            </w:r>
          </w:p>
        </w:tc>
      </w:tr>
      <w:tr>
        <w:tc>
          <w:tcPr>
            <w:tcW w:type="dxa" w:w="1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Elimu SMS</w:t>
            </w:r>
          </w:p>
        </w:tc>
        <w:tc>
          <w:tcPr>
            <w:tcW w:type="dxa" w:w="2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Restricted to basic text alerts, no admin control dashboards</w:t>
            </w:r>
          </w:p>
        </w:tc>
        <w:tc>
          <w:tcPr>
            <w:tcW w:type="dxa" w:w="2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End-to-end platform matching financial, academic, discipline modules</w:t>
            </w:r>
          </w:p>
        </w:tc>
        <w:tc>
          <w:tcPr>
            <w:tcW w:type="dxa" w:w="20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Far Superior Scope</w:t>
            </w:r>
          </w:p>
        </w:tc>
      </w:tr>
    </w:tbl>
    <w:p>
      <w:pPr>
        <w:pStyle w:val="Heading2"/>
        <w:spacing w:after="160" w:before="320"/>
      </w:pPr>
      <w:r>
        <w:rPr>
          <w:rFonts w:ascii="Cambria" w:cs="Cambria" w:eastAsia="Cambria" w:hAnsi="Cambria"/>
          <w:b/>
          <w:bCs/>
          <w:color w:val="1E4620"/>
          <w:sz w:val="26"/>
          <w:szCs w:val="26"/>
        </w:rPr>
        <w:t xml:space="preserve">3.2  Key Competitive Advantages</w:t>
      </w:r>
    </w:p>
    <w:p>
      <w:pPr>
        <w:pStyle w:val="Heading3"/>
        <w:spacing w:after="120" w:before="240"/>
      </w:pPr>
      <w:r>
        <w:rPr>
          <w:rFonts w:ascii="Cambria" w:cs="Cambria" w:eastAsia="Cambria" w:hAnsi="Cambria"/>
          <w:b/>
          <w:bCs/>
          <w:color w:val="1E1E1E"/>
          <w:sz w:val="23"/>
          <w:szCs w:val="23"/>
        </w:rPr>
        <w:t xml:space="preserve">Built for Kenya First</w:t>
      </w:r>
    </w:p>
    <w:p>
      <w:pPr>
        <w:spacing w:after="160" w:line="276"/>
      </w:pPr>
      <w:r>
        <w:rPr>
          <w:rFonts w:ascii="Calibri" w:cs="Calibri" w:eastAsia="Calibri" w:hAnsi="Calibri"/>
          <w:color w:val="1E1E1E"/>
          <w:sz w:val="21"/>
          <w:szCs w:val="21"/>
        </w:rPr>
        <w:t xml:space="preserve">SchoolPulse natively integrates the local workflow right out of the box: East African time zones (Africa/Nairobi), Kenya Shilling currency handling, CBC and 8-4-4 grading setups, three-term schedules, and text systems powered by Africa's Talking.</w:t>
      </w:r>
    </w:p>
    <w:p>
      <w:pPr>
        <w:pStyle w:val="Heading3"/>
        <w:spacing w:after="120" w:before="240"/>
      </w:pPr>
      <w:r>
        <w:rPr>
          <w:rFonts w:ascii="Cambria" w:cs="Cambria" w:eastAsia="Cambria" w:hAnsi="Cambria"/>
          <w:b/>
          <w:bCs/>
          <w:color w:val="1E1E1E"/>
          <w:sz w:val="23"/>
          <w:szCs w:val="23"/>
        </w:rPr>
        <w:t xml:space="preserve">In-App M-Pesa STK Push</w:t>
      </w:r>
    </w:p>
    <w:p>
      <w:pPr>
        <w:spacing w:after="160" w:line="276"/>
      </w:pPr>
      <w:r>
        <w:rPr>
          <w:rFonts w:ascii="Calibri" w:cs="Calibri" w:eastAsia="Calibri" w:hAnsi="Calibri"/>
          <w:color w:val="1E1E1E"/>
          <w:sz w:val="21"/>
          <w:szCs w:val="21"/>
        </w:rPr>
        <w:t xml:space="preserve">Parents can view their real-time balances, tap a pay button, and enter their M-Pesa PIN directly on their mobile phones. The bursar's dashboard updates immediately without manual data entry, bank queues, or lost paper receipts.</w:t>
      </w:r>
    </w:p>
    <w:p>
      <w:pPr>
        <w:pStyle w:val="Heading3"/>
        <w:spacing w:after="120" w:before="240"/>
      </w:pPr>
      <w:r>
        <w:rPr>
          <w:rFonts w:ascii="Cambria" w:cs="Cambria" w:eastAsia="Cambria" w:hAnsi="Cambria"/>
          <w:b/>
          <w:bCs/>
          <w:color w:val="1E1E1E"/>
          <w:sz w:val="23"/>
          <w:szCs w:val="23"/>
        </w:rPr>
        <w:t xml:space="preserve">Teacher-Locked Attendance Security</w:t>
      </w:r>
    </w:p>
    <w:p>
      <w:pPr>
        <w:spacing w:after="160" w:line="276"/>
      </w:pPr>
      <w:r>
        <w:rPr>
          <w:rFonts w:ascii="Calibri" w:cs="Calibri" w:eastAsia="Calibri" w:hAnsi="Calibri"/>
          <w:color w:val="1E1E1E"/>
          <w:sz w:val="21"/>
          <w:szCs w:val="21"/>
        </w:rPr>
        <w:t xml:space="preserve">Daily roll calls must be filled during a strict morning window (7:00 AM to 11:00 AM). Each record captures the teacher's ID, network IP, and an immutable timestamp. Any adjustments made after saving require a listed reason and send an immediate notification to the deputy principal.</w:t>
      </w:r>
    </w:p>
    <w:p>
      <w:pPr>
        <w:pStyle w:val="Heading3"/>
        <w:spacing w:after="120" w:before="240"/>
      </w:pPr>
      <w:r>
        <w:rPr>
          <w:rFonts w:ascii="Cambria" w:cs="Cambria" w:eastAsia="Cambria" w:hAnsi="Cambria"/>
          <w:b/>
          <w:bCs/>
          <w:color w:val="1E1E1E"/>
          <w:sz w:val="23"/>
          <w:szCs w:val="23"/>
        </w:rPr>
        <w:t xml:space="preserve">Multi-Child FIFO Split Payments</w:t>
      </w:r>
    </w:p>
    <w:p>
      <w:pPr>
        <w:spacing w:after="160" w:line="276"/>
      </w:pPr>
      <w:r>
        <w:rPr>
          <w:rFonts w:ascii="Calibri" w:cs="Calibri" w:eastAsia="Calibri" w:hAnsi="Calibri"/>
          <w:color w:val="1E1E1E"/>
          <w:sz w:val="21"/>
          <w:szCs w:val="21"/>
        </w:rPr>
        <w:t xml:space="preserve">When a parent makes a single lump-sum mobile payment for multiple siblings, the platform automatically applies the funds to the oldest outstanding balance first (First-In, First-Out) across accounts, logs individual child receipts, and carries forward any remainder as a credit.</w:t>
      </w:r>
    </w:p>
    <w:p>
      <w:pPr>
        <w:pStyle w:val="Heading3"/>
        <w:spacing w:after="120" w:before="240"/>
      </w:pPr>
      <w:r>
        <w:rPr>
          <w:rFonts w:ascii="Cambria" w:cs="Cambria" w:eastAsia="Cambria" w:hAnsi="Cambria"/>
          <w:b/>
          <w:bCs/>
          <w:color w:val="1E1E1E"/>
          <w:sz w:val="23"/>
          <w:szCs w:val="23"/>
        </w:rPr>
        <w:t xml:space="preserve">Bursary &amp; Grant Workflows</w:t>
      </w:r>
    </w:p>
    <w:p>
      <w:pPr>
        <w:spacing w:after="160" w:line="276"/>
      </w:pPr>
      <w:r>
        <w:rPr>
          <w:rFonts w:ascii="Calibri" w:cs="Calibri" w:eastAsia="Calibri" w:hAnsi="Calibri"/>
          <w:color w:val="1E1E1E"/>
          <w:sz w:val="21"/>
          <w:szCs w:val="21"/>
        </w:rPr>
        <w:t xml:space="preserve">Accommodates institutional checks like CDF bursaries, NGO scholarships, and bank transfers as core payment methods. A single large grant check can be split across multiple student ledgers with clear source tracking for external compliance reporting.</w:t>
      </w:r>
    </w:p>
    <w:p>
      <w:pPr>
        <w:pStyle w:val="Heading3"/>
        <w:spacing w:after="120" w:before="240"/>
      </w:pPr>
      <w:r>
        <w:rPr>
          <w:rFonts w:ascii="Cambria" w:cs="Cambria" w:eastAsia="Cambria" w:hAnsi="Cambria"/>
          <w:b/>
          <w:bCs/>
          <w:color w:val="1E1E1E"/>
          <w:sz w:val="23"/>
          <w:szCs w:val="23"/>
        </w:rPr>
        <w:t xml:space="preserve">Integrated Discipline Incident Log</w:t>
      </w:r>
    </w:p>
    <w:p>
      <w:pPr>
        <w:spacing w:after="160" w:line="276"/>
      </w:pPr>
      <w:r>
        <w:rPr>
          <w:rFonts w:ascii="Calibri" w:cs="Calibri" w:eastAsia="Calibri" w:hAnsi="Calibri"/>
          <w:color w:val="1E1E1E"/>
          <w:sz w:val="21"/>
          <w:szCs w:val="21"/>
        </w:rPr>
        <w:t xml:space="preserve">Major behavioral incidents are recorded immediately with tracking for category, description, disciplinary action, and resolution status. These log directly into the parent portal to keep families updated and protect schools from disputes over sudden actions.</w:t>
      </w:r>
    </w:p>
    <w:p>
      <w:pPr>
        <w:pStyle w:val="Heading3"/>
        <w:spacing w:after="120" w:before="240"/>
      </w:pPr>
      <w:r>
        <w:rPr>
          <w:rFonts w:ascii="Cambria" w:cs="Cambria" w:eastAsia="Cambria" w:hAnsi="Cambria"/>
          <w:b/>
          <w:bCs/>
          <w:color w:val="1E1E1E"/>
          <w:sz w:val="23"/>
          <w:szCs w:val="23"/>
        </w:rPr>
        <w:t xml:space="preserve">OTP Phone-Based Access</w:t>
      </w:r>
    </w:p>
    <w:p>
      <w:pPr>
        <w:spacing w:after="160" w:line="276"/>
      </w:pPr>
      <w:r>
        <w:rPr>
          <w:rFonts w:ascii="Calibri" w:cs="Calibri" w:eastAsia="Calibri" w:hAnsi="Calibri"/>
          <w:color w:val="1E1E1E"/>
          <w:sz w:val="21"/>
          <w:szCs w:val="21"/>
        </w:rPr>
        <w:t xml:space="preserve">Parents access accounts via simple mobile phone verification codes (OTP). This bypasses the need for email addresses or complex password management, matching the local consumer profile.</w:t>
      </w:r>
    </w:p>
    <w:p>
      <w:r>
        <w:br w:type="page"/>
      </w:r>
    </w:p>
    <w:p>
      <w:pPr>
        <w:pStyle w:val="Heading1"/>
        <w:pBdr>
          <w:bottom w:val="single" w:color="1E4620" w:sz="12" w:space="6"/>
        </w:pBdr>
        <w:spacing w:after="200" w:before="420"/>
      </w:pPr>
      <w:r>
        <w:rPr>
          <w:rFonts w:ascii="Cambria" w:cs="Cambria" w:eastAsia="Cambria" w:hAnsi="Cambria"/>
          <w:b/>
          <w:bCs/>
          <w:color w:val="1E4620"/>
          <w:sz w:val="32"/>
          <w:szCs w:val="32"/>
        </w:rPr>
        <w:t xml:space="preserve">4. Product Features &amp; Functional Architecture</w:t>
      </w:r>
    </w:p>
    <w:p>
      <w:pPr>
        <w:pStyle w:val="Heading3"/>
        <w:spacing w:after="120" w:before="240"/>
      </w:pPr>
      <w:r>
        <w:rPr>
          <w:rFonts w:ascii="Cambria" w:cs="Cambria" w:eastAsia="Cambria" w:hAnsi="Cambria"/>
          <w:b/>
          <w:bCs/>
          <w:color w:val="1E1E1E"/>
          <w:sz w:val="23"/>
          <w:szCs w:val="23"/>
        </w:rPr>
        <w:t xml:space="preserve">Principal Metric Dashboard — Illustrative 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2E8B7" w:sz="4"/>
              <w:left w:val="single" w:color="1E4620" w:sz="24"/>
              <w:bottom w:val="single" w:color="A2E8B7" w:sz="4"/>
              <w:right w:val="single" w:color="A2E8B7" w:sz="4"/>
            </w:tcBorders>
            <w:shd w:fill="E8F7ED" w:color="auto" w:val="clear"/>
            <w:tcMar>
              <w:top w:type="dxa" w:w="180"/>
              <w:left w:type="dxa" w:w="240"/>
              <w:bottom w:type="dxa" w:w="180"/>
              <w:right w:type="dxa" w:w="240"/>
            </w:tcMar>
          </w:tcPr>
          <w:p>
            <w:pPr>
              <w:spacing w:after="100"/>
            </w:pPr>
            <w:r>
              <w:rPr>
                <w:rFonts w:ascii="Cambria" w:cs="Cambria" w:eastAsia="Cambria" w:hAnsi="Cambria"/>
                <w:b/>
                <w:bCs/>
                <w:color w:val="1E4620"/>
                <w:sz w:val="20"/>
                <w:szCs w:val="20"/>
              </w:rPr>
              <w:t xml:space="preserve">SCHOOLPULSE PRINCIPAL DASHBOARD  —  Term 1, 2026</w:t>
            </w:r>
          </w:p>
          <w:p>
            <w:pPr>
              <w:spacing w:after="40"/>
            </w:pPr>
            <w:r>
              <w:rPr>
                <w:rFonts w:ascii="Consolas" w:cs="Consolas" w:eastAsia="Consolas" w:hAnsi="Consolas"/>
                <w:color w:val="1E1E1E"/>
                <w:sz w:val="17"/>
                <w:szCs w:val="17"/>
              </w:rPr>
              <w:t xml:space="preserve">Attendance Rate: 96.8%     Fee Collection: 67.6% of Target     Discipline Alerts: 2 Open Cases</w:t>
            </w:r>
          </w:p>
          <w:p>
            <w:pPr>
              <w:spacing w:after="40"/>
            </w:pPr>
            <w:r>
              <w:rPr>
                <w:rFonts w:ascii="Consolas" w:cs="Consolas" w:eastAsia="Consolas" w:hAnsi="Consolas"/>
                <w:color w:val="1E1E1E"/>
                <w:sz w:val="17"/>
                <w:szCs w:val="17"/>
              </w:rPr>
              <w:t xml:space="preserve"/>
            </w:r>
          </w:p>
          <w:p>
            <w:pPr>
              <w:spacing w:after="40"/>
            </w:pPr>
            <w:r>
              <w:rPr>
                <w:rFonts w:ascii="Consolas" w:cs="Consolas" w:eastAsia="Consolas" w:hAnsi="Consolas"/>
                <w:color w:val="1E1E1E"/>
                <w:sz w:val="17"/>
                <w:szCs w:val="17"/>
              </w:rPr>
              <w:t xml:space="preserve">Recent System Audit Log</w:t>
            </w:r>
          </w:p>
          <w:p>
            <w:pPr>
              <w:spacing w:after="40"/>
            </w:pPr>
            <w:r>
              <w:rPr>
                <w:rFonts w:ascii="Consolas" w:cs="Consolas" w:eastAsia="Consolas" w:hAnsi="Consolas"/>
                <w:color w:val="1E1E1E"/>
                <w:sz w:val="17"/>
                <w:szCs w:val="17"/>
              </w:rPr>
              <w:t xml:space="preserve">07:46 AM  Form 4 East attendance locked by Teacher Akinyi</w:t>
            </w:r>
          </w:p>
          <w:p>
            <w:pPr>
              <w:spacing w:after="40"/>
            </w:pPr>
            <w:r>
              <w:rPr>
                <w:rFonts w:ascii="Consolas" w:cs="Consolas" w:eastAsia="Consolas" w:hAnsi="Consolas"/>
                <w:color w:val="1E1E1E"/>
                <w:sz w:val="17"/>
                <w:szCs w:val="17"/>
              </w:rPr>
              <w:t xml:space="preserve">08:12 AM  KES 26,000 M-Pesa STK Push split completed (ID: TXN782)</w:t>
            </w:r>
          </w:p>
        </w:tc>
      </w:tr>
    </w:tbl>
    <w:p>
      <w:pPr>
        <w:pStyle w:val="Heading2"/>
        <w:spacing w:after="160" w:before="320"/>
      </w:pPr>
      <w:r>
        <w:rPr>
          <w:rFonts w:ascii="Cambria" w:cs="Cambria" w:eastAsia="Cambria" w:hAnsi="Cambria"/>
          <w:b/>
          <w:bCs/>
          <w:color w:val="1E4620"/>
          <w:sz w:val="26"/>
          <w:szCs w:val="26"/>
        </w:rPr>
        <w:t xml:space="preserve">4.1  Module Functionality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5620"/>
        <w:gridCol w:w="2040"/>
      </w:tblGrid>
      <w:tr>
        <w:trPr>
          <w:tblHeader/>
        </w:trPr>
        <w:tc>
          <w:tcPr>
            <w:tcW w:type="dxa" w:w="21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Module</w:t>
            </w:r>
          </w:p>
        </w:tc>
        <w:tc>
          <w:tcPr>
            <w:tcW w:type="dxa" w:w="562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Core Functional Capabilities</w:t>
            </w:r>
          </w:p>
        </w:tc>
        <w:tc>
          <w:tcPr>
            <w:tcW w:type="dxa" w:w="204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Platform Users</w:t>
            </w:r>
          </w:p>
        </w:tc>
      </w:tr>
      <w:tr>
        <w:tc>
          <w:tcPr>
            <w:tcW w:type="dxa" w:w="21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Student Register</w:t>
            </w:r>
          </w:p>
        </w:tc>
        <w:tc>
          <w:tcPr>
            <w:tcW w:type="dxa" w:w="562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Academic profile tracking, unique school IDs, historical enrollment tracking, student status transitions (Active, Alumnus, Transferred).</w:t>
            </w:r>
          </w:p>
        </w:tc>
        <w:tc>
          <w:tcPr>
            <w:tcW w:type="dxa" w:w="204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Admins, Principals, Bursars</w:t>
            </w:r>
          </w:p>
        </w:tc>
      </w:tr>
      <w:tr>
        <w:tc>
          <w:tcPr>
            <w:tcW w:type="dxa" w:w="21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Attendance Tracker</w:t>
            </w:r>
          </w:p>
        </w:tc>
        <w:tc>
          <w:tcPr>
            <w:tcW w:type="dxa" w:w="562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Daily session logging, automated guardian alerts, data filters, and visual risk indicators for students dropping below a 70% threshold.</w:t>
            </w:r>
          </w:p>
        </w:tc>
        <w:tc>
          <w:tcPr>
            <w:tcW w:type="dxa" w:w="204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Teachers, Deputies, Principals</w:t>
            </w:r>
          </w:p>
        </w:tc>
      </w:tr>
      <w:tr>
        <w:tc>
          <w:tcPr>
            <w:tcW w:type="dxa" w:w="21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Fee Management</w:t>
            </w:r>
          </w:p>
        </w:tc>
        <w:tc>
          <w:tcPr>
            <w:tcW w:type="dxa" w:w="562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Custom fee structures, real-time balances, automated billing runs, automated receipts, and digital account statements.</w:t>
            </w:r>
          </w:p>
        </w:tc>
        <w:tc>
          <w:tcPr>
            <w:tcW w:type="dxa" w:w="204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Bursars, Principals</w:t>
            </w:r>
          </w:p>
        </w:tc>
      </w:tr>
      <w:tr>
        <w:tc>
          <w:tcPr>
            <w:tcW w:type="dxa" w:w="21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Academic Performance</w:t>
            </w:r>
          </w:p>
        </w:tc>
        <w:tc>
          <w:tcPr>
            <w:tcW w:type="dxa" w:w="562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Multi-system grade books (CBC and 8-4-4), class ranking tools, automated report cards, and long-term academic progress charts.</w:t>
            </w:r>
          </w:p>
        </w:tc>
        <w:tc>
          <w:tcPr>
            <w:tcW w:type="dxa" w:w="204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Teachers, Principals, Deputies</w:t>
            </w:r>
          </w:p>
        </w:tc>
      </w:tr>
      <w:tr>
        <w:tc>
          <w:tcPr>
            <w:tcW w:type="dxa" w:w="21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Discipline Ledger</w:t>
            </w:r>
          </w:p>
        </w:tc>
        <w:tc>
          <w:tcPr>
            <w:tcW w:type="dxa" w:w="562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Behavioral logs, incident severity tags, action records, parent alert toggles, and status updates.</w:t>
            </w:r>
          </w:p>
        </w:tc>
        <w:tc>
          <w:tcPr>
            <w:tcW w:type="dxa" w:w="204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Deputies, Teachers, Principals</w:t>
            </w:r>
          </w:p>
        </w:tc>
      </w:tr>
      <w:tr>
        <w:tc>
          <w:tcPr>
            <w:tcW w:type="dxa" w:w="21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Parent Portal</w:t>
            </w:r>
          </w:p>
        </w:tc>
        <w:tc>
          <w:tcPr>
            <w:tcW w:type="dxa" w:w="562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Single-account multi-child toggle, real-time fee ledgers, exam results, attendance logs, and administrative announcements.</w:t>
            </w:r>
          </w:p>
        </w:tc>
        <w:tc>
          <w:tcPr>
            <w:tcW w:type="dxa" w:w="204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Parents, Guardians</w:t>
            </w:r>
          </w:p>
        </w:tc>
      </w:tr>
      <w:tr>
        <w:tc>
          <w:tcPr>
            <w:tcW w:type="dxa" w:w="21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Notification Hub</w:t>
            </w:r>
          </w:p>
        </w:tc>
        <w:tc>
          <w:tcPr>
            <w:tcW w:type="dxa" w:w="562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Bulk SMS via Africa's Talking, template triggers, system-wide alerts, and comprehensive delivery status tracking.</w:t>
            </w:r>
          </w:p>
        </w:tc>
        <w:tc>
          <w:tcPr>
            <w:tcW w:type="dxa" w:w="204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Admins, Bursars, Deputies</w:t>
            </w:r>
          </w:p>
        </w:tc>
      </w:tr>
      <w:tr>
        <w:tc>
          <w:tcPr>
            <w:tcW w:type="dxa" w:w="21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Staff Directory</w:t>
            </w:r>
          </w:p>
        </w:tc>
        <w:tc>
          <w:tcPr>
            <w:tcW w:type="dxa" w:w="562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System profiles, access permission management, and class/subject mapping.</w:t>
            </w:r>
          </w:p>
        </w:tc>
        <w:tc>
          <w:tcPr>
            <w:tcW w:type="dxa" w:w="204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Principals, Admins</w:t>
            </w:r>
          </w:p>
        </w:tc>
      </w:tr>
    </w:tbl>
    <w:p>
      <w:pPr>
        <w:pStyle w:val="Heading2"/>
        <w:spacing w:after="160" w:before="320"/>
      </w:pPr>
      <w:r>
        <w:rPr>
          <w:rFonts w:ascii="Cambria" w:cs="Cambria" w:eastAsia="Cambria" w:hAnsi="Cambria"/>
          <w:b/>
          <w:bCs/>
          <w:color w:val="1E4620"/>
          <w:sz w:val="26"/>
          <w:szCs w:val="26"/>
        </w:rPr>
        <w:t xml:space="preserve">4.2  System Use-Case Scenarios</w:t>
      </w:r>
    </w:p>
    <w:p>
      <w:pPr>
        <w:pStyle w:val="Heading3"/>
        <w:spacing w:after="120" w:before="240"/>
      </w:pPr>
      <w:r>
        <w:rPr>
          <w:rFonts w:ascii="Cambria" w:cs="Cambria" w:eastAsia="Cambria" w:hAnsi="Cambria"/>
          <w:b/>
          <w:bCs/>
          <w:color w:val="1E1E1E"/>
          <w:sz w:val="23"/>
          <w:szCs w:val="23"/>
        </w:rPr>
        <w:t xml:space="preserve">Use Case 1 — Morning Roll Call</w:t>
      </w:r>
    </w:p>
    <w:p>
      <w:pPr>
        <w:spacing w:after="160" w:line="276"/>
      </w:pPr>
      <w:r>
        <w:rPr>
          <w:rFonts w:ascii="Calibri" w:cs="Calibri" w:eastAsia="Calibri" w:hAnsi="Calibri"/>
          <w:color w:val="1E1E1E"/>
          <w:sz w:val="21"/>
          <w:szCs w:val="21"/>
        </w:rPr>
        <w:t xml:space="preserve">Mrs. Akinyi opens the SchoolPulse interface at 7:45 AM to log attendance for Form 4 East. The server verifies her permissions and checks the open configuration window. She marks 39 students present, 2 absent, and 1 late, then saves the details. The platform immediately locks the record, issues text updates to the guardians of absent or late students, and records the session metadata (ID, timestamp, and IP address). Any subsequent changes prompt an alert to the deputy principal's feed.</w:t>
      </w:r>
    </w:p>
    <w:p>
      <w:pPr>
        <w:pStyle w:val="Heading3"/>
        <w:spacing w:after="120" w:before="240"/>
      </w:pPr>
      <w:r>
        <w:rPr>
          <w:rFonts w:ascii="Cambria" w:cs="Cambria" w:eastAsia="Cambria" w:hAnsi="Cambria"/>
          <w:b/>
          <w:bCs/>
          <w:color w:val="1E1E1E"/>
          <w:sz w:val="23"/>
          <w:szCs w:val="23"/>
        </w:rPr>
        <w:t xml:space="preserve">Use Case 2 — Multi-Child Balance Allocation</w:t>
      </w:r>
    </w:p>
    <w:p>
      <w:pPr>
        <w:spacing w:after="160" w:line="276"/>
      </w:pPr>
      <w:r>
        <w:rPr>
          <w:rFonts w:ascii="Calibri" w:cs="Calibri" w:eastAsia="Calibri" w:hAnsi="Calibri"/>
          <w:color w:val="1E1E1E"/>
          <w:sz w:val="21"/>
          <w:szCs w:val="21"/>
        </w:rPr>
        <w:t xml:space="preserve">Mary Mutua triggers a KES 26,000 fee transaction via an M-Pesa STK Push. The allocation engine uses a FIFO structure to split the payment across her three children:</w:t>
      </w:r>
    </w:p>
    <w:p>
      <w:pPr>
        <w:pStyle w:val="ListParagraph"/>
        <w:numPr>
          <w:ilvl w:val="0"/>
          <w:numId w:val="2"/>
        </w:numPr>
        <w:spacing w:after="90" w:line="276"/>
      </w:pPr>
      <w:r>
        <w:rPr>
          <w:rFonts w:ascii="Calibri" w:cs="Calibri" w:eastAsia="Calibri" w:hAnsi="Calibri"/>
          <w:color w:val="1E1E1E"/>
          <w:sz w:val="21"/>
          <w:szCs w:val="21"/>
        </w:rPr>
        <w:t xml:space="preserve">Brian's account balance of KES 4,500 is fully cleared.</w:t>
      </w:r>
    </w:p>
    <w:p>
      <w:pPr>
        <w:pStyle w:val="ListParagraph"/>
        <w:numPr>
          <w:ilvl w:val="0"/>
          <w:numId w:val="2"/>
        </w:numPr>
        <w:spacing w:after="90" w:line="276"/>
      </w:pPr>
      <w:r>
        <w:rPr>
          <w:rFonts w:ascii="Calibri" w:cs="Calibri" w:eastAsia="Calibri" w:hAnsi="Calibri"/>
          <w:color w:val="1E1E1E"/>
          <w:sz w:val="21"/>
          <w:szCs w:val="21"/>
        </w:rPr>
        <w:t xml:space="preserve">Susan's account balance of KES 12,000 is fully cleared next.</w:t>
      </w:r>
    </w:p>
    <w:p>
      <w:pPr>
        <w:pStyle w:val="ListParagraph"/>
        <w:numPr>
          <w:ilvl w:val="0"/>
          <w:numId w:val="2"/>
        </w:numPr>
        <w:spacing w:after="90" w:line="276"/>
      </w:pPr>
      <w:r>
        <w:rPr>
          <w:rFonts w:ascii="Calibri" w:cs="Calibri" w:eastAsia="Calibri" w:hAnsi="Calibri"/>
          <w:color w:val="1E1E1E"/>
          <w:sz w:val="21"/>
          <w:szCs w:val="21"/>
        </w:rPr>
        <w:t xml:space="preserve">The remaining KES 9,500 applies to Tom's ledger, leaving a balance of KES 2,500.</w:t>
      </w:r>
    </w:p>
    <w:p>
      <w:pPr>
        <w:spacing w:after="160" w:line="276"/>
      </w:pPr>
      <w:r>
        <w:rPr>
          <w:rFonts w:ascii="Calibri" w:cs="Calibri" w:eastAsia="Calibri" w:hAnsi="Calibri"/>
          <w:color w:val="1E1E1E"/>
          <w:sz w:val="21"/>
          <w:szCs w:val="21"/>
        </w:rPr>
        <w:t xml:space="preserve">Mary receives an itemized text receipt breaking down the exact allocation across all three accounts.</w:t>
      </w:r>
    </w:p>
    <w:p>
      <w:pPr>
        <w:pStyle w:val="Heading3"/>
        <w:spacing w:after="120" w:before="240"/>
      </w:pPr>
      <w:r>
        <w:rPr>
          <w:rFonts w:ascii="Cambria" w:cs="Cambria" w:eastAsia="Cambria" w:hAnsi="Cambria"/>
          <w:b/>
          <w:bCs/>
          <w:color w:val="1E1E1E"/>
          <w:sz w:val="23"/>
          <w:szCs w:val="23"/>
        </w:rPr>
        <w:t xml:space="preserve">Use Case 3 — CDF Bursary Check Entry</w:t>
      </w:r>
    </w:p>
    <w:p>
      <w:pPr>
        <w:spacing w:after="160" w:line="276"/>
      </w:pPr>
      <w:r>
        <w:rPr>
          <w:rFonts w:ascii="Calibri" w:cs="Calibri" w:eastAsia="Calibri" w:hAnsi="Calibri"/>
          <w:color w:val="1E1E1E"/>
          <w:sz w:val="21"/>
          <w:szCs w:val="21"/>
        </w:rPr>
        <w:t xml:space="preserve">Bursar Otieno receives a KES 120,000 Constituency Development Fund (CDF) check to be split among 8 specific students. He logs it under the Bursary payment type, records the reference code, and inputs the individual balance splits. Each student's account updates immediately with the funds tagged as external bursary capital for year-end reporting, and the system sends confirmation texts to all 8 families.</w:t>
      </w:r>
    </w:p>
    <w:p>
      <w:r>
        <w:br w:type="page"/>
      </w:r>
    </w:p>
    <w:p>
      <w:pPr>
        <w:pStyle w:val="Heading1"/>
        <w:pBdr>
          <w:bottom w:val="single" w:color="1E4620" w:sz="12" w:space="6"/>
        </w:pBdr>
        <w:spacing w:after="200" w:before="420"/>
      </w:pPr>
      <w:r>
        <w:rPr>
          <w:rFonts w:ascii="Cambria" w:cs="Cambria" w:eastAsia="Cambria" w:hAnsi="Cambria"/>
          <w:b/>
          <w:bCs/>
          <w:color w:val="1E4620"/>
          <w:sz w:val="32"/>
          <w:szCs w:val="32"/>
        </w:rPr>
        <w:t xml:space="preserve">5. Technical Architecture &amp; Data Design</w:t>
      </w:r>
    </w:p>
    <w:p>
      <w:pPr>
        <w:pStyle w:val="Heading2"/>
        <w:spacing w:after="160" w:before="320"/>
      </w:pPr>
      <w:r>
        <w:rPr>
          <w:rFonts w:ascii="Cambria" w:cs="Cambria" w:eastAsia="Cambria" w:hAnsi="Cambria"/>
          <w:b/>
          <w:bCs/>
          <w:color w:val="1E4620"/>
          <w:sz w:val="26"/>
          <w:szCs w:val="26"/>
        </w:rPr>
        <w:t xml:space="preserve">5.1  Technology Stack Specifications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960"/>
      </w:tblGrid>
      <w:tr>
        <w:trPr>
          <w:tblHeader/>
        </w:trPr>
        <w:tc>
          <w:tcPr>
            <w:tcW w:type="dxa" w:w="19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Layer</w:t>
            </w:r>
          </w:p>
        </w:tc>
        <w:tc>
          <w:tcPr>
            <w:tcW w:type="dxa" w:w="29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Technology</w:t>
            </w:r>
          </w:p>
        </w:tc>
        <w:tc>
          <w:tcPr>
            <w:tcW w:type="dxa" w:w="49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Rationale</w:t>
            </w:r>
          </w:p>
        </w:tc>
      </w:tr>
      <w:tr>
        <w:tc>
          <w:tcPr>
            <w:tcW w:type="dxa" w:w="1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Web Frontend</w:t>
            </w:r>
          </w:p>
        </w:tc>
        <w:tc>
          <w:tcPr>
            <w:tcW w:type="dxa" w:w="2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React.js + Tailwind CSS</w:t>
            </w:r>
          </w:p>
        </w:tc>
        <w:tc>
          <w:tcPr>
            <w:tcW w:type="dxa" w:w="49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Modular components, clean layouts, clear migration path to cross-platform mobile frameworks.</w:t>
            </w:r>
          </w:p>
        </w:tc>
      </w:tr>
      <w:tr>
        <w:tc>
          <w:tcPr>
            <w:tcW w:type="dxa" w:w="1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Mobile Strategy</w:t>
            </w:r>
          </w:p>
        </w:tc>
        <w:tc>
          <w:tcPr>
            <w:tcW w:type="dxa" w:w="2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Progressive Web App (PWA) / React Native</w:t>
            </w:r>
          </w:p>
        </w:tc>
        <w:tc>
          <w:tcPr>
            <w:tcW w:type="dxa" w:w="49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Low-bandwidth offline attendance features, smooth sync logic, deployment on Android devices.</w:t>
            </w:r>
          </w:p>
        </w:tc>
      </w:tr>
      <w:tr>
        <w:tc>
          <w:tcPr>
            <w:tcW w:type="dxa" w:w="1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Backend Engine</w:t>
            </w:r>
          </w:p>
        </w:tc>
        <w:tc>
          <w:tcPr>
            <w:tcW w:type="dxa" w:w="2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Node.js + Express.js</w:t>
            </w:r>
          </w:p>
        </w:tc>
        <w:tc>
          <w:tcPr>
            <w:tcW w:type="dxa" w:w="49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Fast deployment, standard runtime, optimized async task runners. Current active system uses Bun + Elysia.</w:t>
            </w:r>
          </w:p>
        </w:tc>
      </w:tr>
      <w:tr>
        <w:tc>
          <w:tcPr>
            <w:tcW w:type="dxa" w:w="1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Database Engine</w:t>
            </w:r>
          </w:p>
        </w:tc>
        <w:tc>
          <w:tcPr>
            <w:tcW w:type="dxa" w:w="2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PostgreSQL</w:t>
            </w:r>
          </w:p>
        </w:tc>
        <w:tc>
          <w:tcPr>
            <w:tcW w:type="dxa" w:w="49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Enterprise-grade transaction isolation, native JSONB support, soft-delete features for financial tracking.</w:t>
            </w:r>
          </w:p>
        </w:tc>
      </w:tr>
      <w:tr>
        <w:tc>
          <w:tcPr>
            <w:tcW w:type="dxa" w:w="1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Authentication</w:t>
            </w:r>
          </w:p>
        </w:tc>
        <w:tc>
          <w:tcPr>
            <w:tcW w:type="dxa" w:w="2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JWT + Phone OTP</w:t>
            </w:r>
          </w:p>
        </w:tc>
        <w:tc>
          <w:tcPr>
            <w:tcW w:type="dxa" w:w="49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Bypasses email requirements for parents; uses Africa's Talking for mobile verifications.</w:t>
            </w:r>
          </w:p>
        </w:tc>
      </w:tr>
      <w:tr>
        <w:tc>
          <w:tcPr>
            <w:tcW w:type="dxa" w:w="1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Payment Gateway</w:t>
            </w:r>
          </w:p>
        </w:tc>
        <w:tc>
          <w:tcPr>
            <w:tcW w:type="dxa" w:w="2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Safaricom Daraja API</w:t>
            </w:r>
          </w:p>
        </w:tc>
        <w:tc>
          <w:tcPr>
            <w:tcW w:type="dxa" w:w="49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Native M-Pesa STK Push and instant C2B callbacks; essential for Kenyan billing workflows.</w:t>
            </w:r>
          </w:p>
        </w:tc>
      </w:tr>
      <w:tr>
        <w:tc>
          <w:tcPr>
            <w:tcW w:type="dxa" w:w="1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Text Infrastructure</w:t>
            </w:r>
          </w:p>
        </w:tc>
        <w:tc>
          <w:tcPr>
            <w:tcW w:type="dxa" w:w="29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Africa's Talking</w:t>
            </w:r>
          </w:p>
        </w:tc>
        <w:tc>
          <w:tcPr>
            <w:tcW w:type="dxa" w:w="49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Low-cost local messaging (approx. KES 0.8–1.0/SMS) with branded Sender ID support.</w:t>
            </w:r>
          </w:p>
        </w:tc>
      </w:tr>
      <w:tr>
        <w:tc>
          <w:tcPr>
            <w:tcW w:type="dxa" w:w="1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Cloud Hosting</w:t>
            </w:r>
          </w:p>
        </w:tc>
        <w:tc>
          <w:tcPr>
            <w:tcW w:type="dxa" w:w="29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Railway / Vercel</w:t>
            </w:r>
          </w:p>
        </w:tc>
        <w:tc>
          <w:tcPr>
            <w:tcW w:type="dxa" w:w="49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Automated scaling, Git-driven pipelines, budget-friendly resource tiers.</w:t>
            </w:r>
          </w:p>
        </w:tc>
      </w:tr>
    </w:tbl>
    <w:p>
      <w:pPr>
        <w:pStyle w:val="Heading2"/>
        <w:spacing w:after="160" w:before="320"/>
      </w:pPr>
      <w:r>
        <w:rPr>
          <w:rFonts w:ascii="Cambria" w:cs="Cambria" w:eastAsia="Cambria" w:hAnsi="Cambria"/>
          <w:b/>
          <w:bCs/>
          <w:color w:val="1E4620"/>
          <w:sz w:val="26"/>
          <w:szCs w:val="26"/>
        </w:rPr>
        <w:t xml:space="preserve">5.2  Core Database Schema Definitions</w:t>
      </w:r>
    </w:p>
    <w:p>
      <w:pPr>
        <w:spacing w:after="160" w:line="276"/>
      </w:pPr>
      <w:r>
        <w:rPr>
          <w:rFonts w:ascii="Calibri" w:cs="Calibri" w:eastAsia="Calibri" w:hAnsi="Calibri"/>
          <w:color w:val="1E1E1E"/>
          <w:sz w:val="21"/>
          <w:szCs w:val="21"/>
        </w:rPr>
        <w:t xml:space="preserve">All system database models include standard multi-tenant column structures: school_id (UUID), created_at (TIMESTAMP), updated_at (TIMESTAMP), deleted_at (TIMESTAMP) for soft-deletes, and a tracking identifier created_by (UUID).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2E8B7" w:sz="4"/>
              <w:left w:val="single" w:color="1E4620" w:sz="24"/>
              <w:bottom w:val="single" w:color="A2E8B7" w:sz="4"/>
              <w:right w:val="single" w:color="A2E8B7" w:sz="4"/>
            </w:tcBorders>
            <w:shd w:fill="E8F7ED" w:color="auto" w:val="clear"/>
            <w:tcMar>
              <w:top w:type="dxa" w:w="180"/>
              <w:left w:type="dxa" w:w="240"/>
              <w:bottom w:type="dxa" w:w="180"/>
              <w:right w:type="dxa" w:w="240"/>
            </w:tcMar>
          </w:tcPr>
          <w:p>
            <w:pPr>
              <w:spacing w:after="100"/>
            </w:pPr>
            <w:r>
              <w:rPr>
                <w:rFonts w:ascii="Cambria" w:cs="Cambria" w:eastAsia="Cambria" w:hAnsi="Cambria"/>
                <w:b/>
                <w:bCs/>
                <w:color w:val="1E4620"/>
                <w:sz w:val="20"/>
                <w:szCs w:val="20"/>
              </w:rPr>
              <w:t xml:space="preserve">ENTITY RELATIONSHIP OVERVIEW</w:t>
            </w:r>
          </w:p>
          <w:p>
            <w:pPr>
              <w:spacing w:after="40"/>
            </w:pPr>
            <w:r>
              <w:rPr>
                <w:rFonts w:ascii="Consolas" w:cs="Consolas" w:eastAsia="Consolas" w:hAnsi="Consolas"/>
                <w:color w:val="1E1E1E"/>
                <w:sz w:val="17"/>
                <w:szCs w:val="17"/>
              </w:rPr>
              <w:t xml:space="preserve">schools  1 ─── ∞  users</w:t>
            </w:r>
          </w:p>
          <w:p>
            <w:pPr>
              <w:spacing w:after="40"/>
            </w:pPr>
            <w:r>
              <w:rPr>
                <w:rFonts w:ascii="Consolas" w:cs="Consolas" w:eastAsia="Consolas" w:hAnsi="Consolas"/>
                <w:color w:val="1E1E1E"/>
                <w:sz w:val="17"/>
                <w:szCs w:val="17"/>
              </w:rPr>
              <w:t xml:space="preserve">schools  1 ─── ∞  students</w:t>
            </w:r>
          </w:p>
          <w:p>
            <w:pPr>
              <w:spacing w:after="40"/>
            </w:pPr>
            <w:r>
              <w:rPr>
                <w:rFonts w:ascii="Consolas" w:cs="Consolas" w:eastAsia="Consolas" w:hAnsi="Consolas"/>
                <w:color w:val="1E1E1E"/>
                <w:sz w:val="17"/>
                <w:szCs w:val="17"/>
              </w:rPr>
              <w:t xml:space="preserve">students  1 ─── ∞  attendance</w:t>
            </w:r>
          </w:p>
          <w:p>
            <w:pPr>
              <w:spacing w:after="40"/>
            </w:pPr>
            <w:r>
              <w:rPr>
                <w:rFonts w:ascii="Consolas" w:cs="Consolas" w:eastAsia="Consolas" w:hAnsi="Consolas"/>
                <w:color w:val="1E1E1E"/>
                <w:sz w:val="17"/>
                <w:szCs w:val="17"/>
              </w:rPr>
              <w:t xml:space="preserve">students  1 ─── ∞  fee_transactions</w:t>
            </w:r>
          </w:p>
          <w:p>
            <w:pPr>
              <w:spacing w:after="40"/>
            </w:pPr>
            <w:r>
              <w:rPr>
                <w:rFonts w:ascii="Consolas" w:cs="Consolas" w:eastAsia="Consolas" w:hAnsi="Consolas"/>
                <w:color w:val="1E1E1E"/>
                <w:sz w:val="17"/>
                <w:szCs w:val="17"/>
              </w:rPr>
              <w:t xml:space="preserve">users (Parents)  ∞ ─── ∞  students   via   guardians</w:t>
            </w:r>
          </w:p>
        </w:tc>
      </w:tr>
    </w:tbl>
    <w:p>
      <w:pPr>
        <w:pStyle w:val="Heading3"/>
        <w:spacing w:after="120" w:before="240"/>
      </w:pPr>
      <w:r>
        <w:rPr>
          <w:rFonts w:ascii="Cambria" w:cs="Cambria" w:eastAsia="Cambria" w:hAnsi="Cambria"/>
          <w:b/>
          <w:bCs/>
          <w:color w:val="1E1E1E"/>
          <w:sz w:val="23"/>
          <w:szCs w:val="23"/>
        </w:rPr>
        <w:t xml:space="preserve">Table: schools</w:t>
      </w:r>
    </w:p>
    <w:p>
      <w:pPr>
        <w:spacing w:after="240" w:before="60"/>
      </w:pPr>
      <w:r>
        <w:rPr>
          <w:rFonts w:ascii="Calibri" w:cs="Calibri" w:eastAsia="Calibri" w:hAnsi="Calibri"/>
          <w:i/>
          <w:iCs/>
          <w:color w:val="595959"/>
          <w:sz w:val="18"/>
          <w:szCs w:val="18"/>
        </w:rPr>
        <w:t xml:space="preserve">Tracks distinct educational tenants on the shared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660"/>
      </w:tblGrid>
      <w:tr>
        <w:trPr>
          <w:tblHeader/>
        </w:trPr>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Column</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Type</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Constraints</w:t>
            </w:r>
          </w:p>
        </w:tc>
        <w:tc>
          <w:tcPr>
            <w:tcW w:type="dxa" w:w="46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PRIMARY KEY</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Unique system tenant identifier.</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name</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VARCHAR(200)</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 NULL</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Official legal school name.</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subscription_plan</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ENUM</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 NULL</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Service tier: basic, standard, premium.</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settings</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JSONB</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Configuration store: term windows, custom operational parameters.</w:t>
            </w:r>
          </w:p>
        </w:tc>
      </w:tr>
    </w:tbl>
    <w:p>
      <w:pPr>
        <w:pStyle w:val="Heading3"/>
        <w:spacing w:after="120" w:before="240"/>
      </w:pPr>
      <w:r>
        <w:rPr>
          <w:rFonts w:ascii="Cambria" w:cs="Cambria" w:eastAsia="Cambria" w:hAnsi="Cambria"/>
          <w:b/>
          <w:bCs/>
          <w:color w:val="1E1E1E"/>
          <w:sz w:val="23"/>
          <w:szCs w:val="23"/>
        </w:rPr>
        <w:t xml:space="preserve">Table: users</w:t>
      </w:r>
    </w:p>
    <w:p>
      <w:pPr>
        <w:spacing w:after="240" w:before="60"/>
      </w:pPr>
      <w:r>
        <w:rPr>
          <w:rFonts w:ascii="Calibri" w:cs="Calibri" w:eastAsia="Calibri" w:hAnsi="Calibri"/>
          <w:i/>
          <w:iCs/>
          <w:color w:val="595959"/>
          <w:sz w:val="18"/>
          <w:szCs w:val="18"/>
        </w:rPr>
        <w:t xml:space="preserve">Stores identity profiles for both operational staff and parent access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660"/>
      </w:tblGrid>
      <w:tr>
        <w:trPr>
          <w:tblHeader/>
        </w:trPr>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Column</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Type</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Constraints</w:t>
            </w:r>
          </w:p>
        </w:tc>
        <w:tc>
          <w:tcPr>
            <w:tcW w:type="dxa" w:w="46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PRIMARY KEY</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Unique user identity identifier.</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school_id</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FK → schools</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Multi-tenancy isolation boundary.</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phone</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VARCHAR(20)</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UNIQUE</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Core login credential across roles.</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role</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ENUM</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 NULL</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Permissions: principal, deputy, teacher, bursar, parent.</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password_hash</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VARCHAR</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NULLABLE</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Required for staff; null for OTP-only parents.</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class_assigned</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VARCHAR</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NULLABLE</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Tracked for class teachers.</w:t>
            </w:r>
          </w:p>
        </w:tc>
      </w:tr>
    </w:tbl>
    <w:p>
      <w:pPr>
        <w:pStyle w:val="Heading3"/>
        <w:spacing w:after="120" w:before="240"/>
      </w:pPr>
      <w:r>
        <w:rPr>
          <w:rFonts w:ascii="Cambria" w:cs="Cambria" w:eastAsia="Cambria" w:hAnsi="Cambria"/>
          <w:b/>
          <w:bCs/>
          <w:color w:val="1E1E1E"/>
          <w:sz w:val="23"/>
          <w:szCs w:val="23"/>
        </w:rPr>
        <w:t xml:space="preserve">Table: students</w:t>
      </w:r>
    </w:p>
    <w:p>
      <w:pPr>
        <w:spacing w:after="240" w:before="60"/>
      </w:pPr>
      <w:r>
        <w:rPr>
          <w:rFonts w:ascii="Calibri" w:cs="Calibri" w:eastAsia="Calibri" w:hAnsi="Calibri"/>
          <w:i/>
          <w:iCs/>
          <w:color w:val="595959"/>
          <w:sz w:val="18"/>
          <w:szCs w:val="18"/>
        </w:rPr>
        <w:t xml:space="preserve">Core database profiles for individual learners.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660"/>
      </w:tblGrid>
      <w:tr>
        <w:trPr>
          <w:tblHeader/>
        </w:trPr>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Column</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Type</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Constraints</w:t>
            </w:r>
          </w:p>
        </w:tc>
        <w:tc>
          <w:tcPr>
            <w:tcW w:type="dxa" w:w="46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PRIMARY KEY</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Unique learner identifier.</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school_id</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FK → schools</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Multi-tenancy isolation boundary.</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adm_number</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VARCHAR(30)</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UNIQUE per tenant</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School admission code (e.g., 2024/001).</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full_name</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VARCHAR(100)</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 NULL</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Complete legal name.</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class_id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FK → classes</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Active academic stream placement.</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status</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ENUM</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DEFAULT active</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Operational states: active, transferred, alumni, suspended.</w:t>
            </w:r>
          </w:p>
        </w:tc>
      </w:tr>
    </w:tbl>
    <w:p>
      <w:pPr>
        <w:pStyle w:val="Heading3"/>
        <w:spacing w:after="120" w:before="240"/>
      </w:pPr>
      <w:r>
        <w:rPr>
          <w:rFonts w:ascii="Cambria" w:cs="Cambria" w:eastAsia="Cambria" w:hAnsi="Cambria"/>
          <w:b/>
          <w:bCs/>
          <w:color w:val="1E1E1E"/>
          <w:sz w:val="23"/>
          <w:szCs w:val="23"/>
        </w:rPr>
        <w:t xml:space="preserve">Table: guardians</w:t>
      </w:r>
    </w:p>
    <w:p>
      <w:pPr>
        <w:spacing w:after="240" w:before="60"/>
      </w:pPr>
      <w:r>
        <w:rPr>
          <w:rFonts w:ascii="Calibri" w:cs="Calibri" w:eastAsia="Calibri" w:hAnsi="Calibri"/>
          <w:i/>
          <w:iCs/>
          <w:color w:val="595959"/>
          <w:sz w:val="18"/>
          <w:szCs w:val="18"/>
        </w:rPr>
        <w:t xml:space="preserve">Maps the many-to-many relationships between parent user accounts and students.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660"/>
      </w:tblGrid>
      <w:tr>
        <w:trPr>
          <w:tblHeader/>
        </w:trPr>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Column</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Type</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Constraints</w:t>
            </w:r>
          </w:p>
        </w:tc>
        <w:tc>
          <w:tcPr>
            <w:tcW w:type="dxa" w:w="46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student_id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FK → students</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Linked learner identifier.</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user_id</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FK → users</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Linked parent security profile.</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type</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ENUM</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 NULL</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Family role classification: primary, secondary, emergency.</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can_pay</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BOOLEAN</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DEFAULT true</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Flags permissions to view ledger billing layouts.</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receives_sms</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BOOLEAN</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DEFAULT true</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Flags status for automated outbound notification routing.</w:t>
            </w:r>
          </w:p>
        </w:tc>
      </w:tr>
    </w:tbl>
    <w:p>
      <w:pPr>
        <w:pStyle w:val="Heading3"/>
        <w:spacing w:after="120" w:before="240"/>
      </w:pPr>
      <w:r>
        <w:rPr>
          <w:rFonts w:ascii="Cambria" w:cs="Cambria" w:eastAsia="Cambria" w:hAnsi="Cambria"/>
          <w:b/>
          <w:bCs/>
          <w:color w:val="1E1E1E"/>
          <w:sz w:val="23"/>
          <w:szCs w:val="23"/>
        </w:rPr>
        <w:t xml:space="preserve">Table: attendance</w:t>
      </w:r>
    </w:p>
    <w:p>
      <w:pPr>
        <w:spacing w:after="240" w:before="60"/>
      </w:pPr>
      <w:r>
        <w:rPr>
          <w:rFonts w:ascii="Calibri" w:cs="Calibri" w:eastAsia="Calibri" w:hAnsi="Calibri"/>
          <w:i/>
          <w:iCs/>
          <w:color w:val="595959"/>
          <w:sz w:val="18"/>
          <w:szCs w:val="18"/>
        </w:rPr>
        <w:t xml:space="preserve">Tracks daily student presence and maintains security verification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660"/>
      </w:tblGrid>
      <w:tr>
        <w:trPr>
          <w:tblHeader/>
        </w:trPr>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Column</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Type</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Constraints</w:t>
            </w:r>
          </w:p>
        </w:tc>
        <w:tc>
          <w:tcPr>
            <w:tcW w:type="dxa" w:w="46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student_id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FK → students</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Target learner identifier.</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date</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DATE</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 NULL</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Specific calendar tracking date.</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status</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ENUM</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 NULL</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State classification: present, absent, late.</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marked_by</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FK → users</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Submitting teacher profile link.</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marked_at</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TIMESTAMP</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 NULL</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Immutable transaction timestamp from server.</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edited</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BOOLEAN</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DEFAULT false</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System flag for post-save modifications.</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edit_reason</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TEXT</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NULLABLE</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Required explanation for any post-save alterations.</w:t>
            </w:r>
          </w:p>
        </w:tc>
      </w:tr>
    </w:tbl>
    <w:p>
      <w:pPr>
        <w:pStyle w:val="Heading3"/>
        <w:spacing w:after="120" w:before="240"/>
      </w:pPr>
      <w:r>
        <w:rPr>
          <w:rFonts w:ascii="Cambria" w:cs="Cambria" w:eastAsia="Cambria" w:hAnsi="Cambria"/>
          <w:b/>
          <w:bCs/>
          <w:color w:val="1E1E1E"/>
          <w:sz w:val="23"/>
          <w:szCs w:val="23"/>
        </w:rPr>
        <w:t xml:space="preserve">Table: fee_transactions</w:t>
      </w:r>
    </w:p>
    <w:p>
      <w:pPr>
        <w:spacing w:after="240" w:before="60"/>
      </w:pPr>
      <w:r>
        <w:rPr>
          <w:rFonts w:ascii="Calibri" w:cs="Calibri" w:eastAsia="Calibri" w:hAnsi="Calibri"/>
          <w:i/>
          <w:iCs/>
          <w:color w:val="595959"/>
          <w:sz w:val="18"/>
          <w:szCs w:val="18"/>
        </w:rPr>
        <w:t xml:space="preserve">Maintains financial ledger entries for school billing and collections.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660"/>
      </w:tblGrid>
      <w:tr>
        <w:trPr>
          <w:tblHeader/>
        </w:trPr>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Column</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Type</w:t>
            </w:r>
          </w:p>
        </w:tc>
        <w:tc>
          <w:tcPr>
            <w:tcW w:type="dxa" w:w="17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Constraints</w:t>
            </w:r>
          </w:p>
        </w:tc>
        <w:tc>
          <w:tcPr>
            <w:tcW w:type="dxa" w:w="46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student_id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FK → students</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Target learner ledger link.</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amount</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DECIMAL(10,2)</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 NULL</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Transaction value in KES.</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payment_method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ENUM</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 NULL</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Channels: mpesa, bank, bursary, cash.</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reference</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VARCHAR(50)</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UNIQUE</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Unique confirmation key (M-Pesa ID, bank receipt, check code).</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term</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VARCHAR(20)</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NOT NULL</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Target billing semester tag (e.g., 2026-T1).</w:t>
            </w:r>
          </w:p>
        </w:tc>
      </w:tr>
      <w:tr>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is_split</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BOOLEAN</w:t>
            </w:r>
          </w:p>
        </w:tc>
        <w:tc>
          <w:tcPr>
            <w:tcW w:type="dxa" w:w="17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DEFAULT false</w:t>
            </w:r>
          </w:p>
        </w:tc>
        <w:tc>
          <w:tcPr>
            <w:tcW w:type="dxa" w:w="4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Identifies multi-child transaction distributions.</w:t>
            </w:r>
          </w:p>
        </w:tc>
      </w:tr>
      <w:tr>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parent_txn_id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UUID</w:t>
            </w:r>
          </w:p>
        </w:tc>
        <w:tc>
          <w:tcPr>
            <w:tcW w:type="dxa" w:w="17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FK self (NULLABLE)</w:t>
            </w:r>
          </w:p>
        </w:tc>
        <w:tc>
          <w:tcPr>
            <w:tcW w:type="dxa" w:w="4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Links child allocations back to the main source payment.</w:t>
            </w:r>
          </w:p>
        </w:tc>
      </w:tr>
    </w:tbl>
    <w:p>
      <w:r>
        <w:br w:type="page"/>
      </w:r>
    </w:p>
    <w:p>
      <w:pPr>
        <w:pStyle w:val="Heading1"/>
        <w:pBdr>
          <w:bottom w:val="single" w:color="1E4620" w:sz="12" w:space="6"/>
        </w:pBdr>
        <w:spacing w:after="200" w:before="420"/>
      </w:pPr>
      <w:r>
        <w:rPr>
          <w:rFonts w:ascii="Cambria" w:cs="Cambria" w:eastAsia="Cambria" w:hAnsi="Cambria"/>
          <w:b/>
          <w:bCs/>
          <w:color w:val="1E4620"/>
          <w:sz w:val="32"/>
          <w:szCs w:val="32"/>
        </w:rPr>
        <w:t xml:space="preserve">6. Access Control Security</w:t>
      </w:r>
    </w:p>
    <w:p>
      <w:pPr>
        <w:spacing w:after="160" w:line="276"/>
      </w:pPr>
      <w:r>
        <w:rPr>
          <w:rFonts w:ascii="Calibri" w:cs="Calibri" w:eastAsia="Calibri" w:hAnsi="Calibri"/>
          <w:color w:val="1E1E1E"/>
          <w:sz w:val="21"/>
          <w:szCs w:val="21"/>
        </w:rPr>
        <w:t xml:space="preserve">The system uses server-side middleware to enforce strict role-based access controls (RBAC) at the API level, rather than relying on UI-level visibility toggles.</w:t>
      </w:r>
    </w:p>
    <w:p>
      <w:pPr>
        <w:pStyle w:val="Heading3"/>
        <w:spacing w:after="120" w:before="240"/>
      </w:pPr>
      <w:r>
        <w:rPr>
          <w:rFonts w:ascii="Cambria" w:cs="Cambria" w:eastAsia="Cambria" w:hAnsi="Cambria"/>
          <w:b/>
          <w:bCs/>
          <w:color w:val="1E1E1E"/>
          <w:sz w:val="23"/>
          <w:szCs w:val="23"/>
        </w:rPr>
        <w:t xml:space="preserve">Access Matrix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60"/>
        <w:gridCol w:w="1580"/>
        <w:gridCol w:w="1580"/>
        <w:gridCol w:w="1780"/>
        <w:gridCol w:w="1450"/>
        <w:gridCol w:w="1610"/>
      </w:tblGrid>
      <w:tr>
        <w:trPr>
          <w:tblHeader/>
        </w:trPr>
        <w:tc>
          <w:tcPr>
            <w:tcW w:type="dxa" w:w="16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Module</w:t>
            </w:r>
          </w:p>
        </w:tc>
        <w:tc>
          <w:tcPr>
            <w:tcW w:type="dxa" w:w="158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Principal</w:t>
            </w:r>
          </w:p>
        </w:tc>
        <w:tc>
          <w:tcPr>
            <w:tcW w:type="dxa" w:w="158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Deputy</w:t>
            </w:r>
          </w:p>
        </w:tc>
        <w:tc>
          <w:tcPr>
            <w:tcW w:type="dxa" w:w="178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Teacher</w:t>
            </w:r>
          </w:p>
        </w:tc>
        <w:tc>
          <w:tcPr>
            <w:tcW w:type="dxa" w:w="145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Bursar</w:t>
            </w:r>
          </w:p>
        </w:tc>
        <w:tc>
          <w:tcPr>
            <w:tcW w:type="dxa" w:w="161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Parent</w:t>
            </w:r>
          </w:p>
        </w:tc>
      </w:tr>
      <w:tr>
        <w:tc>
          <w:tcPr>
            <w:tcW w:type="dxa" w:w="1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Management Views</w:t>
            </w:r>
          </w:p>
        </w:tc>
        <w:tc>
          <w:tcPr>
            <w:tcW w:type="dxa" w:w="15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Access</w:t>
            </w:r>
          </w:p>
        </w:tc>
        <w:tc>
          <w:tcPr>
            <w:tcW w:type="dxa" w:w="15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Access</w:t>
            </w:r>
          </w:p>
        </w:tc>
        <w:tc>
          <w:tcPr>
            <w:tcW w:type="dxa" w:w="17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Assigned Class Only</w:t>
            </w:r>
          </w:p>
        </w:tc>
        <w:tc>
          <w:tcPr>
            <w:tcW w:type="dxa" w:w="145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Financial Views Only</w:t>
            </w:r>
          </w:p>
        </w:tc>
        <w:tc>
          <w:tcPr>
            <w:tcW w:type="dxa" w:w="161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Linked Children Only</w:t>
            </w:r>
          </w:p>
        </w:tc>
      </w:tr>
      <w:tr>
        <w:tc>
          <w:tcPr>
            <w:tcW w:type="dxa" w:w="1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Student Profiles</w:t>
            </w:r>
          </w:p>
        </w:tc>
        <w:tc>
          <w:tcPr>
            <w:tcW w:type="dxa" w:w="158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CRUD</w:t>
            </w:r>
          </w:p>
        </w:tc>
        <w:tc>
          <w:tcPr>
            <w:tcW w:type="dxa" w:w="158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View + Modify</w:t>
            </w:r>
          </w:p>
        </w:tc>
        <w:tc>
          <w:tcPr>
            <w:tcW w:type="dxa" w:w="178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Assigned Class Only</w:t>
            </w:r>
          </w:p>
        </w:tc>
        <w:tc>
          <w:tcPr>
            <w:tcW w:type="dxa" w:w="145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View-Only</w:t>
            </w:r>
          </w:p>
        </w:tc>
        <w:tc>
          <w:tcPr>
            <w:tcW w:type="dxa" w:w="161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Linked Children Only</w:t>
            </w:r>
          </w:p>
        </w:tc>
      </w:tr>
      <w:tr>
        <w:tc>
          <w:tcPr>
            <w:tcW w:type="dxa" w:w="1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Attendance Flows</w:t>
            </w:r>
          </w:p>
        </w:tc>
        <w:tc>
          <w:tcPr>
            <w:tcW w:type="dxa" w:w="15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 Override</w:t>
            </w:r>
          </w:p>
        </w:tc>
        <w:tc>
          <w:tcPr>
            <w:tcW w:type="dxa" w:w="15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 Override</w:t>
            </w:r>
          </w:p>
        </w:tc>
        <w:tc>
          <w:tcPr>
            <w:tcW w:type="dxa" w:w="17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Class Specific Only</w:t>
            </w:r>
          </w:p>
        </w:tc>
        <w:tc>
          <w:tcPr>
            <w:tcW w:type="dxa" w:w="145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 Access</w:t>
            </w:r>
          </w:p>
        </w:tc>
        <w:tc>
          <w:tcPr>
            <w:tcW w:type="dxa" w:w="161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Historical View Only</w:t>
            </w:r>
          </w:p>
        </w:tc>
      </w:tr>
      <w:tr>
        <w:tc>
          <w:tcPr>
            <w:tcW w:type="dxa" w:w="1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Financial Ledgers</w:t>
            </w:r>
          </w:p>
        </w:tc>
        <w:tc>
          <w:tcPr>
            <w:tcW w:type="dxa" w:w="158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Access</w:t>
            </w:r>
          </w:p>
        </w:tc>
        <w:tc>
          <w:tcPr>
            <w:tcW w:type="dxa" w:w="158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View-Only</w:t>
            </w:r>
          </w:p>
        </w:tc>
        <w:tc>
          <w:tcPr>
            <w:tcW w:type="dxa" w:w="178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 Access</w:t>
            </w:r>
          </w:p>
        </w:tc>
        <w:tc>
          <w:tcPr>
            <w:tcW w:type="dxa" w:w="145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CRUD</w:t>
            </w:r>
          </w:p>
        </w:tc>
        <w:tc>
          <w:tcPr>
            <w:tcW w:type="dxa" w:w="161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View Statements + Pay</w:t>
            </w:r>
          </w:p>
        </w:tc>
      </w:tr>
      <w:tr>
        <w:tc>
          <w:tcPr>
            <w:tcW w:type="dxa" w:w="1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Academic Records</w:t>
            </w:r>
          </w:p>
        </w:tc>
        <w:tc>
          <w:tcPr>
            <w:tcW w:type="dxa" w:w="15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Access</w:t>
            </w:r>
          </w:p>
        </w:tc>
        <w:tc>
          <w:tcPr>
            <w:tcW w:type="dxa" w:w="15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Access</w:t>
            </w:r>
          </w:p>
        </w:tc>
        <w:tc>
          <w:tcPr>
            <w:tcW w:type="dxa" w:w="17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Assigned Subjects Only</w:t>
            </w:r>
          </w:p>
        </w:tc>
        <w:tc>
          <w:tcPr>
            <w:tcW w:type="dxa" w:w="145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 Access</w:t>
            </w:r>
          </w:p>
        </w:tc>
        <w:tc>
          <w:tcPr>
            <w:tcW w:type="dxa" w:w="161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Historical View Only</w:t>
            </w:r>
          </w:p>
        </w:tc>
      </w:tr>
      <w:tr>
        <w:tc>
          <w:tcPr>
            <w:tcW w:type="dxa" w:w="16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Discipline Records</w:t>
            </w:r>
          </w:p>
        </w:tc>
        <w:tc>
          <w:tcPr>
            <w:tcW w:type="dxa" w:w="158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Access</w:t>
            </w:r>
          </w:p>
        </w:tc>
        <w:tc>
          <w:tcPr>
            <w:tcW w:type="dxa" w:w="158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CRUD</w:t>
            </w:r>
          </w:p>
        </w:tc>
        <w:tc>
          <w:tcPr>
            <w:tcW w:type="dxa" w:w="178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Log + View Class Only</w:t>
            </w:r>
          </w:p>
        </w:tc>
        <w:tc>
          <w:tcPr>
            <w:tcW w:type="dxa" w:w="145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 Access</w:t>
            </w:r>
          </w:p>
        </w:tc>
        <w:tc>
          <w:tcPr>
            <w:tcW w:type="dxa" w:w="161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Linked Children Only</w:t>
            </w:r>
          </w:p>
        </w:tc>
      </w:tr>
      <w:tr>
        <w:tc>
          <w:tcPr>
            <w:tcW w:type="dxa" w:w="16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Staff Configuration</w:t>
            </w:r>
          </w:p>
        </w:tc>
        <w:tc>
          <w:tcPr>
            <w:tcW w:type="dxa" w:w="15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CRUD</w:t>
            </w:r>
          </w:p>
        </w:tc>
        <w:tc>
          <w:tcPr>
            <w:tcW w:type="dxa" w:w="15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View-Only</w:t>
            </w:r>
          </w:p>
        </w:tc>
        <w:tc>
          <w:tcPr>
            <w:tcW w:type="dxa" w:w="178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 Access</w:t>
            </w:r>
          </w:p>
        </w:tc>
        <w:tc>
          <w:tcPr>
            <w:tcW w:type="dxa" w:w="145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 Access</w:t>
            </w:r>
          </w:p>
        </w:tc>
        <w:tc>
          <w:tcPr>
            <w:tcW w:type="dxa" w:w="161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No Access</w:t>
            </w:r>
          </w:p>
        </w:tc>
      </w:tr>
    </w:tbl>
    <w:p>
      <w:r>
        <w:br w:type="page"/>
      </w:r>
    </w:p>
    <w:p>
      <w:pPr>
        <w:pStyle w:val="Heading1"/>
        <w:pBdr>
          <w:bottom w:val="single" w:color="1E4620" w:sz="12" w:space="6"/>
        </w:pBdr>
        <w:spacing w:after="200" w:before="420"/>
      </w:pPr>
      <w:r>
        <w:rPr>
          <w:rFonts w:ascii="Cambria" w:cs="Cambria" w:eastAsia="Cambria" w:hAnsi="Cambria"/>
          <w:b/>
          <w:bCs/>
          <w:color w:val="1E4620"/>
          <w:sz w:val="32"/>
          <w:szCs w:val="32"/>
        </w:rPr>
        <w:t xml:space="preserve">7. Commercial Model &amp; Market Execution Strategy</w:t>
      </w:r>
    </w:p>
    <w:p>
      <w:pPr>
        <w:pStyle w:val="Heading2"/>
        <w:spacing w:after="160" w:before="320"/>
      </w:pPr>
      <w:r>
        <w:rPr>
          <w:rFonts w:ascii="Cambria" w:cs="Cambria" w:eastAsia="Cambria" w:hAnsi="Cambria"/>
          <w:b/>
          <w:bCs/>
          <w:color w:val="1E4620"/>
          <w:sz w:val="26"/>
          <w:szCs w:val="26"/>
        </w:rPr>
        <w:t xml:space="preserve">7.1  Subscription Tiers</w:t>
      </w:r>
    </w:p>
    <w:p>
      <w:pPr>
        <w:spacing w:after="160" w:line="276"/>
      </w:pPr>
      <w:r>
        <w:rPr>
          <w:rFonts w:ascii="Calibri" w:cs="Calibri" w:eastAsia="Calibri" w:hAnsi="Calibri"/>
          <w:color w:val="1E1E1E"/>
          <w:sz w:val="21"/>
          <w:szCs w:val="21"/>
        </w:rPr>
        <w:t xml:space="preserve">SchoolPulse uses a transparent, flat-rate monthly SaaS pricing structure that avoids per-student pricing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500"/>
        <w:gridCol w:w="1500"/>
        <w:gridCol w:w="3160"/>
      </w:tblGrid>
      <w:tr>
        <w:trPr>
          <w:tblHeader/>
        </w:trPr>
        <w:tc>
          <w:tcPr>
            <w:tcW w:type="dxa" w:w="14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Tier</w:t>
            </w:r>
          </w:p>
        </w:tc>
        <w:tc>
          <w:tcPr>
            <w:tcW w:type="dxa" w:w="20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School Size</w:t>
            </w:r>
          </w:p>
        </w:tc>
        <w:tc>
          <w:tcPr>
            <w:tcW w:type="dxa" w:w="15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Monthly (KES)</w:t>
            </w:r>
          </w:p>
        </w:tc>
        <w:tc>
          <w:tcPr>
            <w:tcW w:type="dxa" w:w="15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Termly (KES)</w:t>
            </w:r>
          </w:p>
        </w:tc>
        <w:tc>
          <w:tcPr>
            <w:tcW w:type="dxa" w:w="31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Core Inclusions</w:t>
            </w:r>
          </w:p>
        </w:tc>
      </w:tr>
      <w:tr>
        <w:tc>
          <w:tcPr>
            <w:tcW w:type="dxa" w:w="14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Starter</w:t>
            </w:r>
          </w:p>
        </w:tc>
        <w:tc>
          <w:tcPr>
            <w:tcW w:type="dxa" w:w="20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Up to 200 Students</w:t>
            </w:r>
          </w:p>
        </w:tc>
        <w:tc>
          <w:tcPr>
            <w:tcW w:type="dxa" w:w="15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3,000</w:t>
            </w:r>
          </w:p>
        </w:tc>
        <w:tc>
          <w:tcPr>
            <w:tcW w:type="dxa" w:w="15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8,500</w:t>
            </w:r>
          </w:p>
        </w:tc>
        <w:tc>
          <w:tcPr>
            <w:tcW w:type="dxa" w:w="31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All core modules, 200 free SMS/month.</w:t>
            </w:r>
          </w:p>
        </w:tc>
      </w:tr>
      <w:tr>
        <w:tc>
          <w:tcPr>
            <w:tcW w:type="dxa" w:w="14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Growth</w:t>
            </w:r>
          </w:p>
        </w:tc>
        <w:tc>
          <w:tcPr>
            <w:tcW w:type="dxa" w:w="20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201–600 Students</w:t>
            </w:r>
          </w:p>
        </w:tc>
        <w:tc>
          <w:tcPr>
            <w:tcW w:type="dxa" w:w="15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6,500</w:t>
            </w:r>
          </w:p>
        </w:tc>
        <w:tc>
          <w:tcPr>
            <w:tcW w:type="dxa" w:w="15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18,000</w:t>
            </w:r>
          </w:p>
        </w:tc>
        <w:tc>
          <w:tcPr>
            <w:tcW w:type="dxa" w:w="31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module suite, 600 SMS credits, priority support.</w:t>
            </w:r>
          </w:p>
        </w:tc>
      </w:tr>
      <w:tr>
        <w:tc>
          <w:tcPr>
            <w:tcW w:type="dxa" w:w="14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Pro</w:t>
            </w:r>
          </w:p>
        </w:tc>
        <w:tc>
          <w:tcPr>
            <w:tcW w:type="dxa" w:w="20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601–1,500 Students</w:t>
            </w:r>
          </w:p>
        </w:tc>
        <w:tc>
          <w:tcPr>
            <w:tcW w:type="dxa" w:w="15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12,000</w:t>
            </w:r>
          </w:p>
        </w:tc>
        <w:tc>
          <w:tcPr>
            <w:tcW w:type="dxa" w:w="15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32,000</w:t>
            </w:r>
          </w:p>
        </w:tc>
        <w:tc>
          <w:tcPr>
            <w:tcW w:type="dxa" w:w="31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features, 1,500 SMS, automated WhatsApp, analytics.</w:t>
            </w:r>
          </w:p>
        </w:tc>
      </w:tr>
      <w:tr>
        <w:tc>
          <w:tcPr>
            <w:tcW w:type="dxa" w:w="14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Enterprise</w:t>
            </w:r>
          </w:p>
        </w:tc>
        <w:tc>
          <w:tcPr>
            <w:tcW w:type="dxa" w:w="20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1,500+ Students</w:t>
            </w:r>
          </w:p>
        </w:tc>
        <w:tc>
          <w:tcPr>
            <w:tcW w:type="dxa" w:w="15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Custom</w:t>
            </w:r>
          </w:p>
        </w:tc>
        <w:tc>
          <w:tcPr>
            <w:tcW w:type="dxa" w:w="15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Custom</w:t>
            </w:r>
          </w:p>
        </w:tc>
        <w:tc>
          <w:tcPr>
            <w:tcW w:type="dxa" w:w="31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Dedicated single-tenant DB, bespoke reporting, premium SLA.</w:t>
            </w:r>
          </w:p>
        </w:tc>
      </w:tr>
    </w:tbl>
    <w:p>
      <w:pPr>
        <w:pStyle w:val="Heading2"/>
        <w:spacing w:after="160" w:before="320"/>
      </w:pPr>
      <w:r>
        <w:rPr>
          <w:rFonts w:ascii="Cambria" w:cs="Cambria" w:eastAsia="Cambria" w:hAnsi="Cambria"/>
          <w:b/>
          <w:bCs/>
          <w:color w:val="1E4620"/>
          <w:sz w:val="26"/>
          <w:szCs w:val="26"/>
        </w:rPr>
        <w:t xml:space="preserve">7.2  Guided Implementation Framework</w:t>
      </w:r>
    </w:p>
    <w:p>
      <w:pPr>
        <w:spacing w:after="160" w:line="276"/>
      </w:pPr>
      <w:r>
        <w:rPr>
          <w:rFonts w:ascii="Calibri" w:cs="Calibri" w:eastAsia="Calibri" w:hAnsi="Calibri"/>
          <w:color w:val="1E1E1E"/>
          <w:sz w:val="21"/>
          <w:szCs w:val="21"/>
        </w:rPr>
        <w:t xml:space="preserve">The onboarding process is structured to seamlessly transition schools away from paper workflows without disrupting administrative staff: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2E8B7" w:sz="4"/>
              <w:left w:val="single" w:color="1E4620" w:sz="24"/>
              <w:bottom w:val="single" w:color="A2E8B7" w:sz="4"/>
              <w:right w:val="single" w:color="A2E8B7" w:sz="4"/>
            </w:tcBorders>
            <w:shd w:fill="E8F7ED" w:color="auto" w:val="clear"/>
            <w:tcMar>
              <w:top w:type="dxa" w:w="180"/>
              <w:left w:type="dxa" w:w="240"/>
              <w:bottom w:type="dxa" w:w="180"/>
              <w:right w:type="dxa" w:w="240"/>
            </w:tcMar>
          </w:tcPr>
          <w:p>
            <w:pPr>
              <w:spacing w:after="100"/>
            </w:pPr>
            <w:r>
              <w:rPr>
                <w:rFonts w:ascii="Cambria" w:cs="Cambria" w:eastAsia="Cambria" w:hAnsi="Cambria"/>
                <w:b/>
                <w:bCs/>
                <w:color w:val="1E4620"/>
                <w:sz w:val="20"/>
                <w:szCs w:val="20"/>
              </w:rPr>
              <w:t xml:space="preserve">ONBOARDING SEQUENCE</w:t>
            </w:r>
          </w:p>
          <w:p>
            <w:pPr>
              <w:spacing w:after="40"/>
            </w:pPr>
            <w:r>
              <w:rPr>
                <w:rFonts w:ascii="Consolas" w:cs="Consolas" w:eastAsia="Consolas" w:hAnsi="Consolas"/>
                <w:color w:val="1E1E1E"/>
                <w:sz w:val="17"/>
                <w:szCs w:val="17"/>
              </w:rPr>
              <w:t xml:space="preserve">1. School Profile Setup  →  2. Academic Year Configuration  →  3. Stream Setup</w:t>
            </w:r>
          </w:p>
          <w:p>
            <w:pPr>
              <w:spacing w:after="40"/>
            </w:pPr>
            <w:r>
              <w:rPr>
                <w:rFonts w:ascii="Consolas" w:cs="Consolas" w:eastAsia="Consolas" w:hAnsi="Consolas"/>
                <w:color w:val="1E1E1E"/>
                <w:sz w:val="17"/>
                <w:szCs w:val="17"/>
              </w:rPr>
              <w:t xml:space="preserve">4. Staff Mapping  →  5. Student Data Import  →  6. Fee Structure Entry</w:t>
            </w:r>
          </w:p>
          <w:p>
            <w:pPr>
              <w:spacing w:after="40"/>
            </w:pPr>
            <w:r>
              <w:rPr>
                <w:rFonts w:ascii="Consolas" w:cs="Consolas" w:eastAsia="Consolas" w:hAnsi="Consolas"/>
                <w:color w:val="1E1E1E"/>
                <w:sz w:val="17"/>
                <w:szCs w:val="17"/>
              </w:rPr>
              <w:t xml:space="preserve">7. Opening Balance Logs  →  8. Roll Call Activation  →  9. Live System Rollout</w:t>
            </w:r>
          </w:p>
        </w:tc>
      </w:tr>
    </w:tbl>
    <w:p>
      <w:pPr>
        <w:pStyle w:val="Heading2"/>
        <w:spacing w:after="160" w:before="320"/>
      </w:pPr>
      <w:r>
        <w:rPr>
          <w:rFonts w:ascii="Cambria" w:cs="Cambria" w:eastAsia="Cambria" w:hAnsi="Cambria"/>
          <w:b/>
          <w:bCs/>
          <w:color w:val="1E4620"/>
          <w:sz w:val="26"/>
          <w:szCs w:val="26"/>
        </w:rPr>
        <w:t xml:space="preserve">7.3  Financial Projections (3-Year Conservative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400"/>
        <w:gridCol w:w="2000"/>
        <w:gridCol w:w="2260"/>
      </w:tblGrid>
      <w:tr>
        <w:trPr>
          <w:tblHeader/>
        </w:trPr>
        <w:tc>
          <w:tcPr>
            <w:tcW w:type="dxa" w:w="15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Timeline</w:t>
            </w:r>
          </w:p>
        </w:tc>
        <w:tc>
          <w:tcPr>
            <w:tcW w:type="dxa" w:w="14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Active Inst.</w:t>
            </w:r>
          </w:p>
        </w:tc>
        <w:tc>
          <w:tcPr>
            <w:tcW w:type="dxa" w:w="24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Plan Mix</w:t>
            </w:r>
          </w:p>
        </w:tc>
        <w:tc>
          <w:tcPr>
            <w:tcW w:type="dxa" w:w="20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Monthly Rev. (KES)</w:t>
            </w:r>
          </w:p>
        </w:tc>
        <w:tc>
          <w:tcPr>
            <w:tcW w:type="dxa" w:w="22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Annualized (KES)</w:t>
            </w:r>
          </w:p>
        </w:tc>
      </w:tr>
      <w:tr>
        <w:tc>
          <w:tcPr>
            <w:tcW w:type="dxa" w:w="15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Month 6</w:t>
            </w:r>
          </w:p>
        </w:tc>
        <w:tc>
          <w:tcPr>
            <w:tcW w:type="dxa" w:w="14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5</w:t>
            </w:r>
          </w:p>
        </w:tc>
        <w:tc>
          <w:tcPr>
            <w:tcW w:type="dxa" w:w="24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Starter Tiers</w:t>
            </w:r>
          </w:p>
        </w:tc>
        <w:tc>
          <w:tcPr>
            <w:tcW w:type="dxa" w:w="20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15,000</w:t>
            </w:r>
          </w:p>
        </w:tc>
        <w:tc>
          <w:tcPr>
            <w:tcW w:type="dxa" w:w="22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180,000</w:t>
            </w:r>
          </w:p>
        </w:tc>
      </w:tr>
      <w:tr>
        <w:tc>
          <w:tcPr>
            <w:tcW w:type="dxa" w:w="15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Month 12</w:t>
            </w:r>
          </w:p>
        </w:tc>
        <w:tc>
          <w:tcPr>
            <w:tcW w:type="dxa" w:w="14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20</w:t>
            </w:r>
          </w:p>
        </w:tc>
        <w:tc>
          <w:tcPr>
            <w:tcW w:type="dxa" w:w="24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Mixed Starter/Growth</w:t>
            </w:r>
          </w:p>
        </w:tc>
        <w:tc>
          <w:tcPr>
            <w:tcW w:type="dxa" w:w="20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100,000</w:t>
            </w:r>
          </w:p>
        </w:tc>
        <w:tc>
          <w:tcPr>
            <w:tcW w:type="dxa" w:w="22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1,200,000</w:t>
            </w:r>
          </w:p>
        </w:tc>
      </w:tr>
      <w:tr>
        <w:tc>
          <w:tcPr>
            <w:tcW w:type="dxa" w:w="15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Month 18</w:t>
            </w:r>
          </w:p>
        </w:tc>
        <w:tc>
          <w:tcPr>
            <w:tcW w:type="dxa" w:w="14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60</w:t>
            </w:r>
          </w:p>
        </w:tc>
        <w:tc>
          <w:tcPr>
            <w:tcW w:type="dxa" w:w="24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Growth Dominant</w:t>
            </w:r>
          </w:p>
        </w:tc>
        <w:tc>
          <w:tcPr>
            <w:tcW w:type="dxa" w:w="20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390,000</w:t>
            </w:r>
          </w:p>
        </w:tc>
        <w:tc>
          <w:tcPr>
            <w:tcW w:type="dxa" w:w="22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4,680,000</w:t>
            </w:r>
          </w:p>
        </w:tc>
      </w:tr>
      <w:tr>
        <w:tc>
          <w:tcPr>
            <w:tcW w:type="dxa" w:w="15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Month 24</w:t>
            </w:r>
          </w:p>
        </w:tc>
        <w:tc>
          <w:tcPr>
            <w:tcW w:type="dxa" w:w="14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150</w:t>
            </w:r>
          </w:p>
        </w:tc>
        <w:tc>
          <w:tcPr>
            <w:tcW w:type="dxa" w:w="24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Mixed Growth/Pro</w:t>
            </w:r>
          </w:p>
        </w:tc>
        <w:tc>
          <w:tcPr>
            <w:tcW w:type="dxa" w:w="20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1,200,000</w:t>
            </w:r>
          </w:p>
        </w:tc>
        <w:tc>
          <w:tcPr>
            <w:tcW w:type="dxa" w:w="22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14,400,000</w:t>
            </w:r>
          </w:p>
        </w:tc>
      </w:tr>
      <w:tr>
        <w:tc>
          <w:tcPr>
            <w:tcW w:type="dxa" w:w="15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Year 3</w:t>
            </w:r>
          </w:p>
        </w:tc>
        <w:tc>
          <w:tcPr>
            <w:tcW w:type="dxa" w:w="14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400</w:t>
            </w:r>
          </w:p>
        </w:tc>
        <w:tc>
          <w:tcPr>
            <w:tcW w:type="dxa" w:w="24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Full Portfolio Tier</w:t>
            </w:r>
          </w:p>
        </w:tc>
        <w:tc>
          <w:tcPr>
            <w:tcW w:type="dxa" w:w="20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3,500,000</w:t>
            </w:r>
          </w:p>
        </w:tc>
        <w:tc>
          <w:tcPr>
            <w:tcW w:type="dxa" w:w="22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42,000,000</w:t>
            </w:r>
          </w:p>
        </w:tc>
      </w:tr>
    </w:tbl>
    <w:p>
      <w:r>
        <w:br w:type="page"/>
      </w:r>
    </w:p>
    <w:p>
      <w:pPr>
        <w:pStyle w:val="Heading1"/>
        <w:pBdr>
          <w:bottom w:val="single" w:color="1E4620" w:sz="12" w:space="6"/>
        </w:pBdr>
        <w:spacing w:after="200" w:before="420"/>
      </w:pPr>
      <w:r>
        <w:rPr>
          <w:rFonts w:ascii="Cambria" w:cs="Cambria" w:eastAsia="Cambria" w:hAnsi="Cambria"/>
          <w:b/>
          <w:bCs/>
          <w:color w:val="1E4620"/>
          <w:sz w:val="32"/>
          <w:szCs w:val="32"/>
        </w:rPr>
        <w:t xml:space="preserve">8. Development Roadmap &amp; Risk Analysis</w:t>
      </w:r>
    </w:p>
    <w:p>
      <w:pPr>
        <w:pStyle w:val="Heading2"/>
        <w:spacing w:after="160" w:before="320"/>
      </w:pPr>
      <w:r>
        <w:rPr>
          <w:rFonts w:ascii="Cambria" w:cs="Cambria" w:eastAsia="Cambria" w:hAnsi="Cambria"/>
          <w:b/>
          <w:bCs/>
          <w:color w:val="1E4620"/>
          <w:sz w:val="26"/>
          <w:szCs w:val="26"/>
        </w:rPr>
        <w:t xml:space="preserve">8.1  Production Milestone Map</w:t>
      </w:r>
    </w:p>
    <w:p>
      <w:pPr>
        <w:pStyle w:val="Heading3"/>
        <w:spacing w:after="120" w:before="240"/>
      </w:pPr>
      <w:r>
        <w:rPr>
          <w:rFonts w:ascii="Cambria" w:cs="Cambria" w:eastAsia="Cambria" w:hAnsi="Cambria"/>
          <w:b/>
          <w:bCs/>
          <w:color w:val="1E1E1E"/>
          <w:sz w:val="23"/>
          <w:szCs w:val="23"/>
        </w:rPr>
        <w:t xml:space="preserve">Phase 0 (Months 1–2) — Validation Focus</w:t>
      </w:r>
    </w:p>
    <w:p>
      <w:pPr>
        <w:spacing w:after="160" w:line="276"/>
      </w:pPr>
      <w:r>
        <w:rPr>
          <w:rFonts w:ascii="Calibri" w:cs="Calibri" w:eastAsia="Calibri" w:hAnsi="Calibri"/>
          <w:color w:val="1E1E1E"/>
          <w:sz w:val="21"/>
          <w:szCs w:val="21"/>
        </w:rPr>
        <w:t xml:space="preserve">Interactive user-interface wireframing, physical validation interviews with administrators, and problem-solution market confirmation.</w:t>
      </w:r>
    </w:p>
    <w:p>
      <w:pPr>
        <w:pStyle w:val="Heading3"/>
        <w:spacing w:after="120" w:before="240"/>
      </w:pPr>
      <w:r>
        <w:rPr>
          <w:rFonts w:ascii="Cambria" w:cs="Cambria" w:eastAsia="Cambria" w:hAnsi="Cambria"/>
          <w:b/>
          <w:bCs/>
          <w:color w:val="1E1E1E"/>
          <w:sz w:val="23"/>
          <w:szCs w:val="23"/>
        </w:rPr>
        <w:t xml:space="preserve">Phase 1 (Months 2–5) — Core Minimum Viable Product (MVP)</w:t>
      </w:r>
    </w:p>
    <w:p>
      <w:pPr>
        <w:spacing w:after="160" w:line="276"/>
      </w:pPr>
      <w:r>
        <w:rPr>
          <w:rFonts w:ascii="Calibri" w:cs="Calibri" w:eastAsia="Calibri" w:hAnsi="Calibri"/>
          <w:color w:val="1E1E1E"/>
          <w:sz w:val="21"/>
          <w:szCs w:val="21"/>
        </w:rPr>
        <w:t xml:space="preserve">Deployment of student registry engines, secure morning roll call architectures, fee processing modules with native M-Pesa integration, and automated SMS notification routing. Target: onboard 3 to 5 pilot systems on free introductory trials.</w:t>
      </w:r>
    </w:p>
    <w:p>
      <w:pPr>
        <w:pStyle w:val="Heading3"/>
        <w:spacing w:after="120" w:before="240"/>
      </w:pPr>
      <w:r>
        <w:rPr>
          <w:rFonts w:ascii="Cambria" w:cs="Cambria" w:eastAsia="Cambria" w:hAnsi="Cambria"/>
          <w:b/>
          <w:bCs/>
          <w:color w:val="1E1E1E"/>
          <w:sz w:val="23"/>
          <w:szCs w:val="23"/>
        </w:rPr>
        <w:t xml:space="preserve">Phase 2 (Months 5–8) — Advanced Administration Suite</w:t>
      </w:r>
    </w:p>
    <w:p>
      <w:pPr>
        <w:spacing w:after="160" w:line="276"/>
      </w:pPr>
      <w:r>
        <w:rPr>
          <w:rFonts w:ascii="Calibri" w:cs="Calibri" w:eastAsia="Calibri" w:hAnsi="Calibri"/>
          <w:color w:val="1E1E1E"/>
          <w:sz w:val="21"/>
          <w:szCs w:val="21"/>
        </w:rPr>
        <w:t xml:space="preserve">Academic tracking modules, custom report-card builders, behavioral logs, multi-child payment splitters, and Progressive Web App (PWA) frameworks.</w:t>
      </w:r>
    </w:p>
    <w:p>
      <w:pPr>
        <w:pStyle w:val="Heading3"/>
        <w:spacing w:after="120" w:before="240"/>
      </w:pPr>
      <w:r>
        <w:rPr>
          <w:rFonts w:ascii="Cambria" w:cs="Cambria" w:eastAsia="Cambria" w:hAnsi="Cambria"/>
          <w:b/>
          <w:bCs/>
          <w:color w:val="1E1E1E"/>
          <w:sz w:val="23"/>
          <w:szCs w:val="23"/>
        </w:rPr>
        <w:t xml:space="preserve">Phase 3 (Months 8–14) — Full Mobile and Platform Integration</w:t>
      </w:r>
    </w:p>
    <w:p>
      <w:pPr>
        <w:spacing w:after="160" w:line="276"/>
      </w:pPr>
      <w:r>
        <w:rPr>
          <w:rFonts w:ascii="Calibri" w:cs="Calibri" w:eastAsia="Calibri" w:hAnsi="Calibri"/>
          <w:color w:val="1E1E1E"/>
          <w:sz w:val="21"/>
          <w:szCs w:val="21"/>
        </w:rPr>
        <w:t xml:space="preserve">Native mobile apps (iOS and Android), analytics dashboards for multi-campus management, and automated tools for exporting national NEMIS data.</w:t>
      </w:r>
    </w:p>
    <w:p>
      <w:pPr>
        <w:pStyle w:val="Heading2"/>
        <w:spacing w:after="160" w:before="320"/>
      </w:pPr>
      <w:r>
        <w:rPr>
          <w:rFonts w:ascii="Cambria" w:cs="Cambria" w:eastAsia="Cambria" w:hAnsi="Cambria"/>
          <w:b/>
          <w:bCs/>
          <w:color w:val="1E4620"/>
          <w:sz w:val="26"/>
          <w:szCs w:val="26"/>
        </w:rPr>
        <w:t xml:space="preserve">8.2  Risk Mitigation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000"/>
      </w:tblGrid>
      <w:tr>
        <w:trPr>
          <w:tblHeader/>
        </w:trPr>
        <w:tc>
          <w:tcPr>
            <w:tcW w:type="dxa" w:w="24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Risk</w:t>
            </w:r>
          </w:p>
        </w:tc>
        <w:tc>
          <w:tcPr>
            <w:tcW w:type="dxa" w:w="316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Threat Potential</w:t>
            </w:r>
          </w:p>
        </w:tc>
        <w:tc>
          <w:tcPr>
            <w:tcW w:type="dxa" w:w="3000"/>
            <w:tcBorders>
              <w:top w:val="single" w:color="1E4620" w:sz="4"/>
              <w:left w:val="single" w:color="1E4620" w:sz="4"/>
              <w:bottom w:val="single" w:color="1E4620" w:sz="4"/>
              <w:right w:val="single" w:color="1E4620" w:sz="4"/>
            </w:tcBorders>
            <w:shd w:fill="1E462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Mitigation Strategy</w:t>
            </w:r>
          </w:p>
        </w:tc>
      </w:tr>
      <w:tr>
        <w:tc>
          <w:tcPr>
            <w:tcW w:type="dxa" w:w="24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Operational Inertia &amp; Paper Habituation</w:t>
            </w:r>
          </w:p>
        </w:tc>
        <w:tc>
          <w:tcPr>
            <w:tcW w:type="dxa" w:w="31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Slow user adoption, resistance from administrative teams</w:t>
            </w:r>
          </w:p>
        </w:tc>
        <w:tc>
          <w:tcPr>
            <w:tcW w:type="dxa" w:w="30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Free one-term pilot, direct data migration, show time-saving ROI in the first 30 days.</w:t>
            </w:r>
          </w:p>
        </w:tc>
      </w:tr>
      <w:tr>
        <w:tc>
          <w:tcPr>
            <w:tcW w:type="dxa" w:w="24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Unstable Internet Connectivity</w:t>
            </w:r>
          </w:p>
        </w:tc>
        <w:tc>
          <w:tcPr>
            <w:tcW w:type="dxa" w:w="31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Outages in rural or low-bandwidth environments</w:t>
            </w:r>
          </w:p>
        </w:tc>
        <w:tc>
          <w:tcPr>
            <w:tcW w:type="dxa" w:w="30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PWA architecture with offline caching; teachers take attendance offline and sync on reconnect.</w:t>
            </w:r>
          </w:p>
        </w:tc>
      </w:tr>
      <w:tr>
        <w:tc>
          <w:tcPr>
            <w:tcW w:type="dxa" w:w="24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Daraja API Verification Delays</w:t>
            </w:r>
          </w:p>
        </w:tc>
        <w:tc>
          <w:tcPr>
            <w:tcW w:type="dxa" w:w="316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Postponed launch of automated fee payment feature</w:t>
            </w:r>
          </w:p>
        </w:tc>
        <w:tc>
          <w:tcPr>
            <w:tcW w:type="dxa" w:w="3000"/>
            <w:tcBorders>
              <w:top w:val="single" w:color="D9D9D9" w:sz="4"/>
              <w:left w:val="single" w:color="D9D9D9" w:sz="4"/>
              <w:bottom w:val="single" w:color="D9D9D9" w:sz="4"/>
              <w:right w:val="single" w:color="D9D9D9" w:sz="4"/>
            </w:tcBorders>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Launch with manual fee recording first; M-Pesa automation ships as a value-add enhancement.</w:t>
            </w:r>
          </w:p>
        </w:tc>
      </w:tr>
      <w:tr>
        <w:tc>
          <w:tcPr>
            <w:tcW w:type="dxa" w:w="24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Data Protection Compliance Risks</w:t>
            </w:r>
          </w:p>
        </w:tc>
        <w:tc>
          <w:tcPr>
            <w:tcW w:type="dxa" w:w="316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Legal and trust exposure handling student information</w:t>
            </w:r>
          </w:p>
        </w:tc>
        <w:tc>
          <w:tcPr>
            <w:tcW w:type="dxa" w:w="3000"/>
            <w:tcBorders>
              <w:top w:val="single" w:color="D9D9D9" w:sz="4"/>
              <w:left w:val="single" w:color="D9D9D9" w:sz="4"/>
              <w:bottom w:val="single" w:color="D9D9D9" w:sz="4"/>
              <w:right w:val="single" w:color="D9D9D9" w:sz="4"/>
            </w:tcBorders>
            <w:shd w:fill="E8F7ED"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1E1E1E"/>
                <w:sz w:val="19"/>
                <w:szCs w:val="19"/>
              </w:rPr>
              <w:t xml:space="preserve">HTTPS encryption, JWT session management, isolated DB storage, full Kenya Data Protection Act compliance.</w:t>
            </w:r>
          </w:p>
        </w:tc>
      </w:tr>
    </w:tbl>
    <w:p>
      <w:r>
        <w:br w:type="page"/>
      </w:r>
    </w:p>
    <w:p>
      <w:pPr>
        <w:pStyle w:val="Heading1"/>
        <w:pBdr>
          <w:bottom w:val="single" w:color="1E4620" w:sz="12" w:space="6"/>
        </w:pBdr>
        <w:spacing w:after="200" w:before="420"/>
      </w:pPr>
      <w:r>
        <w:rPr>
          <w:rFonts w:ascii="Cambria" w:cs="Cambria" w:eastAsia="Cambria" w:hAnsi="Cambria"/>
          <w:b/>
          <w:bCs/>
          <w:color w:val="1E4620"/>
          <w:sz w:val="32"/>
          <w:szCs w:val="32"/>
        </w:rPr>
        <w:t xml:space="preserve">9. Team Topography &amp; System Governance</w:t>
      </w:r>
    </w:p>
    <w:p>
      <w:pPr>
        <w:pStyle w:val="Heading2"/>
        <w:spacing w:after="160" w:before="320"/>
      </w:pPr>
      <w:r>
        <w:rPr>
          <w:rFonts w:ascii="Cambria" w:cs="Cambria" w:eastAsia="Cambria" w:hAnsi="Cambria"/>
          <w:b/>
          <w:bCs/>
          <w:color w:val="1E4620"/>
          <w:sz w:val="26"/>
          <w:szCs w:val="26"/>
        </w:rPr>
        <w:t xml:space="preserve">9.1  Founding Engineering Team</w:t>
      </w:r>
    </w:p>
    <w:p>
      <w:pPr>
        <w:pStyle w:val="Heading3"/>
        <w:spacing w:after="120" w:before="240"/>
      </w:pPr>
      <w:r>
        <w:rPr>
          <w:rFonts w:ascii="Cambria" w:cs="Cambria" w:eastAsia="Cambria" w:hAnsi="Cambria"/>
          <w:b/>
          <w:bCs/>
          <w:color w:val="1E1E1E"/>
          <w:sz w:val="23"/>
          <w:szCs w:val="23"/>
        </w:rPr>
        <w:t xml:space="preserve">Dennis Wambugu — Founder &amp; Lead Engineer</w:t>
      </w:r>
    </w:p>
    <w:p>
      <w:pPr>
        <w:spacing w:after="160" w:line="276"/>
      </w:pPr>
      <w:r>
        <w:rPr>
          <w:rFonts w:ascii="Calibri" w:cs="Calibri" w:eastAsia="Calibri" w:hAnsi="Calibri"/>
          <w:color w:val="1E1E1E"/>
          <w:sz w:val="21"/>
          <w:szCs w:val="21"/>
        </w:rPr>
        <w:t xml:space="preserve">Manages backend infrastructure and architecture. Full-stack technical background spanning React, Node.js, Bun runtime environments, WebSockets, Java/JavaFX, and React Native mobile frameworks. Oversees product roadmap, platform design, and local market deployment strategies.</w:t>
      </w:r>
    </w:p>
    <w:p>
      <w:pPr>
        <w:pStyle w:val="Heading3"/>
        <w:spacing w:after="120" w:before="240"/>
      </w:pPr>
      <w:r>
        <w:rPr>
          <w:rFonts w:ascii="Cambria" w:cs="Cambria" w:eastAsia="Cambria" w:hAnsi="Cambria"/>
          <w:b/>
          <w:bCs/>
          <w:color w:val="1E1E1E"/>
          <w:sz w:val="23"/>
          <w:szCs w:val="23"/>
        </w:rPr>
        <w:t xml:space="preserve">David Maina — Co-Founder &amp; DevOps Lead</w:t>
      </w:r>
    </w:p>
    <w:p>
      <w:pPr>
        <w:spacing w:after="160" w:line="276"/>
      </w:pPr>
      <w:r>
        <w:rPr>
          <w:rFonts w:ascii="Calibri" w:cs="Calibri" w:eastAsia="Calibri" w:hAnsi="Calibri"/>
          <w:color w:val="1E1E1E"/>
          <w:sz w:val="21"/>
          <w:szCs w:val="21"/>
        </w:rPr>
        <w:t xml:space="preserve">Specializes in full-stack engineering across modern JavaScript ecosystems. Coordinates infrastructure deployments, data isolation protocols, operational security compliance, and external partner API integrations.</w:t>
      </w:r>
    </w:p>
    <w:p>
      <w:pPr>
        <w:pStyle w:val="Heading3"/>
        <w:spacing w:after="120" w:before="240"/>
      </w:pPr>
      <w:r>
        <w:rPr>
          <w:rFonts w:ascii="Cambria" w:cs="Cambria" w:eastAsia="Cambria" w:hAnsi="Cambria"/>
          <w:b/>
          <w:bCs/>
          <w:color w:val="1E1E1E"/>
          <w:sz w:val="23"/>
          <w:szCs w:val="23"/>
        </w:rPr>
        <w:t xml:space="preserve">Johnson Kamau — Co-Founder &amp; Full-Stack Engineer</w:t>
      </w:r>
    </w:p>
    <w:p>
      <w:pPr>
        <w:spacing w:after="160" w:line="276"/>
      </w:pPr>
      <w:r>
        <w:rPr>
          <w:rFonts w:ascii="Calibri" w:cs="Calibri" w:eastAsia="Calibri" w:hAnsi="Calibri"/>
          <w:color w:val="1E1E1E"/>
          <w:sz w:val="21"/>
          <w:szCs w:val="21"/>
        </w:rPr>
        <w:t xml:space="preserve">Contributes to frontend layout design, core feature development, and mobile app migration strategies.</w:t>
      </w:r>
    </w:p>
    <w:p>
      <w:pPr>
        <w:pStyle w:val="Heading2"/>
        <w:spacing w:after="160" w:before="320"/>
      </w:pPr>
      <w:r>
        <w:rPr>
          <w:rFonts w:ascii="Cambria" w:cs="Cambria" w:eastAsia="Cambria" w:hAnsi="Cambria"/>
          <w:b/>
          <w:bCs/>
          <w:color w:val="1E4620"/>
          <w:sz w:val="26"/>
          <w:szCs w:val="26"/>
        </w:rPr>
        <w:t xml:space="preserve">9.2  Open Roles</w:t>
      </w:r>
    </w:p>
    <w:p>
      <w:pPr>
        <w:pStyle w:val="Heading3"/>
        <w:spacing w:after="120" w:before="240"/>
      </w:pPr>
      <w:r>
        <w:rPr>
          <w:rFonts w:ascii="Cambria" w:cs="Cambria" w:eastAsia="Cambria" w:hAnsi="Cambria"/>
          <w:b/>
          <w:bCs/>
          <w:color w:val="1E1E1E"/>
          <w:sz w:val="23"/>
          <w:szCs w:val="23"/>
        </w:rPr>
        <w:t xml:space="preserve">Full-Stack Developer</w:t>
      </w:r>
    </w:p>
    <w:p>
      <w:pPr>
        <w:spacing w:after="160" w:line="276"/>
      </w:pPr>
      <w:r>
        <w:rPr>
          <w:rFonts w:ascii="Calibri" w:cs="Calibri" w:eastAsia="Calibri" w:hAnsi="Calibri"/>
          <w:color w:val="1E1E1E"/>
          <w:sz w:val="21"/>
          <w:szCs w:val="21"/>
        </w:rPr>
        <w:t xml:space="preserve">Requirements include 2+ years of verified experience working with React.js and Node.js backend environments, SQL database schema management, and integration with Safaricom Daraja API components.</w:t>
      </w:r>
    </w:p>
    <w:p>
      <w:pPr>
        <w:pStyle w:val="Heading3"/>
        <w:spacing w:after="120" w:before="240"/>
      </w:pPr>
      <w:r>
        <w:rPr>
          <w:rFonts w:ascii="Cambria" w:cs="Cambria" w:eastAsia="Cambria" w:hAnsi="Cambria"/>
          <w:b/>
          <w:bCs/>
          <w:color w:val="1E1E1E"/>
          <w:sz w:val="23"/>
          <w:szCs w:val="23"/>
        </w:rPr>
        <w:t xml:space="preserve">UI/UX Product Designer</w:t>
      </w:r>
    </w:p>
    <w:p>
      <w:pPr>
        <w:spacing w:after="160" w:line="276"/>
      </w:pPr>
      <w:r>
        <w:rPr>
          <w:rFonts w:ascii="Calibri" w:cs="Calibri" w:eastAsia="Calibri" w:hAnsi="Calibri"/>
          <w:color w:val="1E1E1E"/>
          <w:sz w:val="21"/>
          <w:szCs w:val="21"/>
        </w:rPr>
        <w:t xml:space="preserve">Focused on developing accessible web and mobile dashboards tailored for users with varying levels of tech experience and lower-end device specifications.</w:t>
      </w:r>
    </w:p>
    <w:p>
      <w:pPr>
        <w:pStyle w:val="Heading3"/>
        <w:spacing w:after="120" w:before="240"/>
      </w:pPr>
      <w:r>
        <w:rPr>
          <w:rFonts w:ascii="Cambria" w:cs="Cambria" w:eastAsia="Cambria" w:hAnsi="Cambria"/>
          <w:b/>
          <w:bCs/>
          <w:color w:val="1E1E1E"/>
          <w:sz w:val="23"/>
          <w:szCs w:val="23"/>
        </w:rPr>
        <w:t xml:space="preserve">Sales &amp; Account Executive</w:t>
      </w:r>
    </w:p>
    <w:p>
      <w:pPr>
        <w:spacing w:after="160" w:line="276"/>
      </w:pPr>
      <w:r>
        <w:rPr>
          <w:rFonts w:ascii="Calibri" w:cs="Calibri" w:eastAsia="Calibri" w:hAnsi="Calibri"/>
          <w:color w:val="1E1E1E"/>
          <w:sz w:val="21"/>
          <w:szCs w:val="21"/>
        </w:rPr>
        <w:t xml:space="preserve">Tasked with coordinating institutional demonstrations, managing school relationships, and driving adoption across regional sub-county educational networks.</w:t>
      </w:r>
    </w:p>
    <w:sectPr>
      <w:headerReference w:type="default" r:id="rId11"/>
      <w:footerReference w:type="default" r:id="rId1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2E8B7" w:sz="4" w:space="6"/>
      </w:pBdr>
      <w:jc w:val="center"/>
    </w:pPr>
    <w:r>
      <w:rPr>
        <w:rFonts w:ascii="Calibri" w:cs="Calibri" w:eastAsia="Calibri" w:hAnsi="Calibri"/>
        <w:color w:val="595959"/>
        <w:sz w:val="16"/>
        <w:szCs w:val="16"/>
      </w:rPr>
      <w:t xml:space="preserve">SchoolPulse  |  Confidential Operational Document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2E8B7" w:sz="4" w:space="6"/>
      </w:pBdr>
      <w:jc w:val="center"/>
    </w:pPr>
    <w:r>
      <w:rPr>
        <w:rFonts w:ascii="Calibri" w:cs="Calibri" w:eastAsia="Calibri" w:hAnsi="Calibri"/>
        <w:color w:val="595959"/>
        <w:sz w:val="16"/>
        <w:szCs w:val="16"/>
      </w:rPr>
      <w:t xml:space="preserve">SchoolPulse  |  Confidential Operational Document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b/>
        <w:bCs/>
        <w:color w:val="1E4620"/>
        <w:spacing w:val="10"/>
        <w:sz w:val="16"/>
        <w:szCs w:val="16"/>
      </w:rPr>
      <w:t xml:space="preserve">SCHOOLPULSE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b/>
        <w:bCs/>
        <w:color w:val="1E4620"/>
        <w:spacing w:val="10"/>
        <w:sz w:val="16"/>
        <w:szCs w:val="16"/>
      </w:rPr>
      <w:t xml:space="preserve">SCHOOLPULSE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SchoolPulse Comprehensive Product &amp; Engineering Document</dc:title>
  <dc:creator>Dennis Wambugu</dc:creator>
  <cp:lastModifiedBy>Un-named</cp:lastModifiedBy>
  <cp:revision>1</cp:revision>
  <dcterms:created xsi:type="dcterms:W3CDTF">2026-07-08T11:09:47.980Z</dcterms:created>
  <dcterms:modified xsi:type="dcterms:W3CDTF">2026-07-08T11:09:47.980Z</dcterms:modified>
</cp:coreProperties>
</file>

<file path=docProps/custom.xml><?xml version="1.0" encoding="utf-8"?>
<Properties xmlns="http://schemas.openxmlformats.org/officeDocument/2006/custom-properties" xmlns:vt="http://schemas.openxmlformats.org/officeDocument/2006/docPropsVTypes"/>
</file>