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bookmarkStart w:id="0" w:name="_gjdgxs"/>
      <w:bookmarkEnd w:id="0"/>
      <w:r>
        <w:rPr>
          <w:sz w:val="28"/>
          <w:szCs w:val="28"/>
        </w:rPr>
        <w:t>Министерство образования Республики Беларусь</w:t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Учреждение образования «Белорусский государственный университет </w:t>
        <w:br/>
        <w:t>информатики и радиоэлектроники»</w:t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ind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>
      <w:pPr>
        <w:pStyle w:val="other"/>
        <w:spacing w:lineRule="auto" w:line="240" w:before="0" w:after="0"/>
        <w:ind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ind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>
      <w:pPr>
        <w:pStyle w:val="other"/>
        <w:spacing w:lineRule="auto" w:line="240" w:before="0" w:after="0"/>
        <w:ind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ind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>
        <w:rPr/>
        <w:t>Информационные сети. Основы безопасности</w:t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ОТЧЁТ</w:t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 лабораторной работе №3</w:t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на тему</w:t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widowControl/>
        <w:tabs>
          <w:tab w:val="clear" w:pos="643"/>
          <w:tab w:val="left" w:pos="0" w:leader="none"/>
        </w:tabs>
        <w:suppressAutoHyphens w:val="true"/>
        <w:bidi w:val="0"/>
        <w:spacing w:lineRule="auto" w:line="240" w:before="0" w:after="0"/>
        <w:ind w:hanging="0" w:left="0" w:right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ИДЕНТИФИКАЦИЯ И АУТЕНТИФИКАЦИЯ ПОЛЬЗОВАТЕЛЕЙ. ПРОТОКОЛ KERBEROS</w:t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ind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Выполнил: </w:t>
        <w:tab/>
        <w:tab/>
        <w:tab/>
        <w:tab/>
        <w:tab/>
        <w:tab/>
        <w:tab/>
        <w:tab/>
        <w:t>студент гр. 253505</w:t>
      </w:r>
    </w:p>
    <w:p>
      <w:pPr>
        <w:pStyle w:val="other"/>
        <w:spacing w:lineRule="auto" w:line="240" w:before="0" w:after="0"/>
        <w:ind w:firstLine="720" w:left="576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Сенько Н. С.</w:t>
      </w:r>
    </w:p>
    <w:p>
      <w:pPr>
        <w:pStyle w:val="other"/>
        <w:spacing w:lineRule="auto" w:line="240" w:before="0" w:after="0"/>
        <w:ind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ind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Проверил: </w:t>
        <w:tab/>
        <w:tab/>
        <w:tab/>
        <w:tab/>
        <w:tab/>
        <w:tab/>
        <w:tab/>
        <w:tab/>
        <w:t>ассистент кафедры</w:t>
      </w:r>
    </w:p>
    <w:p>
      <w:pPr>
        <w:pStyle w:val="other"/>
        <w:spacing w:lineRule="auto" w:line="240" w:before="0" w:after="0"/>
        <w:ind w:hanging="0" w:left="648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информатики</w:t>
      </w:r>
    </w:p>
    <w:p>
      <w:pPr>
        <w:pStyle w:val="other"/>
        <w:spacing w:lineRule="auto" w:line="240" w:before="0" w:after="0"/>
        <w:ind w:hanging="0" w:left="648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Герчик А. В.</w:t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Минск 2025</w:t>
      </w:r>
      <w:r>
        <w:br w:type="page"/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p>
      <w:pPr>
        <w:pStyle w:val="Normal"/>
        <w:spacing w:lineRule="auto" w:line="240" w:before="0" w:after="0"/>
        <w:ind w:hanging="0"/>
        <w:contextualSpacing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P-contents"/>
            <w:tabs>
              <w:tab w:val="clear" w:pos="643"/>
              <w:tab w:val="right" w:pos="9353" w:leader="dot"/>
            </w:tabs>
            <w:ind w:hanging="0" w:left="0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348_1888910669">
            <w:r>
              <w:rPr>
                <w:rStyle w:val="IndexLink"/>
              </w:rPr>
              <w:t>1</w:t>
            </w:r>
            <w:r>
              <w:rPr>
                <w:rStyle w:val="IndexLink"/>
              </w:rPr>
              <w:t xml:space="preserve"> Цель работы</w:t>
              <w:tab/>
              <w:t>3</w:t>
            </w:r>
          </w:hyperlink>
        </w:p>
        <w:p>
          <w:pPr>
            <w:pStyle w:val="STP-contents"/>
            <w:tabs>
              <w:tab w:val="clear" w:pos="643"/>
              <w:tab w:val="right" w:pos="9353" w:leader="dot"/>
            </w:tabs>
            <w:ind w:hanging="0" w:left="0"/>
            <w:rPr/>
          </w:pPr>
          <w:hyperlink w:anchor="__RefHeading___Toc1350_1888910669">
            <w:r>
              <w:rPr>
                <w:rStyle w:val="IndexLink"/>
              </w:rPr>
              <w:t>2 Ход работы</w:t>
              <w:tab/>
              <w:t>4</w:t>
            </w:r>
          </w:hyperlink>
        </w:p>
        <w:p>
          <w:pPr>
            <w:pStyle w:val="STP-contents"/>
            <w:tabs>
              <w:tab w:val="clear" w:pos="643"/>
              <w:tab w:val="right" w:pos="9353" w:leader="dot"/>
            </w:tabs>
            <w:ind w:hanging="0" w:left="0"/>
            <w:rPr/>
          </w:pPr>
          <w:hyperlink w:anchor="__RefHeading___Toc1352_1888910669">
            <w:r>
              <w:rPr>
                <w:rStyle w:val="IndexLink"/>
              </w:rPr>
              <w:t>Заключение</w:t>
              <w:tab/>
              <w:t>5</w:t>
            </w:r>
          </w:hyperlink>
        </w:p>
        <w:p>
          <w:pPr>
            <w:pStyle w:val="STP-contents"/>
            <w:tabs>
              <w:tab w:val="clear" w:pos="643"/>
              <w:tab w:val="right" w:pos="9353" w:leader="dot"/>
            </w:tabs>
            <w:ind w:hanging="0" w:left="0"/>
            <w:rPr/>
          </w:pPr>
          <w:hyperlink w:anchor="__RefHeading___Toc3241_1888910669">
            <w:r>
              <w:rPr>
                <w:rStyle w:val="IndexLink"/>
              </w:rPr>
              <w:t>Приложение А (обязательное</w:t>
            </w:r>
          </w:hyperlink>
          <w:r>
            <w:rPr/>
            <w:t>) и</w:t>
          </w:r>
          <w:hyperlink w:anchor="__RefHeading___Toc3243_1888910669">
            <w:r>
              <w:rPr>
                <w:rStyle w:val="IndexLink"/>
              </w:rPr>
              <w:t>сходный код программного продукта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ind w:hanging="0"/>
        <w:contextualSpacing/>
        <w:rPr/>
      </w:pPr>
      <w:r>
        <w:rPr/>
      </w:r>
      <w:r>
        <w:br w:type="page"/>
      </w:r>
    </w:p>
    <w:p>
      <w:pPr>
        <w:pStyle w:val="Heading1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bookmarkStart w:id="1" w:name="__RefHeading___Toc1348_1888910669"/>
      <w:bookmarkStart w:id="2" w:name="_Toc189595453"/>
      <w:bookmarkEnd w:id="1"/>
      <w:r>
        <w:rPr>
          <w:sz w:val="28"/>
          <w:szCs w:val="28"/>
        </w:rPr>
        <w:t>1 ЦЕЛЬ РАБОТЫ</w:t>
      </w:r>
      <w:bookmarkEnd w:id="2"/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Целью данной лабораторной работы является изучение принципов идентификации и аутентификации пользователей с использованием протокола Kerberos. В ходе работы необходимо ознакомиться с архитектурой протокола, его основными компонентами и механизмами работы. Также предполагается реализовать простую симуляцию процесса аутентификации с использованием Kerberos, что позволит лучше понять его функционирование и применение в современных системах безопасности.</w:t>
      </w:r>
      <w:r>
        <w:br w:type="page"/>
      </w:r>
    </w:p>
    <w:p>
      <w:pPr>
        <w:pStyle w:val="Heading1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bookmarkStart w:id="3" w:name="__RefHeading___Toc1350_1888910669"/>
      <w:bookmarkStart w:id="4" w:name="_Toc189595454"/>
      <w:bookmarkEnd w:id="3"/>
      <w:r>
        <w:rPr>
          <w:sz w:val="28"/>
          <w:szCs w:val="28"/>
        </w:rPr>
        <w:t xml:space="preserve">2 </w:t>
      </w:r>
      <w:bookmarkEnd w:id="4"/>
      <w:r>
        <w:rPr>
          <w:sz w:val="28"/>
          <w:szCs w:val="28"/>
        </w:rPr>
        <w:t>ХОД РАБОТЫ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Протокол Kerberos был разработан для обеспечения безопасной аутентификации пользователей в сетевых системах. Он использует централизованный подход, где Центр распределения ключей (KDC) играет ключевую роль в процессе аутентификации.</w:t>
      </w:r>
    </w:p>
    <w:p>
      <w:pPr>
        <w:pStyle w:val="BodyText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40" w:before="0" w:after="0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Архитектура Kerberos</w:t>
      </w:r>
    </w:p>
    <w:p>
      <w:pPr>
        <w:pStyle w:val="BodyText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Kerberos состоит из следующих основных компонентов:</w:t>
      </w:r>
    </w:p>
    <w:p>
      <w:pPr>
        <w:pStyle w:val="BodyText"/>
        <w:spacing w:lineRule="auto" w:line="240" w:before="0" w:after="0"/>
        <w:ind w:hanging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– </w:t>
      </w:r>
      <w:r>
        <w:rPr>
          <w:sz w:val="28"/>
          <w:szCs w:val="28"/>
        </w:rPr>
        <w:softHyphen/>
        <w:t>Клиент: Пользователь или приложение, запрашивающее доступ к сервису.</w:t>
      </w:r>
    </w:p>
    <w:p>
      <w:pPr>
        <w:pStyle w:val="BodyText"/>
        <w:spacing w:lineRule="auto" w:line="240" w:before="0" w:after="0"/>
        <w:ind w:hanging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– </w:t>
      </w:r>
      <w:r>
        <w:rPr>
          <w:sz w:val="28"/>
          <w:szCs w:val="28"/>
        </w:rPr>
        <w:t>Сервер: Сервис, к которому клиент хочет получить доступ.</w:t>
      </w:r>
    </w:p>
    <w:p>
      <w:pPr>
        <w:pStyle w:val="BodyText"/>
        <w:spacing w:lineRule="auto" w:line="240" w:before="0" w:after="0"/>
        <w:ind w:hanging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– </w:t>
      </w:r>
      <w:r>
        <w:rPr>
          <w:sz w:val="28"/>
          <w:szCs w:val="28"/>
        </w:rPr>
        <w:t>KDC (Центр распределения ключей): Доверенный сервер, который выдает ключи и билеты для аутентификации.</w:t>
      </w:r>
    </w:p>
    <w:p>
      <w:pPr>
        <w:pStyle w:val="BodyText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40" w:before="0" w:after="0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 Процесс аутентификации</w:t>
      </w:r>
    </w:p>
    <w:p>
      <w:pPr>
        <w:pStyle w:val="BodyText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Процесс аутентификации в Kerberos включает несколько этапов:</w:t>
      </w:r>
    </w:p>
    <w:p>
      <w:pPr>
        <w:pStyle w:val="BodyText"/>
        <w:spacing w:lineRule="auto" w:line="240" w:before="0" w:after="0"/>
        <w:ind w:hanging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– </w:t>
      </w:r>
      <w:r>
        <w:rPr>
          <w:sz w:val="28"/>
          <w:szCs w:val="28"/>
        </w:rPr>
        <w:t>Запрос аутентификации (AS_REQ): Клиент отправляет запрос на KDC с идентификационными данными.</w:t>
      </w:r>
    </w:p>
    <w:p>
      <w:pPr>
        <w:pStyle w:val="BodyText"/>
        <w:spacing w:lineRule="auto" w:line="240" w:before="0" w:after="0"/>
        <w:ind w:hanging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– </w:t>
      </w:r>
      <w:r>
        <w:rPr>
          <w:sz w:val="28"/>
          <w:szCs w:val="28"/>
        </w:rPr>
        <w:t>Ответ KDC (AS_REP): KDC проверяет данные и отправляет клиенту зашифрованный сеансовый ключ и TGT (Ticket Granting Ticket).</w:t>
      </w:r>
    </w:p>
    <w:p>
      <w:pPr>
        <w:pStyle w:val="BodyText"/>
        <w:spacing w:lineRule="auto" w:line="240" w:before="0" w:after="0"/>
        <w:ind w:hanging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– </w:t>
      </w:r>
      <w:r>
        <w:rPr>
          <w:sz w:val="28"/>
          <w:szCs w:val="28"/>
        </w:rPr>
        <w:t>Запрос мандата (TGS_REQ): Клиент использует TGT для запроса доступа к конкретному сервису.</w:t>
      </w:r>
    </w:p>
    <w:p>
      <w:pPr>
        <w:pStyle w:val="BodyText"/>
        <w:spacing w:lineRule="auto" w:line="240" w:before="0" w:after="0"/>
        <w:ind w:hanging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– </w:t>
      </w:r>
      <w:r>
        <w:rPr>
          <w:sz w:val="28"/>
          <w:szCs w:val="28"/>
        </w:rPr>
        <w:t>Ответ TGS (TGS_REP): KDC отправляет клиенту мандат для доступа к запрашиваемому сервису.</w:t>
      </w:r>
    </w:p>
    <w:p>
      <w:pPr>
        <w:pStyle w:val="BodyText"/>
        <w:spacing w:lineRule="auto" w:line="240" w:before="0" w:after="0"/>
        <w:ind w:hanging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Таким образом, в ходе выполнения лабораторной работы было реализовано и протестировано программное средство шифрования и дешифрования текстовых файлов двумя шифрами. В процессе разработки были изучены принципы работы выбранных алгоритмов шифрования, их особенности, преимущества и недостатки.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/>
        <w:t xml:space="preserve">Программа была протестирована на различных входных данных, что позволило убедиться в её корректности и работоспособности. Кроме того, в ходе выполнения лабораторной работы была проведена отладка кода, исправлены возможные ошибки и оптимизированы некоторые участки программы для повышения её производительности. </w:t>
      </w:r>
      <w:r>
        <w:br w:type="page"/>
      </w:r>
    </w:p>
    <w:p>
      <w:pPr>
        <w:pStyle w:val="Heading1"/>
        <w:spacing w:lineRule="auto" w:line="24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bookmarkStart w:id="5" w:name="__RefHeading___Toc1352_1888910669"/>
      <w:bookmarkEnd w:id="5"/>
      <w:r>
        <w:rPr>
          <w:sz w:val="28"/>
          <w:szCs w:val="28"/>
        </w:rPr>
        <w:t>ЗАКЛЮЧЕНИЕ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 ходе работы была изучена архитектура и принципы работы протокола Kerberos, а также реализована его простая симуляция. Протокол Kerberos обеспечивает надежную аутентификацию пользователей в сетевых системах, используя централизованный подход и симметричное шифрование.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Были рассмотрены основные этапы аутентификации, включая запросы и ответы между клиентом и KDC. Реализованная симуляция позволила лучше понять механизмы работы протокола и его применение в современных системах безопасности.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Таким образом, проделанная работа способствовала углублению знаний в области аутентификации и идентификации пользователей, а также позволила применить на практике навыки программирования для реализации протоколов безопасности.</w:t>
      </w:r>
      <w:r>
        <w:br w:type="page"/>
      </w:r>
    </w:p>
    <w:p>
      <w:pPr>
        <w:pStyle w:val="Heading1"/>
        <w:spacing w:before="0" w:after="0"/>
        <w:contextualSpacing/>
        <w:jc w:val="center"/>
        <w:rPr/>
      </w:pPr>
      <w:bookmarkStart w:id="6" w:name="__RefHeading___Toc3241_1888910669"/>
      <w:bookmarkEnd w:id="6"/>
      <w:r>
        <w:rPr/>
        <w:t xml:space="preserve">Приложение А (обязательное) </w:t>
      </w:r>
    </w:p>
    <w:p>
      <w:pPr>
        <w:pStyle w:val="Heading1"/>
        <w:jc w:val="center"/>
        <w:rPr/>
      </w:pPr>
      <w:bookmarkStart w:id="7" w:name="__RefHeading___Toc3243_1888910669"/>
      <w:bookmarkEnd w:id="7"/>
      <w:r>
        <w:rPr/>
        <w:t>Исходный код программного продукта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hashlib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os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class KerberosServer: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def __init__(self):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self.clients = {}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self.services = {}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self.session_keys = {}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def register_client(self, client_id, secret):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self.clients[client_id] = secret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def register_service(self, service_id, secret):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self.services[service_id] = secret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def authenticate(self, client_id):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if client_id in self.clients: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session_key = os.urandom(16)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self.session_keys[client_id] = session_key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# Здесь вместо настоящего шифрования мы просто возвращаем хеш от секретного ключа клиента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client_secret = self.clients[client_id]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return hashlib.sha256(client_secret + session_key).hexdigest()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else: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raise ValueError("Unknown client")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def validate_request(self, client_id, service_id, authenticator):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if client_id in self.clients and service_id in self.services: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expected_authenticator = hashlib.sha256(self.clients[client_id] + self.session_keys[client_id]).hexdigest()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if authenticator == expected_authenticator: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r>
        <w:rPr>
          <w:rFonts w:ascii="Courier New" w:hAnsi="Courier New"/>
          <w:sz w:val="20"/>
          <w:szCs w:val="20"/>
        </w:rPr>
        <w:t>return True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return False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class Client: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def __init__(self, client_id, secret, kerberos_server):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self.client_id = client_id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self.secret = secret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self.kerberos_server = kerberos_server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def request_access(self):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authenticator = self.kerberos_server.authenticate(self.client_id)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return authenticator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class Service: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def __init__(self, service_id, secret, kerberos_server):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self.service_id = service_id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self.secret = secret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self.kerberos_server = kerberos_server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def grant_access(self, client_id, authenticator):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if self.kerberos_server.validate_request(client_id, self.service_id, authenticator):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print("Access granted to client:", client_id)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else: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print("Access denied for client:", client_id)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 Пример успешной аутентификации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print("Пример успешной аутентификации:")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kerberos_server = KerberosServer()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 Регистрация клиента и сервиса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kerberos_server.register_client("client1", b"client_secret")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kerberos_server.register_service("service1", b"service_secret")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 Успешный сценарий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client = Client("client1", b"client_secret", kerberos_server)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authenticator = client.request_access()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service = Service("service1", b"service_secret", kerberos_server)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service.grant_access("client1", authenticator)  # Ожидается успешный доступ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print("\nПример неуспешной аутентификации:")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 Пример неизвестного клиента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try: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unknown_client = Client("unknown_client", b"client_secret", kerberos_server)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authenticator = unknown_client.request_access()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except ValueError as e: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print("Ошибка:", e)  # "Unknown client"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 Пример неверного аутентификатора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fake_authenticator = "invalid_authenticator"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service.grant_access("client1", fake_authenticator)  # Ожидается отказ в доступе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 Пример неизвестного сервиса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unknown_service = Service("unknown_service", b"service_secret", kerberos_server)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unknown_service.grant_access("client1", authenticator)  # Ожидается отказ в доступе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1" w:gutter="0" w:header="0" w:top="1134" w:footer="567" w:bottom="1134"/>
      <w:pgNumType w:start="1"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OpenSymbol">
    <w:altName w:val="Arial Unicode MS"/>
    <w:charset w:val="01"/>
    <w:family w:val="swiss"/>
    <w:pitch w:val="default"/>
  </w:font>
  <w:font w:name="Georgia">
    <w:charset w:val="01"/>
    <w:family w:val="roman"/>
    <w:pitch w:val="default"/>
  </w:font>
  <w:font w:name="Courier New">
    <w:charset w:val="01"/>
    <w:family w:val="roman"/>
    <w:pitch w:val="default"/>
  </w:font>
  <w:font w:name="Courier New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340"/>
        </w:tabs>
        <w:ind w:left="340" w:hanging="17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510"/>
        </w:tabs>
        <w:ind w:left="510" w:hanging="17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680"/>
        </w:tabs>
        <w:ind w:left="680" w:hanging="17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850"/>
        </w:tabs>
        <w:ind w:left="850" w:hanging="17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1020"/>
        </w:tabs>
        <w:ind w:left="1020" w:hanging="17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1191"/>
        </w:tabs>
        <w:ind w:left="1191" w:hanging="17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1361"/>
        </w:tabs>
        <w:ind w:left="1361" w:hanging="17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1531"/>
        </w:tabs>
        <w:ind w:left="1531" w:hanging="17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643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3758"/>
    <w:pPr>
      <w:widowControl/>
      <w:suppressAutoHyphens w:val="true"/>
      <w:bidi w:val="0"/>
      <w:spacing w:lineRule="auto" w:line="240" w:before="0" w:after="0"/>
      <w:ind w:firstLine="709"/>
      <w:contextualSpacing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uiPriority w:val="9"/>
    <w:qFormat/>
    <w:rsid w:val="002b3758"/>
    <w:pPr>
      <w:keepNext w:val="true"/>
      <w:keepLines/>
      <w:ind w:firstLine="72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contextualSpacing w:val="false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contextualSpacing w:val="false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40" w:after="0"/>
      <w:contextualSpacing w:val="false"/>
      <w:outlineLvl w:val="3"/>
    </w:pPr>
    <w:rPr>
      <w:rFonts w:ascii="Cambria" w:hAnsi="Cambria" w:eastAsia="Cambria" w:cs="Cambria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contextualSpacing w:val="false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contextualSpacing w:val="false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4594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4594d"/>
    <w:rPr/>
  </w:style>
  <w:style w:type="character" w:styleId="Hyperlink">
    <w:name w:val="Hyperlink"/>
    <w:basedOn w:val="DefaultParagraphFont"/>
    <w:uiPriority w:val="99"/>
    <w:unhideWhenUsed/>
    <w:rsid w:val="003921df"/>
    <w:rPr>
      <w:color w:themeColor="hyperlink" w:val="0000FF"/>
      <w:u w:val="single"/>
    </w:rPr>
  </w:style>
  <w:style w:type="character" w:styleId="IndexLink">
    <w:name w:val="Index Link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Charactersuser">
    <w:name w:val="Footnote Characters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user">
    <w:name w:val="Endnote Characters (user)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NumberingSymbols">
    <w:name w:val="Numbering Symbols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  <w:contextualSpacing w:val="false"/>
    </w:pPr>
    <w:rPr>
      <w:rFonts w:ascii="Times New Roman" w:hAnsi="Times New Roman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contextualSpacing w:val="false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ascii="Times New Roman" w:hAnsi="Times New Roman" w:cs="Noto Sans Devanagari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Title">
    <w:name w:val="Title"/>
    <w:basedOn w:val="Normal"/>
    <w:next w:val="Normal"/>
    <w:uiPriority w:val="10"/>
    <w:qFormat/>
    <w:pPr/>
    <w:rPr>
      <w:rFonts w:ascii="Cambria" w:hAnsi="Cambria" w:eastAsia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  <w:contextualSpacing w:val="false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4594d"/>
    <w:pPr>
      <w:tabs>
        <w:tab w:val="clear" w:pos="643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4594d"/>
    <w:pPr>
      <w:tabs>
        <w:tab w:val="clear" w:pos="643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b641e9"/>
    <w:pPr>
      <w:spacing w:before="0" w:after="0"/>
      <w:ind w:left="720"/>
      <w:contextualSpacing/>
    </w:pPr>
    <w:rPr>
      <w:bCs/>
    </w:rPr>
  </w:style>
  <w:style w:type="paragraph" w:styleId="TOC1">
    <w:name w:val="toc 1"/>
    <w:basedOn w:val="Normal"/>
    <w:next w:val="Normal"/>
    <w:autoRedefine/>
    <w:uiPriority w:val="39"/>
    <w:unhideWhenUsed/>
    <w:rsid w:val="003921df"/>
    <w:pPr>
      <w:spacing w:before="0" w:after="100"/>
      <w:contextualSpacing w:val="false"/>
      <w:jc w:val="center"/>
    </w:pPr>
    <w:rPr>
      <w:b/>
      <w:bCs/>
    </w:rPr>
  </w:style>
  <w:style w:type="paragraph" w:styleId="other" w:customStyle="1">
    <w:name w:val="other"/>
    <w:basedOn w:val="Normal"/>
    <w:qFormat/>
    <w:rsid w:val="002b3758"/>
    <w:pPr>
      <w:jc w:val="center"/>
    </w:pPr>
    <w:rPr/>
  </w:style>
  <w:style w:type="paragraph" w:styleId="IndexHeading">
    <w:name w:val="index heading"/>
    <w:basedOn w:val="Heading"/>
    <w:pPr>
      <w:suppressLineNumbers/>
      <w:ind w:hanging="0" w:left="0"/>
    </w:pPr>
    <w:rPr>
      <w:b w:val="false"/>
      <w:bCs/>
      <w:sz w:val="28"/>
      <w:szCs w:val="32"/>
    </w:rPr>
  </w:style>
  <w:style w:type="paragraph" w:styleId="TOCHeading">
    <w:name w:val="TOC Heading"/>
    <w:basedOn w:val="Normal"/>
    <w:next w:val="Normal"/>
    <w:autoRedefine/>
    <w:qFormat/>
    <w:pPr>
      <w:suppressLineNumbers/>
      <w:spacing w:before="0" w:after="0"/>
      <w:ind w:hanging="0" w:left="0"/>
      <w:contextualSpacing/>
      <w:jc w:val="center"/>
    </w:pPr>
    <w:rPr>
      <w:b/>
      <w:bCs/>
      <w:sz w:val="32"/>
      <w:szCs w:val="32"/>
    </w:rPr>
  </w:style>
  <w:style w:type="paragraph" w:styleId="STP-14">
    <w:name w:val="STP-14"/>
    <w:next w:val="BodyText"/>
    <w:qFormat/>
    <w:pPr>
      <w:widowControl/>
      <w:numPr>
        <w:ilvl w:val="0"/>
        <w:numId w:val="1"/>
      </w:numPr>
      <w:suppressAutoHyphens w:val="true"/>
      <w:bidi w:val="0"/>
      <w:spacing w:lineRule="auto" w:line="240" w:before="0" w:after="0"/>
      <w:contextualSpacing/>
      <w:jc w:val="both"/>
    </w:pPr>
    <w:rPr>
      <w:rFonts w:ascii="Times New Roman" w:hAnsi="Times New Roman" w:eastAsia="Calibri" w:cs="Calibri"/>
      <w:color w:val="000000"/>
      <w:kern w:val="0"/>
      <w:sz w:val="28"/>
      <w:szCs w:val="22"/>
      <w:shd w:fill="auto" w:val="clear"/>
      <w:lang w:val="ru-RU" w:eastAsia="en-US" w:bidi="ar-SA"/>
    </w:rPr>
  </w:style>
  <w:style w:type="paragraph" w:styleId="STP-contents">
    <w:name w:val="STP-contents"/>
    <w:basedOn w:val="STP-14"/>
    <w:next w:val="STP-14"/>
    <w:qFormat/>
    <w:pPr>
      <w:numPr>
        <w:ilvl w:val="0"/>
        <w:numId w:val="0"/>
      </w:numPr>
      <w:suppressAutoHyphens w:val="true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–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219A21-DC05-AC44-B3E9-F7596B22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LibreOffice/25.2.1.2$Linux_X86_64 LibreOffice_project/520$Build-2</Application>
  <AppVersion>15.0000</AppVersion>
  <Pages>7</Pages>
  <Words>672</Words>
  <Characters>5604</Characters>
  <CharactersWithSpaces>6530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2025-02-06T22:45:00Z</dcterms:created>
  <dc:creator/>
  <dc:description/>
  <dc:language>ru-RU</dc:language>
  <cp:lastModifiedBy/>
  <cp:lastPrinted>2025-02-05T12:06:00Z</cp:lastPrinted>
  <dcterms:modified xsi:type="dcterms:W3CDTF">2025-05-05T11:31:32Z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