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Кафедра информатики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Дисциплина: Информационные сети. Основы безопасности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№3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Normal"/>
        <w:widowControl w:val="false"/>
        <w:spacing w:lineRule="auto" w:line="259"/>
        <w:ind w:firstLine="709" w:left="-283" w:right="5"/>
        <w:jc w:val="center"/>
        <w:rPr>
          <w:b/>
        </w:rPr>
      </w:pPr>
      <w:r>
        <w:rPr>
          <w:b/>
        </w:rPr>
        <w:t>«ИДЕНТИФИКАЦИЯ И АУТЕНТИФИКАЦИЯ ПОЛЬЗОВАТЕЛЕЙ. ПРОТОКОЛ KERBEROS»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left="5760"/>
        <w:jc w:val="left"/>
        <w:rPr/>
      </w:pPr>
      <w:r>
        <w:rPr/>
        <w:t>Сенько</w:t>
      </w:r>
      <w:r>
        <w:rPr/>
        <w:t xml:space="preserve"> </w:t>
      </w:r>
      <w:r>
        <w:rPr/>
        <w:t>Н</w:t>
      </w:r>
      <w:r>
        <w:rPr/>
        <w:t xml:space="preserve">. </w:t>
      </w:r>
      <w:r>
        <w:rPr/>
        <w:t>С</w:t>
      </w:r>
      <w:r>
        <w:rPr/>
        <w:t>.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left="6480"/>
        <w:jc w:val="left"/>
        <w:rPr/>
      </w:pPr>
      <w:r>
        <w:rPr/>
        <w:t>информатики</w:t>
      </w:r>
    </w:p>
    <w:p>
      <w:pPr>
        <w:pStyle w:val="other"/>
        <w:ind w:hanging="0" w:left="6480"/>
        <w:jc w:val="lef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ind w:hanging="0"/>
        <w:contextualSpacing/>
        <w:jc w:val="center"/>
        <w:rPr/>
      </w:pPr>
      <w:r>
        <w:rPr>
          <w:b/>
          <w:bCs/>
        </w:rPr>
        <w:t>СОДЕРЖАНИЕ</w:t>
      </w:r>
    </w:p>
    <w:p>
      <w:pPr>
        <w:pStyle w:val="Normal"/>
        <w:ind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48_1888910669">
            <w:r>
              <w:rPr>
                <w:rStyle w:val="IndexLink"/>
              </w:rPr>
              <w:t>1 Цель работы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0_1888910669">
            <w:r>
              <w:rPr>
                <w:rStyle w:val="IndexLink"/>
              </w:rPr>
              <w:t>2 Ход работы</w:t>
              <w:tab/>
              <w:t>4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1352_1888910669"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STP-contents"/>
            <w:tabs>
              <w:tab w:val="clear" w:pos="643"/>
              <w:tab w:val="right" w:pos="9353" w:leader="dot"/>
            </w:tabs>
            <w:ind w:hanging="0" w:left="0"/>
            <w:rPr/>
          </w:pPr>
          <w:hyperlink w:anchor="__RefHeading___Toc3241_1888910669">
            <w:r>
              <w:rPr>
                <w:rStyle w:val="IndexLink"/>
              </w:rPr>
              <w:t>Приложение А (обязательное</w:t>
            </w:r>
          </w:hyperlink>
          <w:r>
            <w:rPr/>
            <w:t>) и</w:t>
          </w:r>
          <w:hyperlink w:anchor="__RefHeading___Toc3243_1888910669">
            <w:r>
              <w:rPr>
                <w:rStyle w:val="IndexLink"/>
              </w:rPr>
              <w:t>сходный код программного продукта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spacing w:before="0" w:after="0"/>
        <w:contextualSpacing/>
        <w:rPr/>
      </w:pPr>
      <w:bookmarkStart w:id="1" w:name="__RefHeading___Toc1348_1888910669"/>
      <w:bookmarkStart w:id="2" w:name="_Toc189595453"/>
      <w:bookmarkEnd w:id="1"/>
      <w:r>
        <w:rPr/>
        <w:t>1 ЦЕЛЬ РАБОТЫ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Реализовать простейшую реализацию программного протокол Kerberos. В результате данной лабораторной работы будет реализован на классах Kotlin «сервер» аутентификации, выдачи разрешений, клиента и сервиса. </w:t>
      </w:r>
      <w:r>
        <w:br w:type="page"/>
      </w:r>
    </w:p>
    <w:p>
      <w:pPr>
        <w:pStyle w:val="Heading1"/>
        <w:spacing w:before="0" w:after="0"/>
        <w:contextualSpacing/>
        <w:rPr/>
      </w:pPr>
      <w:bookmarkStart w:id="3" w:name="__RefHeading___Toc1350_1888910669"/>
      <w:bookmarkStart w:id="4" w:name="_Toc189595454"/>
      <w:bookmarkEnd w:id="3"/>
      <w:r>
        <w:rPr/>
        <w:t xml:space="preserve">2 </w:t>
      </w:r>
      <w:bookmarkEnd w:id="4"/>
      <w:r>
        <w:rPr/>
        <w:t>ХОД РАБОТЫ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Kerberos – в первую очередь протокол аутентификации, но при этом предусматривающий возможность транспортировки информации необходимой для авторизации. Он был разработан был разработан в MIT, как часть научно-исследовательского проекта Афина, предназначенного для создания распределенной образовательной среды. Основная идея протокола заключается в том, что пользователи и сервисы проходят аутентификацию через доверенного посредника – центр распределения ключей (KDC), который генерирует временные ключи и билеты для безопасного взаимодействия между участниками.</w:t>
      </w:r>
    </w:p>
    <w:p>
      <w:pPr>
        <w:pStyle w:val="Normal"/>
        <w:ind w:firstLine="720"/>
        <w:rPr/>
      </w:pPr>
      <w:r>
        <w:rPr/>
        <w:t>Протокол Kerberos состоит из нескольких ключевых компонентов. На рисунке 1 можно наблюдать схему работы протокола Kerberos.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294380" cy="2573020"/>
            <wp:effectExtent l="0" t="0" r="0" b="0"/>
            <wp:docPr id="1" name="Picture 1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1 – Схема работы протокола Kerberos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20"/>
        <w:rPr/>
      </w:pPr>
      <w:r>
        <w:rPr/>
        <w:t>В результате был разработан код, который эмитирует работу протокола Kerbero</w:t>
      </w:r>
      <w:r>
        <w:rPr>
          <w:lang w:val="en-US"/>
        </w:rPr>
        <w:t>s</w:t>
      </w:r>
      <w:r>
        <w:rPr/>
        <w:t xml:space="preserve">, который на базе ключа клиента, сервера и </w:t>
      </w:r>
      <w:r>
        <w:rPr>
          <w:lang w:val="en-US"/>
        </w:rPr>
        <w:t>tgs</w:t>
      </w:r>
      <w:r>
        <w:rPr/>
        <w:t xml:space="preserve"> выдавал разрешение на получение разрешения, а также по полученному разрешению выдавал разрешения на доступ к сервису. 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406775" cy="11283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2 – результат работы программы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Результат выполнения программы с успешной и неуспешной аутентификацией представлен на рисунке 2.</w:t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/>
      </w:pPr>
      <w:bookmarkStart w:id="5" w:name="__RefHeading___Toc1352_1888910669"/>
      <w:bookmarkEnd w:id="5"/>
      <w:r>
        <w:rPr/>
        <w:t>ЗАКЛЮЧЕНИЕ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ind w:firstLine="708" w:right="60"/>
        <w:rPr/>
      </w:pPr>
      <w:r>
        <w:rPr/>
        <w:t xml:space="preserve">Таким образом, в ходе выполнения лабораторной работы было успешно исследовано и реализовано взаимодействие по протоколу Kerberos с использованием языка программирования </w:t>
      </w:r>
      <w:r>
        <w:rPr>
          <w:lang w:val="en-US"/>
        </w:rPr>
        <w:t>Kotlin</w:t>
      </w:r>
      <w:r>
        <w:rPr/>
        <w:t>. Созданные классы – клиент, сервер аутентификации, сервер выдачи разрешений и конечный сервер – были разработаны с учетом основных этапов протокола Kerberos. Основными достижениями работы является понимание принципов функционирования протокола Kerberos, включая процессы аутентификации, обмена билетами. Таким образом, выполнение лабораторной работы позволило успешно достичь поставленных целей и задач, а также приобрести практические навыки в области обеспечения информационной безопасности и применения протокола Kerberos.</w:t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spacing w:before="0" w:after="0"/>
        <w:ind w:hanging="0"/>
        <w:contextualSpacing/>
        <w:jc w:val="center"/>
        <w:rPr/>
      </w:pPr>
      <w:bookmarkStart w:id="6" w:name="__RefHeading___Toc3241_1888910669"/>
      <w:bookmarkEnd w:id="6"/>
      <w:r>
        <w:rPr/>
        <w:t xml:space="preserve">Приложение А </w:t>
      </w:r>
    </w:p>
    <w:p>
      <w:pPr>
        <w:pStyle w:val="Heading1"/>
        <w:ind w:hanging="0"/>
        <w:jc w:val="center"/>
        <w:rPr/>
      </w:pPr>
      <w:r>
        <w:rPr/>
        <w:t xml:space="preserve">(обязательное) </w:t>
      </w:r>
    </w:p>
    <w:p>
      <w:pPr>
        <w:pStyle w:val="Heading1"/>
        <w:ind w:hanging="0"/>
        <w:jc w:val="center"/>
        <w:rPr/>
      </w:pPr>
      <w:bookmarkStart w:id="7" w:name="__RefHeading___Toc3243_1888910669"/>
      <w:bookmarkEnd w:id="7"/>
      <w:r>
        <w:rPr/>
        <w:t>Исходный код программного продукта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java.util.*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import kotlin.random.Random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fun main()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clientSecret = "client_pass"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tgsSecret = "tgs_secret"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serviceSecret = "service_secret"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authServer = AuthenticationServer(clientSecret, tgsSecret)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ticketServer = TicketGrantingServer(tgsSecret, serviceSecret)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service = ServiceServer(serviceSecret)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client = Client("client1", clientSecret)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println("Успешная аутентификация:")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success = client.accessService(authServer, ticketServer, service, "file_service")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println</w:t>
      </w:r>
      <w:r>
        <w:rPr>
          <w:rFonts w:ascii="Courier New" w:hAnsi="Courier New"/>
          <w:sz w:val="20"/>
          <w:szCs w:val="20"/>
        </w:rPr>
        <w:t>("Доступ к сервису: $</w:t>
      </w:r>
      <w:r>
        <w:rPr>
          <w:rFonts w:ascii="Courier New" w:hAnsi="Courier New"/>
          <w:sz w:val="20"/>
          <w:szCs w:val="20"/>
          <w:lang w:val="en-US"/>
        </w:rPr>
        <w:t>success</w:t>
      </w:r>
      <w:r>
        <w:rPr>
          <w:rFonts w:ascii="Courier New" w:hAnsi="Courier New"/>
          <w:sz w:val="20"/>
          <w:szCs w:val="20"/>
        </w:rPr>
        <w:t>\</w:t>
      </w:r>
      <w:r>
        <w:rPr>
          <w:rFonts w:ascii="Courier New" w:hAnsi="Courier New"/>
          <w:sz w:val="20"/>
          <w:szCs w:val="20"/>
          <w:lang w:val="en-US"/>
        </w:rPr>
        <w:t>n</w:t>
      </w:r>
      <w:r>
        <w:rPr>
          <w:rFonts w:ascii="Courier New" w:hAnsi="Courier New"/>
          <w:sz w:val="20"/>
          <w:szCs w:val="20"/>
        </w:rPr>
        <w:t>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println</w:t>
      </w:r>
      <w:r>
        <w:rPr>
          <w:rFonts w:ascii="Courier New" w:hAnsi="Courier New"/>
          <w:sz w:val="20"/>
          <w:szCs w:val="20"/>
        </w:rPr>
        <w:t>("Попытка доступа с неверными данными:")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wrongClient = Client("client1", "wrong_pass")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val fail = wrongClient.accessService(authServer, ticketServer, service, "file_service")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println</w:t>
      </w:r>
      <w:r>
        <w:rPr>
          <w:rFonts w:ascii="Courier New" w:hAnsi="Courier New"/>
          <w:sz w:val="20"/>
          <w:szCs w:val="20"/>
        </w:rPr>
        <w:t>("Доступ к сервису: $</w:t>
      </w:r>
      <w:r>
        <w:rPr>
          <w:rFonts w:ascii="Courier New" w:hAnsi="Courier New"/>
          <w:sz w:val="20"/>
          <w:szCs w:val="20"/>
          <w:lang w:val="en-US"/>
        </w:rPr>
        <w:t>fail</w:t>
      </w:r>
      <w:r>
        <w:rPr>
          <w:rFonts w:ascii="Courier New" w:hAnsi="Courier New"/>
          <w:sz w:val="20"/>
          <w:szCs w:val="20"/>
        </w:rPr>
        <w:t>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class AuthenticationServer(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private val clientSecret: String,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private val tgsSecret: String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fun requestTGT(clientId: String): Pair&lt;String, String&gt;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sessionKey = generateKey()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tgtData = "$clientId:${sessionKey}:${System.currentTimeMillis()}"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</w:rPr>
        <w:t>// 1. генерируем сессионый ключ и шифруем нашим паролей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// 2. генерим тгт данные и шифруем тгс ключом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return Pair(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sessionKey.xor(clientSecret),  // Для клиента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tgtData.xor(tgsSecret)        // TGT для TGS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class TicketGrantingServer(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private val tgsSecret: String,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private val serviceSecret: String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fun requestServiceTicket(tgt: String, authenticator: String, serviceId: String): Pair&lt;String, String&gt;?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decryptedTGT = tgt.unxor(tgsSecret) // 5. получаем тгт данные с помощью тгт секрета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tgtParts = decryptedTGT.split(":")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(tgtParts.size != 3) return null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(clientId, sessionKey, timestamp) = tgtParts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(System.currentTimeMillis() - timestamp.toLong() &gt; 5000) return null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decryptedAuth = authenticator.unxor(sessionKey) // 6. провеяем что тут клиуент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(decryptedAuth != clientId) return null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serviceSessionKey = generateKey() // 7. генериурем ключ доступа к сервисв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serviceTicket = "$clientId:$serviceSessionKey:${System.currentTimeMillis()}".xor(serviceSecret) // 8. генерим тикет доступа и шифруем серверным сикретом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return Pair(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serviceSessionKey.xor(sessionKey),  // Для клиента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serviceTicket                        // Для сервиса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class ServiceServer(private val serviceSecret: String)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fun validateTicket(serviceTicket: String, authenticator: String): Boolean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decryptedTicket = serviceTicket.unxor(serviceSecret)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ticketParts = decryptedTicket.split(":")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(ticketParts.size != 3) return false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(clientId, sessionKey, timestamp) = ticketParts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(System.currentTimeMillis() - timestamp.toLong() &gt; 5000) return false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decryptedAuth = authenticator.unxor(sessionKey)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return decryptedAuth == "$clientId:${System.currentTimeMillis()}"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class Client(val id: String, private val secret: String)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fun accessService(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auth: AuthenticationServer,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tgs: TicketGrantingServer,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service: ServiceServer,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serviceId: String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): Boolean {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(encSessionKey, tgt) = auth.requestTGT(id)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sessionKey = encSessionKey.unxor(secret) // 3. получаем сессионый ключ и расшифровываем нашим паролей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authenticator = id.xor(sessionKey) // 4. генерим аунтентификатор на базе сессионого ключа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serviceTicketData = tgs.requestServiceTicket(tgt, authenticator, serviceId) ?: return false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(encServiceSessionKey, serviceTicket) = serviceTicketData // 9. Из ответы достаем ключ и тикет доступа к сервису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serviceSessionKey = encServiceSessionKey.unxor(sessionKey) // 10. получаем ключ расшифроывая нашим сессионым ключам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val serviceAuth = "$id:${System.currentTimeMillis()}".xor(serviceSessionKey) // 11. генерим ключ дл] сервера и отпрвляетм на проверку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return service.validateTicket(serviceTicket, serviceAuth)</w:t>
      </w:r>
    </w:p>
    <w:p>
      <w:pPr>
        <w:pStyle w:val="Normal"/>
        <w:jc w:val="left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}</w:t>
      </w:r>
    </w:p>
    <w:p>
      <w:pPr>
        <w:pStyle w:val="Normal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283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lang w:val="en-US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758"/>
    <w:pPr>
      <w:widowControl/>
      <w:suppressAutoHyphens w:val="true"/>
      <w:bidi w:val="0"/>
      <w:spacing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contextualSpacing w:val="false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 w:val="fals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contextualSpacing w:val="false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 w:val="false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 w:val="false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IndexLink" w:customStyle="1">
    <w:name w:val="Index Link"/>
    <w:qFormat/>
    <w:rPr/>
  </w:style>
  <w:style w:type="character" w:styleId="FootnoteCharactersuser" w:customStyle="1">
    <w:name w:val="Footnote Characters (user)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user" w:customStyle="1">
    <w:name w:val="Endnote Characters (user)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eastAsia="Noto Sans CJK SC" w:cs="Noto Sans Devanagari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Noto Sans Devanagari"/>
      <w:i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 w:val="false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643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641e9"/>
    <w:pPr>
      <w:ind w:left="720"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3921df"/>
    <w:pPr>
      <w:spacing w:before="0" w:after="100"/>
      <w:contextualSpacing w:val="false"/>
      <w:jc w:val="center"/>
    </w:pPr>
    <w:rPr>
      <w:b/>
      <w:bCs/>
    </w:rPr>
  </w:style>
  <w:style w:type="paragraph" w:styleId="other" w:customStyle="1">
    <w:name w:val="other"/>
    <w:basedOn w:val="Normal"/>
    <w:qFormat/>
    <w:rsid w:val="002b3758"/>
    <w:pPr>
      <w:jc w:val="center"/>
    </w:pPr>
    <w:rPr/>
  </w:style>
  <w:style w:type="paragraph" w:styleId="IndexHeading">
    <w:name w:val="index heading"/>
    <w:basedOn w:val="Heading"/>
    <w:pPr>
      <w:suppressLineNumbers/>
      <w:ind w:hanging="0"/>
    </w:pPr>
    <w:rPr>
      <w:bCs/>
      <w:szCs w:val="32"/>
    </w:rPr>
  </w:style>
  <w:style w:type="paragraph" w:styleId="TOCHeading">
    <w:name w:val="TOC Heading"/>
    <w:basedOn w:val="Normal"/>
    <w:next w:val="Normal"/>
    <w:autoRedefine/>
    <w:qFormat/>
    <w:pPr>
      <w:suppressLineNumbers/>
      <w:ind w:hanging="0"/>
      <w:jc w:val="center"/>
    </w:pPr>
    <w:rPr>
      <w:b/>
      <w:bCs/>
      <w:sz w:val="32"/>
      <w:szCs w:val="32"/>
    </w:rPr>
  </w:style>
  <w:style w:type="paragraph" w:styleId="STP-14" w:customStyle="1">
    <w:name w:val="STP-14"/>
    <w:next w:val="BodyText"/>
    <w:qFormat/>
    <w:pPr>
      <w:widowControl/>
      <w:numPr>
        <w:ilvl w:val="0"/>
        <w:numId w:val="1"/>
      </w:numPr>
      <w:suppressAutoHyphens w:val="true"/>
      <w:bidi w:val="0"/>
      <w:spacing w:before="0" w:after="0"/>
      <w:contextualSpacing/>
      <w:jc w:val="both"/>
    </w:pPr>
    <w:rPr>
      <w:rFonts w:ascii="Times New Roman" w:hAnsi="Times New Roman" w:eastAsia="Calibri" w:cs="Calibri"/>
      <w:color w:val="000000"/>
      <w:kern w:val="0"/>
      <w:sz w:val="28"/>
      <w:szCs w:val="22"/>
      <w:lang w:val="ru-RU" w:eastAsia="en-US" w:bidi="ar-SA"/>
    </w:rPr>
  </w:style>
  <w:style w:type="paragraph" w:styleId="STP-contents" w:customStyle="1">
    <w:name w:val="STP-contents"/>
    <w:basedOn w:val="STP-14"/>
    <w:next w:val="STP-14"/>
    <w:qFormat/>
    <w:pPr>
      <w:numPr>
        <w:ilvl w:val="0"/>
        <w:numId w:val="0"/>
      </w:numPr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user" w:customStyle="1">
    <w:name w:val="Bullet – (user)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LibreOffice/25.2.1.2$Linux_X86_64 LibreOffice_project/520$Build-2</Application>
  <AppVersion>15.0000</AppVersion>
  <Pages>7</Pages>
  <Words>729</Words>
  <Characters>5616</Characters>
  <CharactersWithSpaces>6732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2025-02-27T21:34:00Z</dcterms:created>
  <dc:creator>Aliaksandr Harhun</dc:creator>
  <dc:description/>
  <dc:language>ru-RU</dc:language>
  <cp:lastModifiedBy/>
  <cp:lastPrinted>2025-02-20T22:20:00Z</cp:lastPrinted>
  <dcterms:modified xsi:type="dcterms:W3CDTF">2025-05-14T00:25:28Z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