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7941" w14:textId="77777777" w:rsidR="00736C52" w:rsidRDefault="00000000">
      <w:pPr>
        <w:spacing w:line="480" w:lineRule="auto"/>
        <w:ind w:right="-607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59-я Научная Конференция Аспирантов, Магистрантов и Студентов БГУИР, Минск, 2023</w:t>
      </w:r>
    </w:p>
    <w:p w14:paraId="76946EED" w14:textId="0248BC4D" w:rsidR="00736C52" w:rsidRDefault="00AF6F6C">
      <w:pPr>
        <w:keepNext/>
        <w:keepLines/>
        <w:spacing w:before="240" w:after="240"/>
        <w:ind w:firstLine="720"/>
        <w:jc w:val="center"/>
        <w:rPr>
          <w:b/>
          <w:sz w:val="28"/>
          <w:szCs w:val="28"/>
        </w:rPr>
      </w:pPr>
      <w:r w:rsidRPr="00AF6F6C">
        <w:rPr>
          <w:b/>
          <w:sz w:val="28"/>
          <w:szCs w:val="28"/>
        </w:rPr>
        <w:t>ОГРАНИЧЕНИЯ РОСТА МОЩНОСТЕЙ НЕЙРОННЫХ СЕТЕЙ: ФИЗИЧЕСКИЕ И ЭНЕРГЕТИЧЕСКИЕ АСПЕКТЫ</w:t>
      </w:r>
    </w:p>
    <w:p w14:paraId="5344AD10" w14:textId="77777777" w:rsidR="00AF6F6C" w:rsidRPr="00A518C5" w:rsidRDefault="00AF6F6C" w:rsidP="00AF6F6C">
      <w:pPr>
        <w:spacing w:line="240" w:lineRule="auto"/>
        <w:ind w:right="-608"/>
        <w:jc w:val="center"/>
        <w:rPr>
          <w:i/>
          <w:szCs w:val="18"/>
        </w:rPr>
      </w:pPr>
      <w:r w:rsidRPr="00A518C5">
        <w:rPr>
          <w:i/>
          <w:szCs w:val="18"/>
        </w:rPr>
        <w:t>Касьян В. А. студент группы 253501, Ахметов Р. Я. студент группы 25302,</w:t>
      </w:r>
      <w:r w:rsidRPr="00A518C5">
        <w:rPr>
          <w:i/>
          <w:szCs w:val="18"/>
        </w:rPr>
        <w:br/>
        <w:t xml:space="preserve"> Сенько Н. С. студент группы 25302, </w:t>
      </w:r>
      <w:proofErr w:type="spellStart"/>
      <w:r w:rsidRPr="00A518C5">
        <w:rPr>
          <w:i/>
          <w:szCs w:val="18"/>
        </w:rPr>
        <w:t>Владымцев</w:t>
      </w:r>
      <w:proofErr w:type="spellEnd"/>
      <w:r w:rsidRPr="00A518C5">
        <w:rPr>
          <w:i/>
          <w:szCs w:val="18"/>
        </w:rPr>
        <w:t xml:space="preserve"> В. Д. – ассистент каф. Информатики</w:t>
      </w:r>
    </w:p>
    <w:p w14:paraId="0CB02FA8" w14:textId="77777777" w:rsidR="00AF6F6C" w:rsidRPr="00A518C5" w:rsidRDefault="00AF6F6C" w:rsidP="00AF6F6C">
      <w:pPr>
        <w:spacing w:line="240" w:lineRule="auto"/>
        <w:ind w:right="-608"/>
        <w:jc w:val="center"/>
        <w:rPr>
          <w:i/>
          <w:sz w:val="20"/>
          <w:szCs w:val="20"/>
        </w:rPr>
      </w:pPr>
      <w:r w:rsidRPr="00A518C5">
        <w:rPr>
          <w:i/>
          <w:sz w:val="20"/>
          <w:szCs w:val="20"/>
        </w:rPr>
        <w:t xml:space="preserve"> Белорусский государственный университет информатики и радиоэлектроники</w:t>
      </w:r>
    </w:p>
    <w:p w14:paraId="54F729FA" w14:textId="3C5FB908" w:rsidR="00736C52" w:rsidRDefault="00AF6F6C" w:rsidP="00AF6F6C">
      <w:pPr>
        <w:spacing w:line="240" w:lineRule="auto"/>
        <w:ind w:right="-608"/>
        <w:jc w:val="center"/>
        <w:rPr>
          <w:i/>
          <w:sz w:val="20"/>
          <w:szCs w:val="20"/>
        </w:rPr>
      </w:pPr>
      <w:r w:rsidRPr="00A518C5">
        <w:rPr>
          <w:i/>
          <w:sz w:val="20"/>
          <w:szCs w:val="20"/>
        </w:rPr>
        <w:t>г. Минск, Республика Беларусь</w:t>
      </w:r>
    </w:p>
    <w:p w14:paraId="29122E2B" w14:textId="1D92A3A6" w:rsidR="00736C52" w:rsidRDefault="00000000">
      <w:pPr>
        <w:spacing w:line="240" w:lineRule="auto"/>
        <w:ind w:right="-607"/>
        <w:jc w:val="both"/>
        <w:rPr>
          <w:i/>
          <w:sz w:val="16"/>
          <w:szCs w:val="16"/>
        </w:rPr>
      </w:pPr>
      <w:r>
        <w:rPr>
          <w:b/>
          <w:i/>
          <w:sz w:val="16"/>
          <w:szCs w:val="16"/>
        </w:rPr>
        <w:t>Аннотация</w:t>
      </w:r>
      <w:r>
        <w:rPr>
          <w:i/>
          <w:sz w:val="16"/>
          <w:szCs w:val="16"/>
        </w:rPr>
        <w:t xml:space="preserve">. </w:t>
      </w:r>
      <w:r w:rsidR="00AF6F6C" w:rsidRPr="00AF6F6C">
        <w:rPr>
          <w:i/>
          <w:sz w:val="16"/>
          <w:szCs w:val="16"/>
        </w:rPr>
        <w:t>В данной научной работе рассматриваются ограничения роста мощностей нейронных сетей, вызванные физическими и энергетическими ограничениями современных компьютеров. Проводится анализ влияния энергопотребления, роста стоимости и роста производительности компьютеров на развитие нейронных сетей, а также предлагаются пути оптимизации и возможные решения для снижения энергоемкости и стоимости обучения нейронных сетей.</w:t>
      </w:r>
    </w:p>
    <w:p w14:paraId="4A9F3AD7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Нейронные сети являются ключевым инструментом в области искусственного интеллекта и применяются в различных областях, от компьютерного зрения до голосового и текстового понимания. Увеличение эффективности и сложности нейронных сетей связано с увеличением вычислительных ресурсов и производительности компьютеров.</w:t>
      </w:r>
    </w:p>
    <w:p w14:paraId="59A114A8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Однако, существует гипотеза, что рост мощностей нейронных сетей может попасть в серьезные физические и энергетические ограничения, вызванные ограничениями современных компьютеров. Например, увеличение энергопотребления, рост стоимости оборудования и инфраструктуры, а также замедление темпов роста производительности компьютеров могут привести к ограничению развития нейронных сетей или даже достижению практического предела их мощности.</w:t>
      </w:r>
    </w:p>
    <w:p w14:paraId="13A266F9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Поэтому важно проводить анализ этих физических и энергетических ограничений и искать способы оптимизации и улучшения эффективности нейронных сетей. Это может включать в себя исследование новых архитектур нейронных сетей, использование более эффективных алгоритмов обучения, а также исследование возможности использования более энергоэффективных компьютерных систем для обучения и применения нейронных сетей.</w:t>
      </w:r>
    </w:p>
    <w:p w14:paraId="58550E2F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Цель данной научной работы заключается в анализе физических и энергетических ограничений, с которыми сталкивается развитие нейронных сетей, и в предложении путей оптимизации и возможных решений для снижения энергоемкости и стоимости обучения нейронных сетей. В работе рассматриваются три ключевых аспекта, влияющих на ограничение мощностей нейронных сетей: энергопотребление, рост стоимости и рост производительности компьютеров.</w:t>
      </w:r>
    </w:p>
    <w:p w14:paraId="520E15F6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 xml:space="preserve">Машинное обучение продолжает направляться к возрастанию потребления энергии, что делает модель дорогостоящей, неэффективной и неустойчивой. Большая часть компаний в погоне за качеством изменяет нейросети количественно: увеличивает их размер, что приводит </w:t>
      </w:r>
      <w:proofErr w:type="gramStart"/>
      <w:r w:rsidRPr="00A518C5">
        <w:rPr>
          <w:rFonts w:cs="Arial"/>
        </w:rPr>
        <w:t>к  появлению</w:t>
      </w:r>
      <w:proofErr w:type="gramEnd"/>
      <w:r w:rsidRPr="00A518C5">
        <w:rPr>
          <w:rFonts w:cs="Arial"/>
        </w:rPr>
        <w:t xml:space="preserve"> невероятно ресурсоемких моделей.[1]</w:t>
      </w:r>
    </w:p>
    <w:p w14:paraId="016D65FF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 xml:space="preserve">Такое поведение компаний приводит к тому, что мощности, потребляемые ими на тренировку и использование нейросетей растут экспоненциально, что в конечном итоге приводит к дефициту электроэнергии, не говоря о воздействии на экологию. Однако есть и путь улучшения качества нейросетей и их обучения.[2] Модели, разработанные с использованием оптимизированного и эффективного обучения, оказываются более точными и менее зависимыми от ресурсов. Нейронная сеть </w:t>
      </w:r>
      <w:proofErr w:type="spellStart"/>
      <w:r w:rsidRPr="00A518C5">
        <w:rPr>
          <w:rFonts w:cs="Arial"/>
        </w:rPr>
        <w:t>Vicuna</w:t>
      </w:r>
      <w:proofErr w:type="spellEnd"/>
      <w:r w:rsidRPr="00A518C5">
        <w:rPr>
          <w:rFonts w:cs="Arial"/>
        </w:rPr>
        <w:t xml:space="preserve"> 13B, основанная на </w:t>
      </w:r>
      <w:proofErr w:type="spellStart"/>
      <w:r w:rsidRPr="00A518C5">
        <w:rPr>
          <w:rFonts w:cs="Arial"/>
        </w:rPr>
        <w:t>LLaMA</w:t>
      </w:r>
      <w:proofErr w:type="spellEnd"/>
      <w:r w:rsidRPr="00A518C5">
        <w:rPr>
          <w:rFonts w:cs="Arial"/>
        </w:rPr>
        <w:t xml:space="preserve"> 13B, имеет размер в 13,5 раз меньше, чем GPT-3, но качество генерации текста сравнимое с GPT-3. Кроме того, GPT-4, имеющая примерно в 5000 раз больше параметров, отстает в точности отдельных генераций текстов, что демонстрирует, что правильно обученная, сравнительно небольшая модель может работать наравне с гораздо более крупными моделями. Такие модели также обладают высокой энергоэффективностью: </w:t>
      </w:r>
      <w:proofErr w:type="spellStart"/>
      <w:r w:rsidRPr="00A518C5">
        <w:rPr>
          <w:rFonts w:cs="Arial"/>
        </w:rPr>
        <w:t>Vicuna</w:t>
      </w:r>
      <w:proofErr w:type="spellEnd"/>
      <w:r w:rsidRPr="00A518C5">
        <w:rPr>
          <w:rFonts w:cs="Arial"/>
        </w:rPr>
        <w:t xml:space="preserve"> можно запустить на настольном компьютере или даже смартфоне, в то время как GPT-3 и GPT-4 требуют больших вычислительных кластеров для работы.</w:t>
      </w:r>
    </w:p>
    <w:p w14:paraId="5CEEA321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С ростом мощностей нейронных сетей увеличиваются и затраты на их обучение и эксплуатацию. Этот рост затрат связан с несколькими факторами, включая аппаратное обеспечение, энергопотребление, стоимость хранения данных и затраты на человеческие ресурсы.</w:t>
      </w:r>
    </w:p>
    <w:p w14:paraId="49F50B5F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С развитием машинного обучения возрастает спрос на мощные графические процессоры (GPU), специализированные интегральные схемы (ASIC) и другие высокопроизводительные вычислительные устройства. Это приводит к увеличению инвестиций в разработку и производство таких устройств, а также к снижению стоимости их производства на единицу вычислительной мощности.</w:t>
      </w:r>
    </w:p>
    <w:p w14:paraId="58C20D68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Кроме того, энергопотребление нейронных сетей растет с увеличением их мощностей и сложности. Большие центры обработки данных, которые используются для обучения и эксплуатации нейронных сетей, потребляют огромное количество электроэнергии, что ведет к увеличению затрат на электричество и негативному воздействию на окружающую среду.</w:t>
      </w:r>
    </w:p>
    <w:p w14:paraId="27893D14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 xml:space="preserve">Для накопления и хранения больших объемов данных, необходимых для обучения нейронных сетей, требуются значительные инвестиции в инфраструктуру хранения данных, такую как облачные </w:t>
      </w:r>
      <w:r w:rsidRPr="00A518C5">
        <w:rPr>
          <w:rFonts w:cs="Arial"/>
        </w:rPr>
        <w:lastRenderedPageBreak/>
        <w:t>хранилища и серверы. В связи с этим увеличиваются затраты на поддержание и расширение такой инфраструктуры, что также сказывается на общих затратах на нейронные сети.</w:t>
      </w:r>
    </w:p>
    <w:p w14:paraId="56F8EA20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Разработка, обучение и эксплуатация нейронных сетей требуют высококвалифицированных специалистов в области машинного обучения, программирования и других технических дисциплин. Рост мощностей нейронных сетей и увеличение их сложности могут привести к увеличению затрат на оплату труда и обучение специалистов. В связи с этим многие компании инвестируют в разработку и обучение своих сотрудников, что также может повлиять на общие затраты.</w:t>
      </w:r>
    </w:p>
    <w:p w14:paraId="263AC0DE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Несмотря на все эти вызовы, индустрия машинного обучения и искусственного интеллекта продолжает развиваться и прогрессировать. Исследователи и разработчики постоянно стремятся к созданию более эффективных и энергоэффективных алгоритмов и архитектур нейронных сетей. В результате появляются новые методы обучения, которые требуют меньше вычислительных ресурсов и энергии.</w:t>
      </w:r>
    </w:p>
    <w:p w14:paraId="3705C610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 xml:space="preserve">Также растет использование аппаратных решений, специально предназначенных для работы с нейронными сетями, таких как специализированные интегральные схемы (ASIC) и вычислительные модули, например, </w:t>
      </w:r>
      <w:proofErr w:type="spellStart"/>
      <w:r w:rsidRPr="00A518C5">
        <w:rPr>
          <w:rFonts w:cs="Arial"/>
        </w:rPr>
        <w:t>Tensor</w:t>
      </w:r>
      <w:proofErr w:type="spellEnd"/>
      <w:r w:rsidRPr="00A518C5">
        <w:rPr>
          <w:rFonts w:cs="Arial"/>
        </w:rPr>
        <w:t xml:space="preserve"> Processing </w:t>
      </w:r>
      <w:proofErr w:type="spellStart"/>
      <w:r w:rsidRPr="00A518C5">
        <w:rPr>
          <w:rFonts w:cs="Arial"/>
        </w:rPr>
        <w:t>Units</w:t>
      </w:r>
      <w:proofErr w:type="spellEnd"/>
      <w:r w:rsidRPr="00A518C5">
        <w:rPr>
          <w:rFonts w:cs="Arial"/>
        </w:rPr>
        <w:t xml:space="preserve"> (TPU). Эти устройства предоставляют значительный прирост производительности и энергоэффективности по сравнению с традиционными чипами, что позволяет сократить затраты на обучение и эксплуатацию нейронных сетей.</w:t>
      </w:r>
    </w:p>
    <w:p w14:paraId="738C1D3D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С учетом роста количества транзисторов на интегральной схеме (Закон Мура), разработчики нейронных сетей могут использовать все больше вычислительных ресурсов для улучшения алгоритмов и обучения моделей. Однако наблюдается тенденция, подобная Закону Мура для нейросетей, закон Касьяна-Ахметова-Сенько (Закон КАС): удвоение требуемой мощности для обработки нейросетей происходит каждые 6 месяцев. Такая тенденция создает дополнительное давление на промышленность, которая уже едва ли может поддерживать увеличение мощностей по закону Мура, чего тем более не хватает для выполнения Закона КАС.</w:t>
      </w:r>
    </w:p>
    <w:p w14:paraId="614AADA9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В целом, с увеличением мощностей нейронных сетей растут и стоимость их обучения и эксплуатации. Однако, благодаря активному развитию технологий и аппаратного обеспечения, инновационным методам обучения и оптимизации алгоритмов, индустрия машинного обучения и искусственного интеллекта продолжает находить пути для сокращения затрат и повышения эффективности своих решений.</w:t>
      </w:r>
    </w:p>
    <w:p w14:paraId="08F51A05" w14:textId="77777777" w:rsidR="00AF6F6C" w:rsidRPr="00A518C5" w:rsidRDefault="00AF6F6C" w:rsidP="00AF6F6C">
      <w:pPr>
        <w:pStyle w:val="-"/>
        <w:ind w:right="-608" w:firstLine="0"/>
        <w:rPr>
          <w:rFonts w:cs="Arial"/>
        </w:rPr>
      </w:pPr>
      <w:r w:rsidRPr="00A518C5">
        <w:rPr>
          <w:rFonts w:cs="Arial"/>
        </w:rPr>
        <w:t>Выводы:</w:t>
      </w:r>
    </w:p>
    <w:p w14:paraId="3DF3DB54" w14:textId="77777777" w:rsidR="00AF6F6C" w:rsidRPr="00A518C5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 xml:space="preserve">Современные нейронные сети стали значительно мощнее и сложнее, что приводит к росту их энергопотребления, стоимости и производительности компьютеров. Рост </w:t>
      </w:r>
      <w:proofErr w:type="spellStart"/>
      <w:r w:rsidRPr="00A518C5">
        <w:rPr>
          <w:rFonts w:cs="Arial"/>
        </w:rPr>
        <w:t>нейросетевых</w:t>
      </w:r>
      <w:proofErr w:type="spellEnd"/>
      <w:r w:rsidRPr="00A518C5">
        <w:rPr>
          <w:rFonts w:cs="Arial"/>
        </w:rPr>
        <w:t xml:space="preserve"> моделей происходит по Закону КАС: удвоение требуемой мощности для обработки нейросетей происходит каждые 6 месяцев.</w:t>
      </w:r>
    </w:p>
    <w:p w14:paraId="4F31F11E" w14:textId="77777777" w:rsidR="00AF6F6C" w:rsidRPr="00AF6F6C" w:rsidRDefault="00AF6F6C" w:rsidP="00AF6F6C">
      <w:pPr>
        <w:pStyle w:val="-"/>
        <w:ind w:right="-608" w:firstLine="708"/>
        <w:rPr>
          <w:rFonts w:cs="Arial"/>
        </w:rPr>
      </w:pPr>
      <w:r w:rsidRPr="00A518C5">
        <w:rPr>
          <w:rFonts w:cs="Arial"/>
        </w:rPr>
        <w:t>Экологические и экономические проблемы, связанные с ростом энергопотребления, привлекают внимание исследователей и инженеров, которые ищут методы оптимизации энергопотребления, включая снижение мощности моделей, использование более энергоэффективных алгоритмов и оборудования, а также разработку аппаратных решений, специализированных для работы с нейронными сетями. Важность такой оптимизации будет расти с усугублением экологических и энергетических проблем.</w:t>
      </w:r>
      <w:r>
        <w:rPr>
          <w:rFonts w:cs="Arial"/>
        </w:rPr>
        <w:t xml:space="preserve"> </w:t>
      </w:r>
      <w:r w:rsidRPr="00A518C5">
        <w:rPr>
          <w:rFonts w:cs="Arial"/>
        </w:rPr>
        <w:t>Увеличение стоимости нейронных сетей связано с ростом затрат на аппаратное обеспечение, энергетические затраты, хранение данных и человеческие ресурсы.</w:t>
      </w:r>
    </w:p>
    <w:p w14:paraId="61F8968E" w14:textId="77777777" w:rsidR="00736C52" w:rsidRPr="00CD27FA" w:rsidRDefault="00736C52" w:rsidP="00CD27FA">
      <w:pPr>
        <w:spacing w:line="240" w:lineRule="auto"/>
        <w:ind w:right="-607"/>
        <w:jc w:val="both"/>
        <w:rPr>
          <w:color w:val="1A1A1A"/>
          <w:sz w:val="20"/>
          <w:szCs w:val="20"/>
          <w:highlight w:val="white"/>
          <w:lang w:val="ru-RU"/>
        </w:rPr>
      </w:pPr>
    </w:p>
    <w:p w14:paraId="38C63AC8" w14:textId="77777777" w:rsidR="00006711" w:rsidRDefault="00006711" w:rsidP="00006711">
      <w:pPr>
        <w:spacing w:line="240" w:lineRule="auto"/>
        <w:ind w:firstLine="567"/>
        <w:jc w:val="both"/>
        <w:rPr>
          <w:color w:val="1A1A1A"/>
          <w:sz w:val="20"/>
          <w:szCs w:val="20"/>
          <w:highlight w:val="white"/>
        </w:rPr>
      </w:pPr>
      <w:r>
        <w:rPr>
          <w:b/>
          <w:i/>
          <w:sz w:val="16"/>
          <w:szCs w:val="16"/>
        </w:rPr>
        <w:t>Список использованных источников:</w:t>
      </w:r>
    </w:p>
    <w:p w14:paraId="27C9D849" w14:textId="77777777" w:rsidR="00006711" w:rsidRPr="00A518C5" w:rsidRDefault="00006711" w:rsidP="00006711">
      <w:pPr>
        <w:pStyle w:val="-0"/>
        <w:numPr>
          <w:ilvl w:val="0"/>
          <w:numId w:val="1"/>
        </w:numPr>
        <w:tabs>
          <w:tab w:val="clear" w:pos="567"/>
        </w:tabs>
        <w:ind w:left="0" w:right="-608" w:firstLine="540"/>
        <w:rPr>
          <w:rFonts w:cs="Arial"/>
          <w:lang w:val="ru-RU"/>
        </w:rPr>
      </w:pPr>
      <w:proofErr w:type="gramStart"/>
      <w:r w:rsidRPr="00A518C5">
        <w:rPr>
          <w:rFonts w:cs="Arial"/>
          <w:i w:val="0"/>
          <w:color w:val="000000"/>
          <w:highlight w:val="white"/>
        </w:rPr>
        <w:t>Medium</w:t>
      </w:r>
      <w:r w:rsidRPr="00A518C5">
        <w:rPr>
          <w:rFonts w:cs="Arial"/>
          <w:i w:val="0"/>
          <w:color w:val="000000"/>
          <w:highlight w:val="white"/>
          <w:lang w:val="ru-RU"/>
        </w:rPr>
        <w:t>[</w:t>
      </w:r>
      <w:proofErr w:type="gramEnd"/>
      <w:r w:rsidRPr="00A518C5">
        <w:rPr>
          <w:rFonts w:cs="Arial"/>
          <w:i w:val="0"/>
          <w:color w:val="000000"/>
          <w:highlight w:val="white"/>
          <w:lang w:val="ru-RU"/>
        </w:rPr>
        <w:t xml:space="preserve">Электронный ресурс]. – Режим доступа: </w:t>
      </w:r>
      <w:r w:rsidRPr="00A518C5">
        <w:rPr>
          <w:rFonts w:cs="Arial"/>
          <w:i w:val="0"/>
          <w:color w:val="000000"/>
          <w:highlight w:val="white"/>
        </w:rPr>
        <w:t>URL</w:t>
      </w:r>
      <w:r w:rsidRPr="00A518C5">
        <w:rPr>
          <w:rFonts w:cs="Arial"/>
          <w:i w:val="0"/>
          <w:color w:val="000000"/>
          <w:highlight w:val="white"/>
          <w:lang w:val="ru-RU"/>
        </w:rPr>
        <w:t>:</w:t>
      </w:r>
      <w:hyperlink r:id="rId7" w:tgtFrame="https://medium.com/illumination/gpt-3-vs-gpt-4-987872f48ecf">
        <w:r w:rsidRPr="00A518C5">
          <w:rPr>
            <w:rStyle w:val="a9"/>
            <w:rFonts w:cs="Arial"/>
          </w:rPr>
          <w:t>https</w:t>
        </w:r>
        <w:r w:rsidRPr="00A518C5">
          <w:rPr>
            <w:rStyle w:val="a9"/>
            <w:rFonts w:cs="Arial"/>
            <w:lang w:val="ru-RU"/>
          </w:rPr>
          <w:t>://</w:t>
        </w:r>
        <w:r w:rsidRPr="00A518C5">
          <w:rPr>
            <w:rStyle w:val="a9"/>
            <w:rFonts w:cs="Arial"/>
          </w:rPr>
          <w:t>medium</w:t>
        </w:r>
        <w:r w:rsidRPr="00A518C5">
          <w:rPr>
            <w:rStyle w:val="a9"/>
            <w:rFonts w:cs="Arial"/>
            <w:lang w:val="ru-RU"/>
          </w:rPr>
          <w:t>.</w:t>
        </w:r>
        <w:r w:rsidRPr="00A518C5">
          <w:rPr>
            <w:rStyle w:val="a9"/>
            <w:rFonts w:cs="Arial"/>
          </w:rPr>
          <w:t>com</w:t>
        </w:r>
        <w:r w:rsidRPr="00A518C5">
          <w:rPr>
            <w:rStyle w:val="a9"/>
            <w:rFonts w:cs="Arial"/>
            <w:lang w:val="ru-RU"/>
          </w:rPr>
          <w:t>/</w:t>
        </w:r>
        <w:r w:rsidRPr="00A518C5">
          <w:rPr>
            <w:rStyle w:val="a9"/>
            <w:rFonts w:cs="Arial"/>
          </w:rPr>
          <w:t>illumination</w:t>
        </w:r>
        <w:r w:rsidRPr="00A518C5">
          <w:rPr>
            <w:rStyle w:val="a9"/>
            <w:rFonts w:cs="Arial"/>
            <w:lang w:val="ru-RU"/>
          </w:rPr>
          <w:t>/</w:t>
        </w:r>
        <w:proofErr w:type="spellStart"/>
        <w:r w:rsidRPr="00A518C5">
          <w:rPr>
            <w:rStyle w:val="a9"/>
            <w:rFonts w:cs="Arial"/>
          </w:rPr>
          <w:t>gpt</w:t>
        </w:r>
        <w:proofErr w:type="spellEnd"/>
        <w:r w:rsidRPr="00A518C5">
          <w:rPr>
            <w:rStyle w:val="a9"/>
            <w:rFonts w:cs="Arial"/>
            <w:lang w:val="ru-RU"/>
          </w:rPr>
          <w:t>-3-</w:t>
        </w:r>
        <w:r w:rsidRPr="00A518C5">
          <w:rPr>
            <w:rStyle w:val="a9"/>
            <w:rFonts w:cs="Arial"/>
          </w:rPr>
          <w:t>vs</w:t>
        </w:r>
        <w:r w:rsidRPr="00A518C5">
          <w:rPr>
            <w:rStyle w:val="a9"/>
            <w:rFonts w:cs="Arial"/>
            <w:lang w:val="ru-RU"/>
          </w:rPr>
          <w:t>-</w:t>
        </w:r>
        <w:proofErr w:type="spellStart"/>
        <w:r w:rsidRPr="00A518C5">
          <w:rPr>
            <w:rStyle w:val="a9"/>
            <w:rFonts w:cs="Arial"/>
          </w:rPr>
          <w:t>gpt</w:t>
        </w:r>
        <w:proofErr w:type="spellEnd"/>
        <w:r w:rsidRPr="00A518C5">
          <w:rPr>
            <w:rStyle w:val="a9"/>
            <w:rFonts w:cs="Arial"/>
            <w:lang w:val="ru-RU"/>
          </w:rPr>
          <w:t>-4-987872</w:t>
        </w:r>
        <w:r w:rsidRPr="00A518C5">
          <w:rPr>
            <w:rStyle w:val="a9"/>
            <w:rFonts w:cs="Arial"/>
          </w:rPr>
          <w:t>f</w:t>
        </w:r>
        <w:r w:rsidRPr="00A518C5">
          <w:rPr>
            <w:rStyle w:val="a9"/>
            <w:rFonts w:cs="Arial"/>
            <w:lang w:val="ru-RU"/>
          </w:rPr>
          <w:t>48</w:t>
        </w:r>
        <w:proofErr w:type="spellStart"/>
        <w:r w:rsidRPr="00A518C5">
          <w:rPr>
            <w:rStyle w:val="a9"/>
            <w:rFonts w:cs="Arial"/>
          </w:rPr>
          <w:t>ecf</w:t>
        </w:r>
        <w:proofErr w:type="spellEnd"/>
      </w:hyperlink>
      <w:r w:rsidRPr="00A518C5">
        <w:rPr>
          <w:rFonts w:cs="Arial"/>
          <w:lang w:val="ru-RU"/>
        </w:rPr>
        <w:t xml:space="preserve"> (дата обращения: 11.04.2023).</w:t>
      </w:r>
    </w:p>
    <w:p w14:paraId="057B22E4" w14:textId="77777777" w:rsidR="00006711" w:rsidRPr="00A518C5" w:rsidRDefault="00006711" w:rsidP="00006711">
      <w:pPr>
        <w:pStyle w:val="-0"/>
        <w:numPr>
          <w:ilvl w:val="0"/>
          <w:numId w:val="1"/>
        </w:numPr>
        <w:tabs>
          <w:tab w:val="clear" w:pos="567"/>
        </w:tabs>
        <w:ind w:left="0" w:right="-608" w:firstLine="540"/>
        <w:rPr>
          <w:rFonts w:cs="Arial"/>
          <w:lang w:val="ru-RU"/>
        </w:rPr>
      </w:pPr>
      <w:r w:rsidRPr="00A518C5">
        <w:rPr>
          <w:rFonts w:cs="Arial"/>
          <w:i w:val="0"/>
          <w:color w:val="000000"/>
          <w:highlight w:val="white"/>
          <w:lang w:val="ru-RU"/>
        </w:rPr>
        <w:t xml:space="preserve"> </w:t>
      </w:r>
      <w:proofErr w:type="gramStart"/>
      <w:r w:rsidRPr="00A518C5">
        <w:rPr>
          <w:rFonts w:cs="Arial"/>
          <w:i w:val="0"/>
          <w:color w:val="000000"/>
          <w:highlight w:val="white"/>
        </w:rPr>
        <w:t>Medium</w:t>
      </w:r>
      <w:r w:rsidRPr="00A518C5">
        <w:rPr>
          <w:rFonts w:cs="Arial"/>
          <w:i w:val="0"/>
          <w:color w:val="000000"/>
          <w:highlight w:val="white"/>
          <w:lang w:val="ru-RU"/>
        </w:rPr>
        <w:t>[</w:t>
      </w:r>
      <w:proofErr w:type="gramEnd"/>
      <w:r w:rsidRPr="00A518C5">
        <w:rPr>
          <w:rFonts w:cs="Arial"/>
          <w:i w:val="0"/>
          <w:color w:val="000000"/>
          <w:highlight w:val="white"/>
          <w:lang w:val="ru-RU"/>
        </w:rPr>
        <w:t xml:space="preserve">Электронный ресурс]. – Режим доступа: </w:t>
      </w:r>
      <w:r w:rsidRPr="00A518C5">
        <w:rPr>
          <w:rFonts w:cs="Arial"/>
          <w:i w:val="0"/>
          <w:color w:val="000000"/>
          <w:highlight w:val="white"/>
        </w:rPr>
        <w:t>URL</w:t>
      </w:r>
      <w:r w:rsidRPr="00A518C5">
        <w:rPr>
          <w:rFonts w:cs="Arial"/>
          <w:i w:val="0"/>
          <w:color w:val="000000"/>
          <w:highlight w:val="white"/>
          <w:lang w:val="ru-RU"/>
        </w:rPr>
        <w:t>:</w:t>
      </w:r>
      <w:hyperlink r:id="rId8" w:tgtFrame="https://medium.com/illumination/meta-llama-vs-chatgpt-a-detailed-comparison-9794ccedd41c">
        <w:r w:rsidRPr="00A518C5">
          <w:rPr>
            <w:rStyle w:val="a9"/>
            <w:rFonts w:cs="Arial"/>
          </w:rPr>
          <w:t>https</w:t>
        </w:r>
        <w:r w:rsidRPr="00A518C5">
          <w:rPr>
            <w:rStyle w:val="a9"/>
            <w:rFonts w:cs="Arial"/>
            <w:lang w:val="ru-RU"/>
          </w:rPr>
          <w:t>://</w:t>
        </w:r>
        <w:r w:rsidRPr="00A518C5">
          <w:rPr>
            <w:rStyle w:val="a9"/>
            <w:rFonts w:cs="Arial"/>
          </w:rPr>
          <w:t>medium</w:t>
        </w:r>
        <w:r w:rsidRPr="00A518C5">
          <w:rPr>
            <w:rStyle w:val="a9"/>
            <w:rFonts w:cs="Arial"/>
            <w:lang w:val="ru-RU"/>
          </w:rPr>
          <w:t>.</w:t>
        </w:r>
        <w:r w:rsidRPr="00A518C5">
          <w:rPr>
            <w:rStyle w:val="a9"/>
            <w:rFonts w:cs="Arial"/>
          </w:rPr>
          <w:t>com</w:t>
        </w:r>
        <w:r w:rsidRPr="00A518C5">
          <w:rPr>
            <w:rStyle w:val="a9"/>
            <w:rFonts w:cs="Arial"/>
            <w:lang w:val="ru-RU"/>
          </w:rPr>
          <w:t>/</w:t>
        </w:r>
        <w:r w:rsidRPr="00A518C5">
          <w:rPr>
            <w:rStyle w:val="a9"/>
            <w:rFonts w:cs="Arial"/>
          </w:rPr>
          <w:t>illumination</w:t>
        </w:r>
        <w:r w:rsidRPr="00A518C5">
          <w:rPr>
            <w:rStyle w:val="a9"/>
            <w:rFonts w:cs="Arial"/>
            <w:lang w:val="ru-RU"/>
          </w:rPr>
          <w:t>/</w:t>
        </w:r>
        <w:r w:rsidRPr="00A518C5">
          <w:rPr>
            <w:rStyle w:val="a9"/>
            <w:rFonts w:cs="Arial"/>
          </w:rPr>
          <w:t>meta</w:t>
        </w:r>
        <w:r w:rsidRPr="00A518C5">
          <w:rPr>
            <w:rStyle w:val="a9"/>
            <w:rFonts w:cs="Arial"/>
            <w:lang w:val="ru-RU"/>
          </w:rPr>
          <w:t>-</w:t>
        </w:r>
        <w:r w:rsidRPr="00A518C5">
          <w:rPr>
            <w:rStyle w:val="a9"/>
            <w:rFonts w:cs="Arial"/>
          </w:rPr>
          <w:t>llama</w:t>
        </w:r>
        <w:r w:rsidRPr="00A518C5">
          <w:rPr>
            <w:rStyle w:val="a9"/>
            <w:rFonts w:cs="Arial"/>
            <w:lang w:val="ru-RU"/>
          </w:rPr>
          <w:t>-</w:t>
        </w:r>
        <w:r w:rsidRPr="00A518C5">
          <w:rPr>
            <w:rStyle w:val="a9"/>
            <w:rFonts w:cs="Arial"/>
          </w:rPr>
          <w:t>vs</w:t>
        </w:r>
        <w:r w:rsidRPr="00A518C5">
          <w:rPr>
            <w:rStyle w:val="a9"/>
            <w:rFonts w:cs="Arial"/>
            <w:lang w:val="ru-RU"/>
          </w:rPr>
          <w:t>-</w:t>
        </w:r>
        <w:proofErr w:type="spellStart"/>
        <w:r w:rsidRPr="00A518C5">
          <w:rPr>
            <w:rStyle w:val="a9"/>
            <w:rFonts w:cs="Arial"/>
          </w:rPr>
          <w:t>chatgpt</w:t>
        </w:r>
        <w:proofErr w:type="spellEnd"/>
        <w:r w:rsidRPr="00A518C5">
          <w:rPr>
            <w:rStyle w:val="a9"/>
            <w:rFonts w:cs="Arial"/>
            <w:lang w:val="ru-RU"/>
          </w:rPr>
          <w:t>-</w:t>
        </w:r>
        <w:r w:rsidRPr="00A518C5">
          <w:rPr>
            <w:rStyle w:val="a9"/>
            <w:rFonts w:cs="Arial"/>
          </w:rPr>
          <w:t>a</w:t>
        </w:r>
        <w:r w:rsidRPr="00A518C5">
          <w:rPr>
            <w:rStyle w:val="a9"/>
            <w:rFonts w:cs="Arial"/>
            <w:lang w:val="ru-RU"/>
          </w:rPr>
          <w:t>-</w:t>
        </w:r>
        <w:r w:rsidRPr="00A518C5">
          <w:rPr>
            <w:rStyle w:val="a9"/>
            <w:rFonts w:cs="Arial"/>
          </w:rPr>
          <w:t>detailed</w:t>
        </w:r>
        <w:r w:rsidRPr="00A518C5">
          <w:rPr>
            <w:rStyle w:val="a9"/>
            <w:rFonts w:cs="Arial"/>
            <w:lang w:val="ru-RU"/>
          </w:rPr>
          <w:t>-</w:t>
        </w:r>
        <w:r w:rsidRPr="00A518C5">
          <w:rPr>
            <w:rStyle w:val="a9"/>
            <w:rFonts w:cs="Arial"/>
          </w:rPr>
          <w:t>comparison</w:t>
        </w:r>
        <w:r w:rsidRPr="00A518C5">
          <w:rPr>
            <w:rStyle w:val="a9"/>
            <w:rFonts w:cs="Arial"/>
            <w:lang w:val="ru-RU"/>
          </w:rPr>
          <w:t>-9794</w:t>
        </w:r>
        <w:proofErr w:type="spellStart"/>
        <w:r w:rsidRPr="00A518C5">
          <w:rPr>
            <w:rStyle w:val="a9"/>
            <w:rFonts w:cs="Arial"/>
          </w:rPr>
          <w:t>ccedd</w:t>
        </w:r>
        <w:proofErr w:type="spellEnd"/>
        <w:r w:rsidRPr="00A518C5">
          <w:rPr>
            <w:rStyle w:val="a9"/>
            <w:rFonts w:cs="Arial"/>
            <w:lang w:val="ru-RU"/>
          </w:rPr>
          <w:t>41</w:t>
        </w:r>
        <w:r w:rsidRPr="00A518C5">
          <w:rPr>
            <w:rStyle w:val="a9"/>
            <w:rFonts w:cs="Arial"/>
          </w:rPr>
          <w:t>c</w:t>
        </w:r>
      </w:hyperlink>
      <w:r w:rsidRPr="00A518C5">
        <w:rPr>
          <w:rFonts w:cs="Arial"/>
          <w:lang w:val="ru-RU"/>
        </w:rPr>
        <w:t xml:space="preserve"> (дата обращения: 11.04.2023).</w:t>
      </w:r>
    </w:p>
    <w:p w14:paraId="5FF64B69" w14:textId="77777777" w:rsidR="00006711" w:rsidRPr="00A518C5" w:rsidRDefault="00006711" w:rsidP="00006711">
      <w:pPr>
        <w:pStyle w:val="-0"/>
        <w:numPr>
          <w:ilvl w:val="0"/>
          <w:numId w:val="1"/>
        </w:numPr>
        <w:tabs>
          <w:tab w:val="clear" w:pos="567"/>
        </w:tabs>
        <w:ind w:left="0" w:right="-608" w:firstLine="540"/>
        <w:rPr>
          <w:rFonts w:cs="Arial"/>
        </w:rPr>
      </w:pPr>
      <w:r w:rsidRPr="00A518C5">
        <w:rPr>
          <w:rFonts w:cs="Arial"/>
          <w:lang w:val="ru-RU"/>
        </w:rPr>
        <w:t xml:space="preserve"> </w:t>
      </w:r>
      <w:proofErr w:type="spellStart"/>
      <w:r w:rsidRPr="00A518C5">
        <w:rPr>
          <w:rFonts w:cs="Arial"/>
        </w:rPr>
        <w:t>Stadtherr</w:t>
      </w:r>
      <w:proofErr w:type="spellEnd"/>
      <w:r w:rsidRPr="00A518C5">
        <w:rPr>
          <w:rFonts w:cs="Arial"/>
        </w:rPr>
        <w:t xml:space="preserve"> M. A. High performance computing: Are we just getting </w:t>
      </w:r>
      <w:proofErr w:type="gramStart"/>
      <w:r w:rsidRPr="00A518C5">
        <w:rPr>
          <w:rFonts w:cs="Arial"/>
        </w:rPr>
        <w:t>wrong  answer</w:t>
      </w:r>
      <w:proofErr w:type="gramEnd"/>
      <w:r w:rsidRPr="00A518C5">
        <w:rPr>
          <w:rFonts w:cs="Arial"/>
        </w:rPr>
        <w:t xml:space="preserve"> faster? //CAST division awards banquet, Miami Beach, Florida. –  1998.</w:t>
      </w:r>
    </w:p>
    <w:p w14:paraId="06B7D909" w14:textId="77777777" w:rsidR="00006711" w:rsidRPr="00A518C5" w:rsidRDefault="00006711" w:rsidP="00006711">
      <w:pPr>
        <w:pStyle w:val="-0"/>
        <w:numPr>
          <w:ilvl w:val="0"/>
          <w:numId w:val="1"/>
        </w:numPr>
        <w:tabs>
          <w:tab w:val="clear" w:pos="567"/>
        </w:tabs>
        <w:ind w:left="0" w:right="-608" w:firstLine="540"/>
        <w:rPr>
          <w:rFonts w:cs="Arial"/>
        </w:rPr>
      </w:pPr>
      <w:r w:rsidRPr="00A518C5">
        <w:rPr>
          <w:rFonts w:cs="Arial"/>
        </w:rPr>
        <w:t xml:space="preserve"> </w:t>
      </w:r>
      <w:proofErr w:type="spellStart"/>
      <w:r w:rsidRPr="00A518C5">
        <w:rPr>
          <w:rFonts w:cs="Arial"/>
        </w:rPr>
        <w:t>Lohn</w:t>
      </w:r>
      <w:proofErr w:type="spellEnd"/>
      <w:r w:rsidRPr="00A518C5">
        <w:rPr>
          <w:rFonts w:cs="Arial"/>
        </w:rPr>
        <w:t xml:space="preserve"> A., Musser M. AI and Compute: How Much Longer Can Computing </w:t>
      </w:r>
      <w:proofErr w:type="gramStart"/>
      <w:r w:rsidRPr="00A518C5">
        <w:rPr>
          <w:rFonts w:cs="Arial"/>
        </w:rPr>
        <w:t>Power  Drive</w:t>
      </w:r>
      <w:proofErr w:type="gramEnd"/>
      <w:r w:rsidRPr="00A518C5">
        <w:rPr>
          <w:rFonts w:cs="Arial"/>
        </w:rPr>
        <w:t xml:space="preserve"> Artificial Intelligence Progress //Center for Security and  Emerging Technology. https://doi. org/10.51593. – 2022.</w:t>
      </w:r>
    </w:p>
    <w:p w14:paraId="560DD23C" w14:textId="77777777" w:rsidR="00006711" w:rsidRPr="00A518C5" w:rsidRDefault="00006711" w:rsidP="00006711">
      <w:pPr>
        <w:pStyle w:val="-0"/>
        <w:numPr>
          <w:ilvl w:val="0"/>
          <w:numId w:val="1"/>
        </w:numPr>
        <w:tabs>
          <w:tab w:val="clear" w:pos="567"/>
        </w:tabs>
        <w:ind w:left="0" w:right="-608" w:firstLine="540"/>
        <w:rPr>
          <w:rFonts w:cs="Arial"/>
          <w:b/>
          <w:i w:val="0"/>
          <w:lang w:val="ru-RU"/>
        </w:rPr>
      </w:pPr>
      <w:r w:rsidRPr="00A518C5">
        <w:rPr>
          <w:rFonts w:cs="Arial"/>
        </w:rPr>
        <w:t xml:space="preserve"> </w:t>
      </w:r>
      <w:r w:rsidRPr="00A518C5">
        <w:rPr>
          <w:rFonts w:cs="Arial"/>
          <w:lang w:val="ru-RU"/>
        </w:rPr>
        <w:t xml:space="preserve">Ву-Чун Фен, Кирк Камерон Green500: рейтинг энергетической эффективности [Электронный ресурс]. // Открытые системы: </w:t>
      </w:r>
      <w:proofErr w:type="spellStart"/>
      <w:proofErr w:type="gramStart"/>
      <w:r w:rsidRPr="00A518C5">
        <w:rPr>
          <w:rFonts w:cs="Arial"/>
          <w:lang w:val="ru-RU"/>
        </w:rPr>
        <w:t>изд.научн</w:t>
      </w:r>
      <w:proofErr w:type="spellEnd"/>
      <w:proofErr w:type="gramEnd"/>
      <w:r w:rsidRPr="00A518C5">
        <w:rPr>
          <w:rFonts w:cs="Arial"/>
          <w:lang w:val="ru-RU"/>
        </w:rPr>
        <w:t xml:space="preserve">. Журн. - Режим </w:t>
      </w:r>
      <w:proofErr w:type="spellStart"/>
      <w:r w:rsidRPr="00A518C5">
        <w:rPr>
          <w:rFonts w:cs="Arial"/>
          <w:lang w:val="ru-RU"/>
        </w:rPr>
        <w:t>дотупа</w:t>
      </w:r>
      <w:proofErr w:type="spellEnd"/>
      <w:r w:rsidRPr="00A518C5">
        <w:rPr>
          <w:rFonts w:cs="Arial"/>
          <w:lang w:val="ru-RU"/>
        </w:rPr>
        <w:t xml:space="preserve">: </w:t>
      </w:r>
      <w:proofErr w:type="gramStart"/>
      <w:r w:rsidRPr="00A518C5">
        <w:rPr>
          <w:rFonts w:cs="Arial"/>
          <w:lang w:val="ru-RU"/>
        </w:rPr>
        <w:t>URL:https://www.osp.ru/os/2008/01/4839411?ysclid=lfil0bl72k217199330</w:t>
      </w:r>
      <w:proofErr w:type="gramEnd"/>
      <w:r w:rsidRPr="00A518C5">
        <w:rPr>
          <w:rFonts w:cs="Arial"/>
          <w:lang w:val="ru-RU"/>
        </w:rPr>
        <w:t xml:space="preserve"> (дата обращения: 11.04.2023).</w:t>
      </w:r>
    </w:p>
    <w:p w14:paraId="6B4728D4" w14:textId="77777777" w:rsidR="00006711" w:rsidRPr="00A518C5" w:rsidRDefault="00006711" w:rsidP="00006711">
      <w:pPr>
        <w:pStyle w:val="-0"/>
        <w:numPr>
          <w:ilvl w:val="0"/>
          <w:numId w:val="1"/>
        </w:numPr>
        <w:tabs>
          <w:tab w:val="clear" w:pos="567"/>
        </w:tabs>
        <w:ind w:left="0" w:right="-608" w:firstLine="540"/>
        <w:rPr>
          <w:rFonts w:cs="Arial"/>
          <w:b/>
          <w:i w:val="0"/>
        </w:rPr>
      </w:pPr>
      <w:r w:rsidRPr="00A518C5">
        <w:rPr>
          <w:rFonts w:cs="Arial"/>
          <w:lang w:val="ru-RU"/>
        </w:rPr>
        <w:t xml:space="preserve"> </w:t>
      </w:r>
      <w:r w:rsidRPr="00A518C5">
        <w:rPr>
          <w:rFonts w:cs="Arial"/>
        </w:rPr>
        <w:t>Markov I. L. Limits on fundamental limits to computation //Nature. – 2014. – Т. 512. – №. 7513. – С. 147-154.</w:t>
      </w:r>
    </w:p>
    <w:p w14:paraId="3E4815B8" w14:textId="559DAF2F" w:rsidR="00736C52" w:rsidRDefault="00736C52" w:rsidP="00AF6F6C">
      <w:pPr>
        <w:spacing w:line="240" w:lineRule="auto"/>
        <w:ind w:right="-607" w:firstLine="567"/>
        <w:jc w:val="both"/>
        <w:rPr>
          <w:sz w:val="20"/>
          <w:szCs w:val="20"/>
        </w:rPr>
      </w:pPr>
    </w:p>
    <w:sectPr w:rsidR="00736C52">
      <w:pgSz w:w="11909" w:h="16834"/>
      <w:pgMar w:top="708" w:right="1440" w:bottom="125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3999" w14:textId="77777777" w:rsidR="003779CF" w:rsidRDefault="003779CF" w:rsidP="00AF6F6C">
      <w:pPr>
        <w:spacing w:line="240" w:lineRule="auto"/>
      </w:pPr>
      <w:r>
        <w:separator/>
      </w:r>
    </w:p>
  </w:endnote>
  <w:endnote w:type="continuationSeparator" w:id="0">
    <w:p w14:paraId="65EC62C7" w14:textId="77777777" w:rsidR="003779CF" w:rsidRDefault="003779CF" w:rsidP="00AF6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B2190" w14:textId="77777777" w:rsidR="003779CF" w:rsidRDefault="003779CF" w:rsidP="00AF6F6C">
      <w:pPr>
        <w:spacing w:line="240" w:lineRule="auto"/>
      </w:pPr>
      <w:r>
        <w:separator/>
      </w:r>
    </w:p>
  </w:footnote>
  <w:footnote w:type="continuationSeparator" w:id="0">
    <w:p w14:paraId="52E1EB5A" w14:textId="77777777" w:rsidR="003779CF" w:rsidRDefault="003779CF" w:rsidP="00AF6F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31AA"/>
    <w:multiLevelType w:val="multilevel"/>
    <w:tmpl w:val="91B2CF24"/>
    <w:lvl w:ilvl="0">
      <w:start w:val="1"/>
      <w:numFmt w:val="decimal"/>
      <w:lvlText w:val="%1."/>
      <w:lvlJc w:val="left"/>
      <w:pPr>
        <w:tabs>
          <w:tab w:val="num" w:pos="567"/>
        </w:tabs>
        <w:ind w:left="567" w:firstLine="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56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5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7047" w:hanging="180"/>
      </w:pPr>
    </w:lvl>
  </w:abstractNum>
  <w:num w:numId="1" w16cid:durableId="35489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52"/>
    <w:rsid w:val="00006711"/>
    <w:rsid w:val="003779CF"/>
    <w:rsid w:val="00736C52"/>
    <w:rsid w:val="00AF6F6C"/>
    <w:rsid w:val="00C85E4D"/>
    <w:rsid w:val="00CD27FA"/>
    <w:rsid w:val="00DD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0D496"/>
  <w15:docId w15:val="{321A06EB-AB34-4C5C-B140-F7987864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AF6F6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6F6C"/>
  </w:style>
  <w:style w:type="paragraph" w:styleId="a7">
    <w:name w:val="footer"/>
    <w:basedOn w:val="a"/>
    <w:link w:val="a8"/>
    <w:uiPriority w:val="99"/>
    <w:unhideWhenUsed/>
    <w:rsid w:val="00AF6F6C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6F6C"/>
  </w:style>
  <w:style w:type="paragraph" w:customStyle="1" w:styleId="-">
    <w:name w:val="Т-текст"/>
    <w:basedOn w:val="a"/>
    <w:qFormat/>
    <w:rsid w:val="00AF6F6C"/>
    <w:pPr>
      <w:suppressAutoHyphens/>
      <w:spacing w:line="240" w:lineRule="auto"/>
      <w:ind w:firstLine="567"/>
      <w:jc w:val="both"/>
    </w:pPr>
    <w:rPr>
      <w:rFonts w:eastAsiaTheme="minorHAnsi" w:cstheme="minorBidi"/>
      <w:sz w:val="20"/>
      <w:lang w:val="ru-RU" w:eastAsia="en-US"/>
    </w:rPr>
  </w:style>
  <w:style w:type="character" w:styleId="a9">
    <w:name w:val="Hyperlink"/>
    <w:uiPriority w:val="99"/>
    <w:unhideWhenUsed/>
    <w:rsid w:val="00AF6F6C"/>
    <w:rPr>
      <w:color w:val="0000FF" w:themeColor="hyperlink"/>
      <w:u w:val="single"/>
    </w:rPr>
  </w:style>
  <w:style w:type="paragraph" w:customStyle="1" w:styleId="-0">
    <w:name w:val="Т-список лит"/>
    <w:basedOn w:val="-"/>
    <w:qFormat/>
    <w:rsid w:val="00AF6F6C"/>
    <w:rPr>
      <w:i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illumination/meta-llama-vs-chatgpt-a-detailed-comparison-9794ccedd41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illumination/gpt-3-vs-gpt-4-987872f48e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Nikita Ђ</cp:lastModifiedBy>
  <cp:revision>4</cp:revision>
  <dcterms:created xsi:type="dcterms:W3CDTF">2023-04-12T16:31:00Z</dcterms:created>
  <dcterms:modified xsi:type="dcterms:W3CDTF">2023-04-13T03:16:00Z</dcterms:modified>
</cp:coreProperties>
</file>