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C7E53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định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việc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tổ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hiện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chấp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-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;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quyền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hạn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nhiệm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vụ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bộ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nhân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viên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cũng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như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tổ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công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dân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trong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lĩnh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.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bao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gồm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không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chỉ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về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tổ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công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sở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về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tắc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tự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gram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an</w:t>
      </w:r>
      <w:proofErr w:type="gram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ninh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an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toàn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còn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chế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định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ngày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càng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triển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kinh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tế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-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văn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về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giữa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tổ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đơn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vị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kinh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tế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tập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nhân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14:paraId="1CE71B62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</w:p>
    <w:p w14:paraId="69124149" w14:textId="77777777" w:rsidR="00F510C7" w:rsidRPr="00F510C7" w:rsidRDefault="00F510C7" w:rsidP="00F510C7">
      <w:pPr>
        <w:shd w:val="clear" w:color="auto" w:fill="FFFFFF"/>
        <w:spacing w:before="75" w:after="75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1.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là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proofErr w:type="gram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gì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?</w:t>
      </w:r>
      <w:proofErr w:type="gramEnd"/>
    </w:p>
    <w:p w14:paraId="7C5F80AE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chỉnh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sinh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trong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.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định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nghĩa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này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phù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hợp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với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niệm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cho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rằng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việc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phân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biệt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hết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cần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căn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cứ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vào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được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pháp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chỉnh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14:paraId="76D89A61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không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tách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rời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hướng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tới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nhằm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ổn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định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hay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thay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đổi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cho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nên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đối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tượng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chỉnh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không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phải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thân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trong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.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Việc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phần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lớn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phạm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pháp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liên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đến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tổ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đến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không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thay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đổi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một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tế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bắt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nguồn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từ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14:paraId="6EA76F26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giữ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vai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trò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trọng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trong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việc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hoàn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thiện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chấp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-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. Các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phạm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định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địa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vị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pháp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định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nguyên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tắc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</w:p>
    <w:p w14:paraId="28600502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Định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nghĩa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trên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thích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hợp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với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tất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mọi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trường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hợp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từ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sự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vận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một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sống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một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giới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một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thiết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bị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tự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hóa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đến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một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tổ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một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đơn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vị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kinh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tế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hay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14:paraId="06ACEF7A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Trong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chương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vấn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đề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cần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nghiên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cứu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14:paraId="336BD551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Các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coi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“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là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một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năng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đặc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biệt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nảy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sinh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từ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bản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chất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quá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trình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lao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”.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Nhấn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mạnh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dung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trên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ông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viết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: </w:t>
      </w:r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“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Tất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cả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mọi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lao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trực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tiếp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hay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lao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chung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nào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tiến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trên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quy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mô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tương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đối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lớn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thì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ít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nhiều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cũng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đều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cần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đến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một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sự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lastRenderedPageBreak/>
        <w:t>chỉ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đạo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để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hoà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cá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nhân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thực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hiện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năng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chung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...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Một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người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độc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tấu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vĩ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cầm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tự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mình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khiển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lấy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mình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còn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một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dàn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nhạc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thì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cần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phải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có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nhạc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trưởng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”.</w:t>
      </w:r>
    </w:p>
    <w:p w14:paraId="4AE34E88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Luận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điểm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trên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áp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dụng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với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mọi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chung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con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người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trong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14:paraId="0D488389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Ở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đâu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sự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hợp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người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ở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cần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bởi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vì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chung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người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đòi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hỏi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phải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được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liên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kết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lại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dưới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.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Một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trong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liên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kết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trọng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tổ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.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Xét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về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dung,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tổ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phối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hợp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liên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kết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người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hiện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mục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tiêu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đề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ra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yếu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tố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quyết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định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đem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lại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hiệu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cho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.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Không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tổ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thì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không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14:paraId="31EAE73A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Khẳng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định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vấn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đề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này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Lênin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viết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: </w:t>
      </w:r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“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Muốn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tốt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mà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chỉ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biết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thuyết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phục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không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thôi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thì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chưa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đủ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mà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cần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phải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biết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tổ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về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mặt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thực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tiễn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nữa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”.</w:t>
      </w:r>
    </w:p>
    <w:p w14:paraId="1BB5685A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khiển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phối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hợp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tập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con</w:t>
      </w:r>
    </w:p>
    <w:p w14:paraId="1970F4BA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Khách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tự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.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tự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này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được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định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bởi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loại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phạm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nhau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: Quy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phạm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đạo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phạm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trị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phạm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tôn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giáo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phạm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pháp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gram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V.V..</w:t>
      </w:r>
      <w:proofErr w:type="gramEnd"/>
    </w:p>
    <w:p w14:paraId="1D69479C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Tóm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lại</w:t>
      </w:r>
      <w:proofErr w:type="spellEnd"/>
      <w:r w:rsidRPr="00F510C7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bdr w:val="none" w:sz="0" w:space="0" w:color="auto" w:frame="1"/>
          <w:lang w:eastAsia="en-GB"/>
          <w14:ligatures w14:val="none"/>
        </w:rPr>
        <w:t>:</w:t>
      </w:r>
    </w:p>
    <w:p w14:paraId="6AECDC73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- Quản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sự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cố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mục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đích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chủ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đối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vói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đối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tượng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14:paraId="1BD20B23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- Quản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xuất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hiện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ở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bất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kì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nơi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nào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lúc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nào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nếu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ở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nơi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lúc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chung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con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người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14:paraId="6401EBCB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-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Mục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đích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nhiệm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vụ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khiển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chỉ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đạo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chung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con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người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phối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hợp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riêng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lẻ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từng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nhân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tạo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một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chung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thống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nhất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tập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hướng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chung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theo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phương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hướng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thống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nhất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nhằm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được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mục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tiêu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định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14:paraId="38BFBFC9" w14:textId="77777777" w:rsidR="00F510C7" w:rsidRPr="00F510C7" w:rsidRDefault="00F510C7" w:rsidP="00F510C7">
      <w:pPr>
        <w:shd w:val="clear" w:color="auto" w:fill="FFFFFF"/>
        <w:spacing w:after="0" w:line="240" w:lineRule="atLeast"/>
        <w:jc w:val="center"/>
        <w:textAlignment w:val="top"/>
        <w:rPr>
          <w:rFonts w:ascii="Times New Roman" w:eastAsia="Times New Roman" w:hAnsi="Times New Roman" w:cs="Times New Roman"/>
          <w:b/>
          <w:bCs/>
          <w:color w:val="0000FF"/>
          <w:kern w:val="0"/>
          <w:sz w:val="32"/>
          <w:szCs w:val="32"/>
          <w:u w:val="single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fldChar w:fldCharType="begin"/>
      </w:r>
      <w:r w:rsidRPr="00F510C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instrText>HYPERLINK "https://clck.mgid.com/ghits/19406035/i/57893750/0/pp/1/1?h=3ndno_sBym7Tvuw1KUWWroDZ08fICdSpTAtvYo5tNE8V4FVEif97y96un1Y1O5wfvDVU9KfYtXS3hGng4nn59tdlP6ndlSRH6jgxgPNFJBU*&amp;rid=820d7c01-0e84-11ef-9cd0-c84bd6826d76&amp;ts=luatminhkhue-vn.webpkgcache.com&amp;tt=Referral&amp;att=4&amp;cpm=1&amp;abd=1&amp;iv=11&amp;ct=1&amp;gdprApplies=0&amp;st=420&amp;mp4=1&amp;h2=xc_AnzCFmFaWj2ifpP0eXAeiD4KdQcpbK56rnhPMeKcaGhirV5SmFZrG1XZ_xG7M&amp;muid=n07ETAPIE2jj" \t "_blank"</w:instrText>
      </w:r>
      <w:r w:rsidRPr="00F510C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r>
      <w:r w:rsidRPr="00F510C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fldChar w:fldCharType="separate"/>
      </w:r>
    </w:p>
    <w:p w14:paraId="2F2D5138" w14:textId="77777777" w:rsidR="00F510C7" w:rsidRPr="00F510C7" w:rsidRDefault="00F510C7" w:rsidP="00F510C7">
      <w:pPr>
        <w:shd w:val="clear" w:color="auto" w:fill="FFFFFF"/>
        <w:spacing w:after="0" w:line="240" w:lineRule="atLeast"/>
        <w:jc w:val="center"/>
        <w:textAlignment w:val="top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fldChar w:fldCharType="end"/>
      </w:r>
    </w:p>
    <w:p w14:paraId="6AE4DCDA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- Quản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được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hiện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bằng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tổ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quyền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uy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14:paraId="68F97AFF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tổ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thì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mới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phân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định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rõ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ràng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năng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nhiệm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vụ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quyền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hạn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mối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người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tham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gia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chung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.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quyền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uy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thì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mới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bảo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đảm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sự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phục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tùng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nhân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đối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vói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tổ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. Quyền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uy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phương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tiện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trọng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chủ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khiển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chỉ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đạo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cũng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như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bắt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buộc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đối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tượng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hiện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yêu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cầu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mệnh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lệnh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14:paraId="45F086BE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lastRenderedPageBreak/>
        <w:t> </w:t>
      </w:r>
    </w:p>
    <w:p w14:paraId="376DF566" w14:textId="77777777" w:rsidR="00F510C7" w:rsidRPr="00F510C7" w:rsidRDefault="00F510C7" w:rsidP="00F510C7">
      <w:pPr>
        <w:shd w:val="clear" w:color="auto" w:fill="FFFFFF"/>
        <w:spacing w:before="75" w:after="75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2.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năng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chính</w:t>
      </w:r>
      <w:proofErr w:type="spellEnd"/>
    </w:p>
    <w:p w14:paraId="106C23BF" w14:textId="77777777" w:rsidR="00F510C7" w:rsidRPr="00F510C7" w:rsidRDefault="00F510C7" w:rsidP="00F510C7">
      <w:pPr>
        <w:shd w:val="clear" w:color="auto" w:fill="FFFFFF"/>
        <w:spacing w:before="75" w:after="75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2.1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năng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:</w:t>
      </w:r>
    </w:p>
    <w:p w14:paraId="1FA41A20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Khi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xuất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hiện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thì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phần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lớn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(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phần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trọng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)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công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việc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do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14:paraId="758AF8E4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Quản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trên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lĩnh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lập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pháp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pháp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tư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pháp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nhằm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hiện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năng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đối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đối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ngoại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14:paraId="6F7B36AA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Nói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sự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chủ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mang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quyền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chủ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yếu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bằng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pháp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tới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đặt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ra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phạm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pháp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hay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mệnh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lệnh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cụ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bắt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buộc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đối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tượng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liên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phải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hiện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14:paraId="64ED1111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Như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vậy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chủ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sử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dụng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quyền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tổ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khiển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đối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tượng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qua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hiện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một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rõ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nét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mối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“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quyền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-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phục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tùng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”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giữa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chủ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đối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tượng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14:paraId="75B49602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một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dung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chấp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quyền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gắn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với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chấp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cùng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với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đông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chấp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tạo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hai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mặt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thống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nhất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14:paraId="2BEBCCF4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được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đặt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dưới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sự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giám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quyền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nhưng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vẫn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mang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chủ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sáng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tạo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.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chủ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sáng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tạo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hiện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rõ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nét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trong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chủ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dề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ra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chủ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trương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biện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pháp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thích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hợp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đối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với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đối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tượng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nhau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tạo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kiện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cho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họ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lựa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chọn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tốt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nhất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hoàn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nhiệm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vụ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trên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sở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nghiên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cứu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xem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xét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cụ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14:paraId="10227ACB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Tất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tiến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nhưng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này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chủ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yếu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do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hiện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.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này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ánh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năng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.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Mặt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không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nên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tuyệt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đối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sự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phân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loại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không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nên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cho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rằng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mỗi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loại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chỉ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hiện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một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loại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vi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nhất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định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tương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ứng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với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đông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năng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.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Trên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tế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mỗi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loại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ngoài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việc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hiện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vi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ánh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chất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năng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lastRenderedPageBreak/>
        <w:t>còn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hiện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mệt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số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vi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chỉnh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tiêu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chuẩn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chủ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yếu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phân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biệt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này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với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14:paraId="15CD8288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Việt Nam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chỉnh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trong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lĩnh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.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này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gọi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chấp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-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hoặc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.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dung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này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hiện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:</w:t>
      </w:r>
    </w:p>
    <w:p w14:paraId="08156B82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-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Việc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lập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cải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tiến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cấu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bộ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máy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cải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tiến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chế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làm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việc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hoàn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chỉnh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công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proofErr w:type="gram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;</w:t>
      </w:r>
      <w:proofErr w:type="gramEnd"/>
    </w:p>
    <w:p w14:paraId="38CA145F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-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kinh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tế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văn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hoá-xã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quốc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phòng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gram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an</w:t>
      </w:r>
      <w:proofErr w:type="gram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ninh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trị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tự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hôi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trên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ở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từng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địa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phương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hay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từng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;</w:t>
      </w:r>
    </w:p>
    <w:p w14:paraId="3B7C588E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-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tiếp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phục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vụ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cầu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về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chất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tinh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thần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nhân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proofErr w:type="gram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dân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;</w:t>
      </w:r>
      <w:proofErr w:type="gramEnd"/>
    </w:p>
    <w:p w14:paraId="2C5E0379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-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kiểm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giám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đối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với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việc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hiện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pháp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đơn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vị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thuộc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tổ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nhân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14:paraId="2DB8022A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-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Xử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nhân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tổ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vi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phạm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tự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14:paraId="0737CA7F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Các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thuộc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phạm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vi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chỉnh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được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chia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3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nhóm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sau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:</w:t>
      </w:r>
    </w:p>
    <w:p w14:paraId="02601753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</w:p>
    <w:p w14:paraId="3B6B6C92" w14:textId="77777777" w:rsidR="00F510C7" w:rsidRPr="00F510C7" w:rsidRDefault="00F510C7" w:rsidP="00F510C7">
      <w:pPr>
        <w:shd w:val="clear" w:color="auto" w:fill="FFFFFF"/>
        <w:spacing w:before="75" w:after="75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2.2.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năng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xử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nước</w:t>
      </w:r>
      <w:proofErr w:type="spellEnd"/>
    </w:p>
    <w:p w14:paraId="2330F755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năng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xử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sinh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trong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hiện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chấp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-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trên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lĩnh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nhau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đời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sống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14:paraId="288D3DA4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Nhóm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này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đối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tượng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chỉnh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. Thông qua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việc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thiết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lập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loại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này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hiện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năng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.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hê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loại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này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rất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phong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phú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chù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yếu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:</w:t>
      </w:r>
    </w:p>
    <w:p w14:paraId="4D82742D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-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Giữa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với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đơn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vị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sở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thuộc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(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như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giữa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Bộ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tư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pháp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với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Trường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Đại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học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Hà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Nội</w:t>
      </w:r>
      <w:proofErr w:type="spellEnd"/>
      <w:proofErr w:type="gram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);</w:t>
      </w:r>
      <w:proofErr w:type="gramEnd"/>
    </w:p>
    <w:p w14:paraId="20AFB3A6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-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Giữa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với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tổ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kinh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tế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thuộc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phần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kinh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tế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ngoài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quốc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doanh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. Các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tổ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kinh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tế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này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được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đặt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dưới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sự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thường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xuyên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thẩm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quyền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(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như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giữa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uỷ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ban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nhân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dân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huyện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vói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hợp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xuất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nông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nghiệp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thủ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công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nghiệp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trên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địa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bàn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huyện</w:t>
      </w:r>
      <w:proofErr w:type="spellEnd"/>
      <w:proofErr w:type="gram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);</w:t>
      </w:r>
      <w:proofErr w:type="gramEnd"/>
    </w:p>
    <w:p w14:paraId="0F8B9DDB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-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Giữa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với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tổ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(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như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giữa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phủ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với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Mặt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trận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tổ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quốc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Việt Nam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tổ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viên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Mặt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trận</w:t>
      </w:r>
      <w:proofErr w:type="spellEnd"/>
      <w:proofErr w:type="gram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);</w:t>
      </w:r>
      <w:proofErr w:type="gramEnd"/>
    </w:p>
    <w:p w14:paraId="7A339706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lastRenderedPageBreak/>
        <w:t xml:space="preserve">-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Giữa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vói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công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dân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người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ngoài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người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không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quốc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tịch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(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như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giữa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thẩm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quyền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giải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quyết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khiếu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nại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với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người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khiếu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nại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). </w:t>
      </w:r>
    </w:p>
    <w:p w14:paraId="2835B16D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</w:p>
    <w:p w14:paraId="2EE459F9" w14:textId="77777777" w:rsidR="00F510C7" w:rsidRPr="00F510C7" w:rsidRDefault="00F510C7" w:rsidP="00F510C7">
      <w:pPr>
        <w:shd w:val="clear" w:color="auto" w:fill="FFFFFF"/>
        <w:spacing w:before="75" w:after="75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2.3.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năng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xử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lý</w:t>
      </w:r>
      <w:proofErr w:type="spellEnd"/>
    </w:p>
    <w:p w14:paraId="095C61DA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năng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xử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trong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xây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dựng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cố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chế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công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bộ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nhằm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ổn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định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về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tổ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hoàn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năng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nhiệm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vụ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:</w:t>
      </w:r>
    </w:p>
    <w:p w14:paraId="3822AB1B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Mỗi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loại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năng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riêng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hoàn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năng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phải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tiến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nhất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định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14:paraId="250B0C84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người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lãnh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đạo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một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bộ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phận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công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trong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bộ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máy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được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trao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quyền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tiến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đông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tổ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trong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giới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hạn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.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này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còn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được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gọi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tổ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bộ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với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hướng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ra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bên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ngoài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.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hoàn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năng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nhiệm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vụ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bô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cần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được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tổ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tốt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đặc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biệt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như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kiểm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bộ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nâng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cao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chuyên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môn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nghiệp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vụ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bộ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công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phối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hợp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giữa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bộ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phân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được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uỷ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quyền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lập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pháp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tiến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tài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phán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trong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trường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hợp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nhất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định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14:paraId="33EBF866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Như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vậy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căn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cứ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vào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đối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tượng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chỉnh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đề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cập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trên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đây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định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nghĩa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như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sau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:</w:t>
      </w:r>
    </w:p>
    <w:p w14:paraId="7EA52FBA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một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trong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thống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pháp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Việt Nam bao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gồm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tổng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phạm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pháp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chỉnh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sinh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trong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sinh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trong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xây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dựng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ổn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định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chế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công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bộ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sinh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trong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tổ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nhân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hiện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đối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với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vấn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đề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cụ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do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pháp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định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14:paraId="2224E823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chỉnh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toàn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bộ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được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hiện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bởi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hoặc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nhân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danh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đối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tượng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chỉnh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trong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chấp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-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14:paraId="7CEA3A0A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lastRenderedPageBreak/>
        <w:t>Từ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định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nghĩa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về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rút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ra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kết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lúận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rằng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được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hiện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thông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qua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được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phạm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chỉnh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14:paraId="40C17BBB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tiêu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chuẩn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khách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nào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định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này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hay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cần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được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chỉnh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bằng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hay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bằng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định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hay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không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?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Sự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cần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thiết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chỉnh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bởi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xuất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hiện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mong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muốn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bằng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phướng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tiện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đến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sự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không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sử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dụng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quyền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nghĩa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trong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bình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đẳng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với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chủ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(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hợp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đồng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mua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bán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)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thì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đó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được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hiện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không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phải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trên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sở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chỉnh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pháp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14:paraId="59B49690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</w:p>
    <w:p w14:paraId="00010628" w14:textId="77777777" w:rsidR="00F510C7" w:rsidRPr="00F510C7" w:rsidRDefault="00F510C7" w:rsidP="00F510C7">
      <w:pPr>
        <w:shd w:val="clear" w:color="auto" w:fill="FFFFFF"/>
        <w:spacing w:before="75" w:after="75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3.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Đối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tượng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chỉnh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b/>
          <w:bCs/>
          <w:color w:val="A76014"/>
          <w:kern w:val="0"/>
          <w:sz w:val="32"/>
          <w:szCs w:val="32"/>
          <w:lang w:eastAsia="en-GB"/>
          <w14:ligatures w14:val="none"/>
        </w:rPr>
        <w:t>chính</w:t>
      </w:r>
      <w:proofErr w:type="spellEnd"/>
    </w:p>
    <w:p w14:paraId="4255D8F7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Đối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tượng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chỉnh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luật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mang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chất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chấp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sinh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giữa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chủ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thể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tham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gia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trong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trường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hợp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sau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:</w:t>
      </w:r>
    </w:p>
    <w:p w14:paraId="72714A8E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–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mang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chất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chấp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sinh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trong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</w:t>
      </w:r>
    </w:p>
    <w:p w14:paraId="7F461494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–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mang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chất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chấp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sinh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trong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xây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dựng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tổ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công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bộ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(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như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Tòa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án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, Viện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kiểm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).</w:t>
      </w:r>
    </w:p>
    <w:p w14:paraId="3E9080A7" w14:textId="77777777" w:rsidR="00F510C7" w:rsidRPr="00F510C7" w:rsidRDefault="00F510C7" w:rsidP="00F510C7">
      <w:pPr>
        <w:shd w:val="clear" w:color="auto" w:fill="FFFFFF"/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–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Những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hệ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mang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tính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chất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chấp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và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điều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hành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phát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sinh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trong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hoạt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động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của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cơ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quan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hoặc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các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tổ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xã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hội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khi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được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trao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quyền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thực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hiện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chức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năng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quản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lý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nhà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nước</w:t>
      </w:r>
      <w:proofErr w:type="spellEnd"/>
      <w:r w:rsidRPr="00F510C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. </w:t>
      </w:r>
    </w:p>
    <w:p w14:paraId="58FDCE15" w14:textId="77777777" w:rsidR="00022671" w:rsidRDefault="00022671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49F5CAA8" w14:textId="77777777" w:rsidR="00EF1376" w:rsidRDefault="00EF1376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59FA7073" w14:textId="77777777" w:rsidR="00EF1376" w:rsidRDefault="00EF1376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AE8DD61" w14:textId="77777777" w:rsidR="00EF1376" w:rsidRDefault="00EF1376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5D4716E9" w14:textId="77777777" w:rsidR="00EF1376" w:rsidRDefault="00EF1376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71E0402" w14:textId="77777777" w:rsidR="00EF1376" w:rsidRDefault="00EF1376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4EE17509" w14:textId="77777777" w:rsidR="00EF1376" w:rsidRDefault="00EF1376">
      <w:pPr>
        <w:rPr>
          <w:rFonts w:ascii="Times New Roman" w:hAnsi="Times New Roman" w:cs="Times New Roman"/>
          <w:sz w:val="32"/>
          <w:szCs w:val="32"/>
          <w:lang w:val="vi-VN"/>
        </w:rPr>
      </w:pPr>
    </w:p>
    <w:tbl>
      <w:tblPr>
        <w:tblStyle w:val="LiBang"/>
        <w:tblW w:w="11199" w:type="dxa"/>
        <w:tblInd w:w="-998" w:type="dxa"/>
        <w:tblLook w:val="04A0" w:firstRow="1" w:lastRow="0" w:firstColumn="1" w:lastColumn="0" w:noHBand="0" w:noVBand="1"/>
      </w:tblPr>
      <w:tblGrid>
        <w:gridCol w:w="3545"/>
        <w:gridCol w:w="2977"/>
        <w:gridCol w:w="1842"/>
        <w:gridCol w:w="2835"/>
      </w:tblGrid>
      <w:tr w:rsidR="00BB5E74" w14:paraId="1DED8D59" w14:textId="64C974EA" w:rsidTr="00BB5E74">
        <w:tc>
          <w:tcPr>
            <w:tcW w:w="3545" w:type="dxa"/>
          </w:tcPr>
          <w:p w14:paraId="07E4DD58" w14:textId="1F4341BF" w:rsidR="00BB5E74" w:rsidRDefault="00BB5E74" w:rsidP="00EF137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>NHIỆM VỤ</w:t>
            </w:r>
          </w:p>
        </w:tc>
        <w:tc>
          <w:tcPr>
            <w:tcW w:w="2977" w:type="dxa"/>
          </w:tcPr>
          <w:p w14:paraId="720C27B9" w14:textId="682120B4" w:rsidR="00BB5E74" w:rsidRDefault="00BB5E74" w:rsidP="00EF137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PHỤ TRÁCH</w:t>
            </w:r>
          </w:p>
        </w:tc>
        <w:tc>
          <w:tcPr>
            <w:tcW w:w="1842" w:type="dxa"/>
          </w:tcPr>
          <w:p w14:paraId="575CCB3B" w14:textId="64CCCD2A" w:rsidR="00BB5E74" w:rsidRDefault="00BB5E74" w:rsidP="00EF137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DEADLINE</w:t>
            </w:r>
          </w:p>
        </w:tc>
        <w:tc>
          <w:tcPr>
            <w:tcW w:w="2835" w:type="dxa"/>
          </w:tcPr>
          <w:p w14:paraId="1F972A0C" w14:textId="44C7B505" w:rsidR="00BB5E74" w:rsidRDefault="00BB5E74" w:rsidP="00EF137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GHI CHÚ</w:t>
            </w:r>
          </w:p>
        </w:tc>
      </w:tr>
      <w:tr w:rsidR="00BB5E74" w14:paraId="5EDF8D04" w14:textId="26CD4382" w:rsidTr="00BB5E74">
        <w:tc>
          <w:tcPr>
            <w:tcW w:w="3545" w:type="dxa"/>
          </w:tcPr>
          <w:p w14:paraId="3D544CEC" w14:textId="29692EF1" w:rsidR="00BB5E74" w:rsidRDefault="00BB5E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Nghiên cứu nội dung chủ đề được giao trước và phân công nhiệm vụ</w:t>
            </w:r>
          </w:p>
        </w:tc>
        <w:tc>
          <w:tcPr>
            <w:tcW w:w="2977" w:type="dxa"/>
          </w:tcPr>
          <w:p w14:paraId="6617DF69" w14:textId="46E1D574" w:rsidR="00BB5E74" w:rsidRDefault="00BB5E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Cảnh Anh</w:t>
            </w:r>
          </w:p>
        </w:tc>
        <w:tc>
          <w:tcPr>
            <w:tcW w:w="1842" w:type="dxa"/>
          </w:tcPr>
          <w:p w14:paraId="3CE2ABA4" w14:textId="77777777" w:rsidR="00BB5E74" w:rsidRDefault="00BB5E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835" w:type="dxa"/>
          </w:tcPr>
          <w:p w14:paraId="2BA38F4B" w14:textId="77777777" w:rsidR="00BB5E74" w:rsidRDefault="00BB5E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BB5E74" w14:paraId="063BBA02" w14:textId="3C516A98" w:rsidTr="00BB5E74">
        <w:tc>
          <w:tcPr>
            <w:tcW w:w="3545" w:type="dxa"/>
          </w:tcPr>
          <w:p w14:paraId="4131B582" w14:textId="28D2196C" w:rsidR="00BB5E74" w:rsidRDefault="00BB5E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Tìm 1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pháp luật liên quan </w:t>
            </w:r>
          </w:p>
        </w:tc>
        <w:tc>
          <w:tcPr>
            <w:tcW w:w="2977" w:type="dxa"/>
          </w:tcPr>
          <w:p w14:paraId="2B0D1B03" w14:textId="5C01C046" w:rsidR="00BB5E74" w:rsidRDefault="00BB5E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Viết Hoàng, Dư Quốc Đạt</w:t>
            </w:r>
          </w:p>
        </w:tc>
        <w:tc>
          <w:tcPr>
            <w:tcW w:w="1842" w:type="dxa"/>
          </w:tcPr>
          <w:p w14:paraId="30D21350" w14:textId="08C6DB39" w:rsidR="00BB5E74" w:rsidRDefault="00BB5E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22/4/2024</w:t>
            </w:r>
          </w:p>
        </w:tc>
        <w:tc>
          <w:tcPr>
            <w:tcW w:w="2835" w:type="dxa"/>
          </w:tcPr>
          <w:p w14:paraId="1A732755" w14:textId="5C1037E1" w:rsidR="00BB5E74" w:rsidRDefault="00BB5E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Mỗi người tìm 1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sau đó sẽ chọn 1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để trình chiếu</w:t>
            </w:r>
          </w:p>
        </w:tc>
      </w:tr>
      <w:tr w:rsidR="00BB5E74" w14:paraId="40368A1A" w14:textId="5FF76D83" w:rsidTr="00BB5E74">
        <w:tc>
          <w:tcPr>
            <w:tcW w:w="3545" w:type="dxa"/>
          </w:tcPr>
          <w:p w14:paraId="3C5B9F51" w14:textId="7B283F51" w:rsidR="00BB5E74" w:rsidRDefault="00BB5E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Soạn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slide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tóm lược nội dung </w:t>
            </w:r>
          </w:p>
        </w:tc>
        <w:tc>
          <w:tcPr>
            <w:tcW w:w="2977" w:type="dxa"/>
          </w:tcPr>
          <w:p w14:paraId="21FBAFEF" w14:textId="76A94205" w:rsidR="00BB5E74" w:rsidRDefault="00BB5E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Viết Cương, Lê Quốc Đạt, Anh Đại</w:t>
            </w:r>
          </w:p>
        </w:tc>
        <w:tc>
          <w:tcPr>
            <w:tcW w:w="1842" w:type="dxa"/>
          </w:tcPr>
          <w:p w14:paraId="4F991E91" w14:textId="1925881F" w:rsidR="00BB5E74" w:rsidRDefault="00BB5E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22/4/2024</w:t>
            </w:r>
          </w:p>
        </w:tc>
        <w:tc>
          <w:tcPr>
            <w:tcW w:w="2835" w:type="dxa"/>
          </w:tcPr>
          <w:p w14:paraId="1EE6393E" w14:textId="07117E6D" w:rsidR="00BB5E74" w:rsidRDefault="00BB5E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Cương: Mở đầu, phần 1</w:t>
            </w:r>
          </w:p>
          <w:p w14:paraId="22CCDEA9" w14:textId="27D50C94" w:rsidR="00BB5E74" w:rsidRDefault="00BB5E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Đạt: phần 2.1 và 2.2</w:t>
            </w:r>
          </w:p>
          <w:p w14:paraId="32312F41" w14:textId="119CC5A2" w:rsidR="00BB5E74" w:rsidRDefault="00BB5E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Đại: phần 2.3 và phần 3</w:t>
            </w:r>
          </w:p>
        </w:tc>
      </w:tr>
      <w:tr w:rsidR="00BB5E74" w14:paraId="4D486D37" w14:textId="57621E48" w:rsidTr="00BB5E74">
        <w:tc>
          <w:tcPr>
            <w:tcW w:w="3545" w:type="dxa"/>
          </w:tcPr>
          <w:p w14:paraId="075CD0BB" w14:textId="65D6081C" w:rsidR="00BB5E74" w:rsidRDefault="00BB5E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Thuyết trình </w:t>
            </w:r>
          </w:p>
        </w:tc>
        <w:tc>
          <w:tcPr>
            <w:tcW w:w="2977" w:type="dxa"/>
          </w:tcPr>
          <w:p w14:paraId="0EC03BC7" w14:textId="035B27A2" w:rsidR="00BB5E74" w:rsidRDefault="00BB5E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Phương Anh, Minh Châu, Hồng Ánh</w:t>
            </w:r>
          </w:p>
        </w:tc>
        <w:tc>
          <w:tcPr>
            <w:tcW w:w="1842" w:type="dxa"/>
          </w:tcPr>
          <w:p w14:paraId="7FC1EA5A" w14:textId="4FE3BE90" w:rsidR="00BB5E74" w:rsidRDefault="00BB5E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22/4/2024</w:t>
            </w:r>
          </w:p>
        </w:tc>
        <w:tc>
          <w:tcPr>
            <w:tcW w:w="2835" w:type="dxa"/>
          </w:tcPr>
          <w:p w14:paraId="6A309EF9" w14:textId="77777777" w:rsidR="00BB5E74" w:rsidRDefault="00BB5E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BB5E74" w14:paraId="2A5DF756" w14:textId="7EDCDD64" w:rsidTr="00BB5E74">
        <w:tc>
          <w:tcPr>
            <w:tcW w:w="3545" w:type="dxa"/>
          </w:tcPr>
          <w:p w14:paraId="6E92ADD2" w14:textId="7108D6E0" w:rsidR="00BB5E74" w:rsidRDefault="00BB5E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Làm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quiz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test</w:t>
            </w:r>
            <w:proofErr w:type="spellEnd"/>
          </w:p>
        </w:tc>
        <w:tc>
          <w:tcPr>
            <w:tcW w:w="2977" w:type="dxa"/>
          </w:tcPr>
          <w:p w14:paraId="0C233F23" w14:textId="3E04DF92" w:rsidR="00BB5E74" w:rsidRDefault="00BB5E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Cảnh Anh, Viết Hoàng, Dư Quốc Đạt</w:t>
            </w:r>
          </w:p>
        </w:tc>
        <w:tc>
          <w:tcPr>
            <w:tcW w:w="1842" w:type="dxa"/>
          </w:tcPr>
          <w:p w14:paraId="3F39E048" w14:textId="6F128814" w:rsidR="00BB5E74" w:rsidRDefault="00BB5E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22/4/2024</w:t>
            </w:r>
          </w:p>
        </w:tc>
        <w:tc>
          <w:tcPr>
            <w:tcW w:w="2835" w:type="dxa"/>
          </w:tcPr>
          <w:p w14:paraId="7A2652CA" w14:textId="1755CC58" w:rsidR="00BB5E74" w:rsidRDefault="00BB5E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Làm 15 câu</w:t>
            </w:r>
          </w:p>
        </w:tc>
      </w:tr>
    </w:tbl>
    <w:p w14:paraId="4E5A5A82" w14:textId="77777777" w:rsidR="00EF1376" w:rsidRPr="00F510C7" w:rsidRDefault="00EF1376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EF1376" w:rsidRPr="00F51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71"/>
    <w:rsid w:val="00022671"/>
    <w:rsid w:val="003141C8"/>
    <w:rsid w:val="009A5CAE"/>
    <w:rsid w:val="00BB5E74"/>
    <w:rsid w:val="00DC48D8"/>
    <w:rsid w:val="00EF1376"/>
    <w:rsid w:val="00F5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DBD49"/>
  <w15:chartTrackingRefBased/>
  <w15:docId w15:val="{EAA77D2A-BE84-49EA-BF98-EF7E374D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22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22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022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22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22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22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22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22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22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22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022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022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2267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2267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2267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2267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2267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2267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22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22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22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22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22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2267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2267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2267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22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2267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22671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022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F51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Nhnmanh">
    <w:name w:val="Emphasis"/>
    <w:basedOn w:val="Phngmcinhcuaoanvn"/>
    <w:uiPriority w:val="20"/>
    <w:qFormat/>
    <w:rsid w:val="00F510C7"/>
    <w:rPr>
      <w:i/>
      <w:iCs/>
    </w:rPr>
  </w:style>
  <w:style w:type="character" w:styleId="Siuktni">
    <w:name w:val="Hyperlink"/>
    <w:basedOn w:val="Phngmcinhcuaoanvn"/>
    <w:uiPriority w:val="99"/>
    <w:semiHidden/>
    <w:unhideWhenUsed/>
    <w:rsid w:val="00F510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4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924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62115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5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4170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69781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1945</Words>
  <Characters>11088</Characters>
  <Application>Microsoft Office Word</Application>
  <DocSecurity>0</DocSecurity>
  <Lines>92</Lines>
  <Paragraphs>26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Jay</dc:creator>
  <cp:keywords/>
  <dc:description/>
  <cp:lastModifiedBy>Nguyen Jay</cp:lastModifiedBy>
  <cp:revision>2</cp:revision>
  <dcterms:created xsi:type="dcterms:W3CDTF">2024-05-10T03:42:00Z</dcterms:created>
  <dcterms:modified xsi:type="dcterms:W3CDTF">2024-05-12T05:37:00Z</dcterms:modified>
</cp:coreProperties>
</file>