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7CD938">
      <w:pPr>
        <w:pStyle w:val="23"/>
        <w:spacing w:line="480" w:lineRule="auto"/>
      </w:pPr>
      <w:r>
        <w:t>Nottingham Trent University</w:t>
      </w:r>
    </w:p>
    <w:p w14:paraId="0246F146">
      <w:pPr>
        <w:pStyle w:val="17"/>
        <w:spacing w:line="480" w:lineRule="auto"/>
        <w:jc w:val="center"/>
      </w:pPr>
      <w:r>
        <w:t>School of Science and Technology</w:t>
      </w:r>
    </w:p>
    <w:p w14:paraId="76A2B642">
      <w:pPr>
        <w:pStyle w:val="23"/>
        <w:jc w:val="center"/>
      </w:pPr>
      <w:r>
        <w:t>Real-Time Credit Card Fraud Detection System Using Machine Learning</w:t>
      </w:r>
    </w:p>
    <w:p w14:paraId="5B370C25">
      <w:pPr>
        <w:spacing w:line="480" w:lineRule="auto"/>
        <w:jc w:val="center"/>
      </w:pPr>
    </w:p>
    <w:p w14:paraId="69D9D642">
      <w:pPr>
        <w:spacing w:after="80" w:line="480" w:lineRule="auto"/>
        <w:jc w:val="center"/>
      </w:pPr>
      <w:r>
        <w:t>by</w:t>
      </w:r>
    </w:p>
    <w:p w14:paraId="64FD949D">
      <w:pPr>
        <w:spacing w:after="80" w:line="480" w:lineRule="auto"/>
        <w:jc w:val="center"/>
      </w:pPr>
      <w:r>
        <w:rPr>
          <w:b/>
          <w:bCs/>
        </w:rPr>
        <w:t>Faiz Lawan</w:t>
      </w:r>
    </w:p>
    <w:p w14:paraId="503DFAC8">
      <w:pPr>
        <w:spacing w:after="80" w:line="480" w:lineRule="auto"/>
        <w:jc w:val="center"/>
      </w:pPr>
      <w:r>
        <w:t>Student Number: N1258521</w:t>
      </w:r>
    </w:p>
    <w:p w14:paraId="334CBA5B">
      <w:pPr>
        <w:spacing w:after="400" w:line="480" w:lineRule="auto"/>
        <w:jc w:val="center"/>
      </w:pPr>
      <w:r>
        <w:rPr>
          <w:b/>
          <w:bCs/>
        </w:rPr>
        <w:t>B.Sc. Hons Computer Science</w:t>
      </w:r>
    </w:p>
    <w:p w14:paraId="2195FD54">
      <w:pPr>
        <w:spacing w:after="80" w:line="480" w:lineRule="auto"/>
        <w:jc w:val="center"/>
      </w:pPr>
      <w:r>
        <w:t>Supervisor: Mr. Kayode Owa</w:t>
      </w:r>
    </w:p>
    <w:p w14:paraId="12244D8E">
      <w:pPr>
        <w:spacing w:after="80" w:line="480" w:lineRule="auto"/>
        <w:jc w:val="center"/>
      </w:pPr>
      <w:r>
        <w:t>Academic Year: 2025-2026</w:t>
      </w:r>
    </w:p>
    <w:p w14:paraId="15C00E1A">
      <w:pPr>
        <w:spacing w:line="480" w:lineRule="auto"/>
        <w:jc w:val="both"/>
      </w:pPr>
    </w:p>
    <w:p w14:paraId="03E9BE8C">
      <w:pPr>
        <w:spacing w:line="480" w:lineRule="auto"/>
        <w:jc w:val="both"/>
      </w:pPr>
    </w:p>
    <w:p w14:paraId="550FCE75">
      <w:pPr>
        <w:spacing w:line="480" w:lineRule="auto"/>
        <w:jc w:val="both"/>
      </w:pPr>
    </w:p>
    <w:p w14:paraId="20E03A9B">
      <w:pPr>
        <w:spacing w:line="480" w:lineRule="auto"/>
        <w:jc w:val="both"/>
      </w:pPr>
    </w:p>
    <w:p w14:paraId="6E7645FB">
      <w:pPr>
        <w:spacing w:line="480" w:lineRule="auto"/>
        <w:jc w:val="both"/>
      </w:pPr>
    </w:p>
    <w:p w14:paraId="044F7819">
      <w:pPr>
        <w:spacing w:line="480" w:lineRule="auto"/>
        <w:jc w:val="both"/>
      </w:pPr>
    </w:p>
    <w:p w14:paraId="77807C0F">
      <w:pPr>
        <w:spacing w:line="480" w:lineRule="auto"/>
        <w:jc w:val="both"/>
      </w:pPr>
    </w:p>
    <w:p w14:paraId="62D9810E">
      <w:pPr>
        <w:spacing w:line="480" w:lineRule="auto"/>
        <w:jc w:val="both"/>
      </w:pPr>
    </w:p>
    <w:p w14:paraId="1BEBB677">
      <w:pPr>
        <w:spacing w:line="480" w:lineRule="auto"/>
        <w:jc w:val="both"/>
      </w:pPr>
    </w:p>
    <w:p w14:paraId="3A07521B">
      <w:pPr>
        <w:spacing w:line="480" w:lineRule="auto"/>
        <w:jc w:val="both"/>
      </w:pPr>
    </w:p>
    <w:p w14:paraId="17202A06">
      <w:pPr>
        <w:spacing w:line="480" w:lineRule="auto"/>
        <w:jc w:val="both"/>
      </w:pPr>
    </w:p>
    <w:p w14:paraId="321521F0">
      <w:pPr>
        <w:spacing w:line="480" w:lineRule="auto"/>
        <w:jc w:val="both"/>
      </w:pPr>
    </w:p>
    <w:p w14:paraId="46A9862E">
      <w:pPr>
        <w:spacing w:after="200" w:line="480" w:lineRule="auto"/>
        <w:jc w:val="both"/>
        <w:rPr>
          <w:kern w:val="2"/>
          <w14:ligatures w14:val="standardContextual"/>
        </w:rPr>
      </w:pPr>
      <w:r>
        <w:t>I hereby declare that I am the sole author of this report. I authorise Nottingham Trent University to lend this report to other institutions or individuals for the purpose of scholarly research.</w:t>
      </w:r>
    </w:p>
    <w:p w14:paraId="24312A33">
      <w:pPr>
        <w:spacing w:after="200" w:line="480" w:lineRule="auto"/>
        <w:jc w:val="both"/>
        <w:rPr>
          <w:kern w:val="2"/>
          <w14:ligatures w14:val="standardContextual"/>
        </w:rPr>
      </w:pPr>
      <w:r>
        <w:t>I also authorise Nottingham Trent University to reproduce this report by photocopying or by other means, in whole or in part, at the request of other institutions or individuals for the purpose of scholarly research.</w:t>
      </w:r>
    </w:p>
    <w:p w14:paraId="26915873">
      <w:pPr>
        <w:spacing w:line="480" w:lineRule="auto"/>
        <w:jc w:val="both"/>
      </w:pPr>
      <w:r>
        <w:t>Signature: Faiz Lawan</w:t>
      </w:r>
    </w:p>
    <w:p w14:paraId="30FB09DF">
      <w:pPr>
        <w:spacing w:line="480" w:lineRule="auto"/>
        <w:jc w:val="both"/>
      </w:pPr>
      <w:r>
        <w:br w:type="page"/>
      </w:r>
    </w:p>
    <w:p w14:paraId="29B67E8A">
      <w:pPr>
        <w:pageBreakBefore/>
        <w:spacing w:after="240" w:line="480" w:lineRule="auto"/>
        <w:jc w:val="both"/>
      </w:pPr>
      <w:r>
        <w:rPr>
          <w:b/>
          <w:bCs/>
          <w:sz w:val="28"/>
          <w:szCs w:val="28"/>
        </w:rPr>
        <w:t>Abstract</w:t>
      </w:r>
    </w:p>
    <w:p w14:paraId="59213565">
      <w:pPr>
        <w:spacing w:after="160" w:line="480" w:lineRule="auto"/>
        <w:jc w:val="both"/>
      </w:pPr>
      <w:r>
        <w:t>Credit card fraud costs the global financial industry in excess of $34 billion annually, with projections suggesting this figure will exceed $43 billion by 2026 (Nilson Report, 2023). Despite the availability of sophisticated computing infrastructure, many financial institutions continue to rely on rule-based detection mechanisms that are both reactive and opaque. This project addresses two distinct but related problems: the technical challenge of accurately classifying fraudulent transactions in a severely imbalanced dataset, and the operational challenge of producing explanations that a non-technical compliance officer can act on.</w:t>
      </w:r>
    </w:p>
    <w:p w14:paraId="6A0A458C">
      <w:pPr>
        <w:spacing w:after="160" w:line="480" w:lineRule="auto"/>
        <w:jc w:val="both"/>
      </w:pPr>
      <w:r>
        <w:t>Aegis is a real-time credit card fraud detection system built on a Random Forest classifier trained on the ULB Credit Card Fraud dataset, which contains 284,807 transactions with a fraud rate of 0.172%. Class imbalance was addressed using the Synthetic Minority Over-sampling Technique (SMOTE), applied strictly to the training partition after a stratified 80/20 split to prevent data leakage. The model achieved an F1-score of 0.8268, precision of 0.8810, recall of 0.7789, and ROC-AUC of 0.9633 on the held-out test set.</w:t>
      </w:r>
    </w:p>
    <w:p w14:paraId="271AEE3E">
      <w:pPr>
        <w:spacing w:after="160" w:line="480" w:lineRule="auto"/>
        <w:jc w:val="both"/>
      </w:pPr>
      <w:r>
        <w:t>The principal novelty of Aegis is its explainability architecture. Rather than presenting SHAP values for the 28 anonymous PCA components in the dataset, which carry no interpretable meaning, the system employs a behavioural context translation layer that converts raw prediction signals into fraud-domain language before prompting a Llama-3.1-8b-instant model via the Groq API to generate a structured compliance report. This report is downloadable as a PDF using the fpdf2 library. A Fraud Prevention Advisor chat module, connected via the OpenRouter API using direct HTTP requests, provides an interactive advisory interface restricted to fraud, security, and financial risk topics. The web interface is built with Streamlit and supports light and dark mode, three transaction input options, and a form-based chat input. Comparison with two related systems confirms that Aegis's methodological approach is sound and that its explainability layer is a feature absent from comparable academic implementations.</w:t>
      </w:r>
    </w:p>
    <w:p w14:paraId="4F3286F5">
      <w:pPr>
        <w:spacing w:line="480" w:lineRule="auto"/>
        <w:jc w:val="both"/>
      </w:pPr>
      <w:r>
        <w:br w:type="page"/>
      </w:r>
    </w:p>
    <w:p w14:paraId="607034F3">
      <w:pPr>
        <w:pageBreakBefore/>
        <w:spacing w:after="240" w:line="480" w:lineRule="auto"/>
        <w:jc w:val="both"/>
      </w:pPr>
      <w:r>
        <w:rPr>
          <w:b/>
          <w:bCs/>
          <w:sz w:val="28"/>
          <w:szCs w:val="28"/>
        </w:rPr>
        <w:t>Acknowledgements</w:t>
      </w:r>
    </w:p>
    <w:p w14:paraId="21517856">
      <w:pPr>
        <w:spacing w:after="200" w:line="480" w:lineRule="auto"/>
        <w:jc w:val="both"/>
      </w:pPr>
      <w:r>
        <w:t>Thanks are due to Mr. Kayode Owa, project supervisor, whose feedback during the proposal and development phases helped focus the scope and sharpen the methodological choices made throughout.</w:t>
      </w:r>
      <w:r>
        <w:br w:type="page"/>
      </w:r>
    </w:p>
    <w:sdt>
      <w:sdtPr>
        <w:rPr>
          <w:rFonts w:ascii="Verdana" w:hAnsi="Verdana" w:eastAsia="Verdana" w:cs="Verdana"/>
          <w:color w:val="auto"/>
          <w:sz w:val="20"/>
          <w:szCs w:val="20"/>
          <w:lang w:val="en-GB" w:eastAsia="en-GB"/>
        </w:rPr>
        <w:id w:val="-1"/>
        <w:docPartObj>
          <w:docPartGallery w:val="Table of Contents"/>
          <w:docPartUnique/>
        </w:docPartObj>
      </w:sdtPr>
      <w:sdtEndPr>
        <w:rPr>
          <w:rFonts w:ascii="Verdana" w:hAnsi="Verdana" w:eastAsia="Verdana" w:cs="Verdana"/>
          <w:b/>
          <w:bCs/>
          <w:color w:val="auto"/>
          <w:sz w:val="20"/>
          <w:szCs w:val="20"/>
          <w:lang w:val="en-GB" w:eastAsia="en-GB"/>
        </w:rPr>
      </w:sdtEndPr>
      <w:sdtContent>
        <w:p w14:paraId="20E5A2CB">
          <w:pPr>
            <w:pStyle w:val="35"/>
          </w:pPr>
          <w:r>
            <w:t>Table of Contents</w:t>
          </w:r>
        </w:p>
        <w:p w14:paraId="6AD4DC77">
          <w:pPr>
            <w:pStyle w:val="15"/>
            <w:tabs>
              <w:tab w:val="right" w:leader="dot" w:pos="8210"/>
            </w:tabs>
          </w:pPr>
          <w:r>
            <w:fldChar w:fldCharType="begin"/>
          </w:r>
          <w:r>
            <w:instrText xml:space="preserve"> TOC \o "1-3" \h \z \u </w:instrText>
          </w:r>
          <w:r>
            <w:fldChar w:fldCharType="separate"/>
          </w:r>
          <w:r>
            <w:fldChar w:fldCharType="begin"/>
          </w:r>
          <w:r>
            <w:instrText xml:space="preserve"> HYPERLINK \l "_Toc228560714" </w:instrText>
          </w:r>
          <w:r>
            <w:fldChar w:fldCharType="separate"/>
          </w:r>
          <w:r>
            <w:rPr>
              <w:rStyle w:val="27"/>
            </w:rPr>
            <w:t>CHAPTER 1</w:t>
          </w:r>
          <w:r>
            <w:tab/>
          </w:r>
          <w:r>
            <w:fldChar w:fldCharType="begin"/>
          </w:r>
          <w:r>
            <w:instrText xml:space="preserve"> PAGEREF _Toc228560714 \h </w:instrText>
          </w:r>
          <w:r>
            <w:fldChar w:fldCharType="separate"/>
          </w:r>
          <w:r>
            <w:t>9</w:t>
          </w:r>
          <w:r>
            <w:fldChar w:fldCharType="end"/>
          </w:r>
          <w:r>
            <w:fldChar w:fldCharType="end"/>
          </w:r>
        </w:p>
        <w:p w14:paraId="031AAB2F">
          <w:pPr>
            <w:pStyle w:val="15"/>
            <w:tabs>
              <w:tab w:val="right" w:leader="dot" w:pos="8210"/>
            </w:tabs>
          </w:pPr>
          <w:r>
            <w:fldChar w:fldCharType="begin"/>
          </w:r>
          <w:r>
            <w:instrText xml:space="preserve"> HYPERLINK \l "_Toc228560715" </w:instrText>
          </w:r>
          <w:r>
            <w:fldChar w:fldCharType="separate"/>
          </w:r>
          <w:r>
            <w:rPr>
              <w:rStyle w:val="27"/>
            </w:rPr>
            <w:t>Introduction</w:t>
          </w:r>
          <w:r>
            <w:tab/>
          </w:r>
          <w:r>
            <w:fldChar w:fldCharType="begin"/>
          </w:r>
          <w:r>
            <w:instrText xml:space="preserve"> PAGEREF _Toc228560715 \h </w:instrText>
          </w:r>
          <w:r>
            <w:fldChar w:fldCharType="separate"/>
          </w:r>
          <w:r>
            <w:t>9</w:t>
          </w:r>
          <w:r>
            <w:fldChar w:fldCharType="end"/>
          </w:r>
          <w:r>
            <w:fldChar w:fldCharType="end"/>
          </w:r>
        </w:p>
        <w:p w14:paraId="3125D78F">
          <w:pPr>
            <w:pStyle w:val="20"/>
            <w:tabs>
              <w:tab w:val="right" w:leader="dot" w:pos="8210"/>
            </w:tabs>
          </w:pPr>
          <w:r>
            <w:fldChar w:fldCharType="begin"/>
          </w:r>
          <w:r>
            <w:instrText xml:space="preserve"> HYPERLINK \l "_Toc228560716" </w:instrText>
          </w:r>
          <w:r>
            <w:fldChar w:fldCharType="separate"/>
          </w:r>
          <w:r>
            <w:rPr>
              <w:rStyle w:val="27"/>
            </w:rPr>
            <w:t>1.1 Background and Motivation</w:t>
          </w:r>
          <w:r>
            <w:tab/>
          </w:r>
          <w:r>
            <w:fldChar w:fldCharType="begin"/>
          </w:r>
          <w:r>
            <w:instrText xml:space="preserve"> PAGEREF _Toc228560716 \h </w:instrText>
          </w:r>
          <w:r>
            <w:fldChar w:fldCharType="separate"/>
          </w:r>
          <w:r>
            <w:t>9</w:t>
          </w:r>
          <w:r>
            <w:fldChar w:fldCharType="end"/>
          </w:r>
          <w:r>
            <w:fldChar w:fldCharType="end"/>
          </w:r>
        </w:p>
        <w:p w14:paraId="13CB463F">
          <w:pPr>
            <w:pStyle w:val="20"/>
            <w:tabs>
              <w:tab w:val="right" w:leader="dot" w:pos="8210"/>
            </w:tabs>
          </w:pPr>
          <w:r>
            <w:fldChar w:fldCharType="begin"/>
          </w:r>
          <w:r>
            <w:instrText xml:space="preserve"> HYPERLINK \l "_Toc228560717" </w:instrText>
          </w:r>
          <w:r>
            <w:fldChar w:fldCharType="separate"/>
          </w:r>
          <w:r>
            <w:rPr>
              <w:rStyle w:val="27"/>
            </w:rPr>
            <w:t>1.2 Problem Statement</w:t>
          </w:r>
          <w:r>
            <w:tab/>
          </w:r>
          <w:r>
            <w:fldChar w:fldCharType="begin"/>
          </w:r>
          <w:r>
            <w:instrText xml:space="preserve"> PAGEREF _Toc228560717 \h </w:instrText>
          </w:r>
          <w:r>
            <w:fldChar w:fldCharType="separate"/>
          </w:r>
          <w:r>
            <w:t>10</w:t>
          </w:r>
          <w:r>
            <w:fldChar w:fldCharType="end"/>
          </w:r>
          <w:r>
            <w:fldChar w:fldCharType="end"/>
          </w:r>
        </w:p>
        <w:p w14:paraId="78529954">
          <w:pPr>
            <w:pStyle w:val="20"/>
            <w:tabs>
              <w:tab w:val="right" w:leader="dot" w:pos="8210"/>
            </w:tabs>
          </w:pPr>
          <w:r>
            <w:fldChar w:fldCharType="begin"/>
          </w:r>
          <w:r>
            <w:instrText xml:space="preserve"> HYPERLINK \l "_Toc228560718" </w:instrText>
          </w:r>
          <w:r>
            <w:fldChar w:fldCharType="separate"/>
          </w:r>
          <w:r>
            <w:rPr>
              <w:rStyle w:val="27"/>
            </w:rPr>
            <w:t>1.3 Aims and Objectives</w:t>
          </w:r>
          <w:r>
            <w:tab/>
          </w:r>
          <w:r>
            <w:fldChar w:fldCharType="begin"/>
          </w:r>
          <w:r>
            <w:instrText xml:space="preserve"> PAGEREF _Toc228560718 \h </w:instrText>
          </w:r>
          <w:r>
            <w:fldChar w:fldCharType="separate"/>
          </w:r>
          <w:r>
            <w:t>11</w:t>
          </w:r>
          <w:r>
            <w:fldChar w:fldCharType="end"/>
          </w:r>
          <w:r>
            <w:fldChar w:fldCharType="end"/>
          </w:r>
        </w:p>
        <w:p w14:paraId="13D11F6F">
          <w:pPr>
            <w:pStyle w:val="20"/>
            <w:tabs>
              <w:tab w:val="right" w:leader="dot" w:pos="8210"/>
            </w:tabs>
          </w:pPr>
          <w:r>
            <w:fldChar w:fldCharType="begin"/>
          </w:r>
          <w:r>
            <w:instrText xml:space="preserve"> HYPERLINK \l "_Toc228560719" </w:instrText>
          </w:r>
          <w:r>
            <w:fldChar w:fldCharType="separate"/>
          </w:r>
          <w:r>
            <w:rPr>
              <w:rStyle w:val="27"/>
            </w:rPr>
            <w:t>1.4 Scope and Delimitations</w:t>
          </w:r>
          <w:r>
            <w:tab/>
          </w:r>
          <w:r>
            <w:fldChar w:fldCharType="begin"/>
          </w:r>
          <w:r>
            <w:instrText xml:space="preserve"> PAGEREF _Toc228560719 \h </w:instrText>
          </w:r>
          <w:r>
            <w:fldChar w:fldCharType="separate"/>
          </w:r>
          <w:r>
            <w:t>12</w:t>
          </w:r>
          <w:r>
            <w:fldChar w:fldCharType="end"/>
          </w:r>
          <w:r>
            <w:fldChar w:fldCharType="end"/>
          </w:r>
        </w:p>
        <w:p w14:paraId="58AF98CC">
          <w:pPr>
            <w:pStyle w:val="20"/>
            <w:tabs>
              <w:tab w:val="right" w:leader="dot" w:pos="8210"/>
            </w:tabs>
          </w:pPr>
          <w:r>
            <w:fldChar w:fldCharType="begin"/>
          </w:r>
          <w:r>
            <w:instrText xml:space="preserve"> HYPERLINK \l "_Toc228560720" </w:instrText>
          </w:r>
          <w:r>
            <w:fldChar w:fldCharType="separate"/>
          </w:r>
          <w:r>
            <w:rPr>
              <w:rStyle w:val="27"/>
            </w:rPr>
            <w:t>1.5 Report Structure</w:t>
          </w:r>
          <w:r>
            <w:tab/>
          </w:r>
          <w:r>
            <w:fldChar w:fldCharType="begin"/>
          </w:r>
          <w:r>
            <w:instrText xml:space="preserve"> PAGEREF _Toc228560720 \h </w:instrText>
          </w:r>
          <w:r>
            <w:fldChar w:fldCharType="separate"/>
          </w:r>
          <w:r>
            <w:t>12</w:t>
          </w:r>
          <w:r>
            <w:fldChar w:fldCharType="end"/>
          </w:r>
          <w:r>
            <w:fldChar w:fldCharType="end"/>
          </w:r>
        </w:p>
        <w:p w14:paraId="6385C225">
          <w:pPr>
            <w:pStyle w:val="15"/>
            <w:tabs>
              <w:tab w:val="right" w:leader="dot" w:pos="8210"/>
            </w:tabs>
          </w:pPr>
          <w:r>
            <w:fldChar w:fldCharType="begin"/>
          </w:r>
          <w:r>
            <w:instrText xml:space="preserve"> HYPERLINK \l "_Toc228560721" </w:instrText>
          </w:r>
          <w:r>
            <w:fldChar w:fldCharType="separate"/>
          </w:r>
          <w:r>
            <w:rPr>
              <w:rStyle w:val="27"/>
            </w:rPr>
            <w:t>CHAPTER 2</w:t>
          </w:r>
          <w:r>
            <w:tab/>
          </w:r>
          <w:r>
            <w:fldChar w:fldCharType="begin"/>
          </w:r>
          <w:r>
            <w:instrText xml:space="preserve"> PAGEREF _Toc228560721 \h </w:instrText>
          </w:r>
          <w:r>
            <w:fldChar w:fldCharType="separate"/>
          </w:r>
          <w:r>
            <w:t>12</w:t>
          </w:r>
          <w:r>
            <w:fldChar w:fldCharType="end"/>
          </w:r>
          <w:r>
            <w:fldChar w:fldCharType="end"/>
          </w:r>
        </w:p>
        <w:p w14:paraId="1D75DED5">
          <w:pPr>
            <w:pStyle w:val="15"/>
            <w:tabs>
              <w:tab w:val="right" w:leader="dot" w:pos="8210"/>
            </w:tabs>
          </w:pPr>
          <w:r>
            <w:fldChar w:fldCharType="begin"/>
          </w:r>
          <w:r>
            <w:instrText xml:space="preserve"> HYPERLINK \l "_Toc228560722" </w:instrText>
          </w:r>
          <w:r>
            <w:fldChar w:fldCharType="separate"/>
          </w:r>
          <w:r>
            <w:rPr>
              <w:rStyle w:val="27"/>
            </w:rPr>
            <w:t>Context (Literature Review)</w:t>
          </w:r>
          <w:r>
            <w:tab/>
          </w:r>
          <w:r>
            <w:fldChar w:fldCharType="begin"/>
          </w:r>
          <w:r>
            <w:instrText xml:space="preserve"> PAGEREF _Toc228560722 \h </w:instrText>
          </w:r>
          <w:r>
            <w:fldChar w:fldCharType="separate"/>
          </w:r>
          <w:r>
            <w:t>12</w:t>
          </w:r>
          <w:r>
            <w:fldChar w:fldCharType="end"/>
          </w:r>
          <w:r>
            <w:fldChar w:fldCharType="end"/>
          </w:r>
        </w:p>
        <w:p w14:paraId="4DF25F9B">
          <w:pPr>
            <w:pStyle w:val="20"/>
            <w:tabs>
              <w:tab w:val="right" w:leader="dot" w:pos="8210"/>
            </w:tabs>
          </w:pPr>
          <w:r>
            <w:fldChar w:fldCharType="begin"/>
          </w:r>
          <w:r>
            <w:instrText xml:space="preserve"> HYPERLINK \l "_Toc228560723" </w:instrText>
          </w:r>
          <w:r>
            <w:fldChar w:fldCharType="separate"/>
          </w:r>
          <w:r>
            <w:rPr>
              <w:rStyle w:val="27"/>
            </w:rPr>
            <w:t>2.1 Introduction</w:t>
          </w:r>
          <w:r>
            <w:tab/>
          </w:r>
          <w:r>
            <w:fldChar w:fldCharType="begin"/>
          </w:r>
          <w:r>
            <w:instrText xml:space="preserve"> PAGEREF _Toc228560723 \h </w:instrText>
          </w:r>
          <w:r>
            <w:fldChar w:fldCharType="separate"/>
          </w:r>
          <w:r>
            <w:t>12</w:t>
          </w:r>
          <w:r>
            <w:fldChar w:fldCharType="end"/>
          </w:r>
          <w:r>
            <w:fldChar w:fldCharType="end"/>
          </w:r>
        </w:p>
        <w:p w14:paraId="664A890F">
          <w:pPr>
            <w:pStyle w:val="20"/>
            <w:tabs>
              <w:tab w:val="right" w:leader="dot" w:pos="8210"/>
            </w:tabs>
          </w:pPr>
          <w:r>
            <w:fldChar w:fldCharType="begin"/>
          </w:r>
          <w:r>
            <w:instrText xml:space="preserve"> HYPERLINK \l "_Toc228560724" </w:instrText>
          </w:r>
          <w:r>
            <w:fldChar w:fldCharType="separate"/>
          </w:r>
          <w:r>
            <w:rPr>
              <w:rStyle w:val="27"/>
            </w:rPr>
            <w:t>2.2 Credit Card Fraud: Scale and Nature</w:t>
          </w:r>
          <w:r>
            <w:tab/>
          </w:r>
          <w:r>
            <w:fldChar w:fldCharType="begin"/>
          </w:r>
          <w:r>
            <w:instrText xml:space="preserve"> PAGEREF _Toc228560724 \h </w:instrText>
          </w:r>
          <w:r>
            <w:fldChar w:fldCharType="separate"/>
          </w:r>
          <w:r>
            <w:t>13</w:t>
          </w:r>
          <w:r>
            <w:fldChar w:fldCharType="end"/>
          </w:r>
          <w:r>
            <w:fldChar w:fldCharType="end"/>
          </w:r>
        </w:p>
        <w:p w14:paraId="5478F6CA">
          <w:pPr>
            <w:pStyle w:val="20"/>
            <w:tabs>
              <w:tab w:val="right" w:leader="dot" w:pos="8210"/>
            </w:tabs>
          </w:pPr>
          <w:r>
            <w:fldChar w:fldCharType="begin"/>
          </w:r>
          <w:r>
            <w:instrText xml:space="preserve"> HYPERLINK \l "_Toc228560725" </w:instrText>
          </w:r>
          <w:r>
            <w:fldChar w:fldCharType="separate"/>
          </w:r>
          <w:r>
            <w:rPr>
              <w:rStyle w:val="27"/>
            </w:rPr>
            <w:t>2.3 Traditional Rule-Based Detection</w:t>
          </w:r>
          <w:r>
            <w:tab/>
          </w:r>
          <w:r>
            <w:fldChar w:fldCharType="begin"/>
          </w:r>
          <w:r>
            <w:instrText xml:space="preserve"> PAGEREF _Toc228560725 \h </w:instrText>
          </w:r>
          <w:r>
            <w:fldChar w:fldCharType="separate"/>
          </w:r>
          <w:r>
            <w:t>15</w:t>
          </w:r>
          <w:r>
            <w:fldChar w:fldCharType="end"/>
          </w:r>
          <w:r>
            <w:fldChar w:fldCharType="end"/>
          </w:r>
        </w:p>
        <w:p w14:paraId="3FA08444">
          <w:pPr>
            <w:pStyle w:val="20"/>
            <w:tabs>
              <w:tab w:val="right" w:leader="dot" w:pos="8210"/>
            </w:tabs>
          </w:pPr>
          <w:r>
            <w:fldChar w:fldCharType="begin"/>
          </w:r>
          <w:r>
            <w:instrText xml:space="preserve"> HYPERLINK \l "_Toc228560726" </w:instrText>
          </w:r>
          <w:r>
            <w:fldChar w:fldCharType="separate"/>
          </w:r>
          <w:r>
            <w:rPr>
              <w:rStyle w:val="27"/>
            </w:rPr>
            <w:t>2.4 Machine Learning Approaches</w:t>
          </w:r>
          <w:r>
            <w:tab/>
          </w:r>
          <w:r>
            <w:fldChar w:fldCharType="begin"/>
          </w:r>
          <w:r>
            <w:instrText xml:space="preserve"> PAGEREF _Toc228560726 \h </w:instrText>
          </w:r>
          <w:r>
            <w:fldChar w:fldCharType="separate"/>
          </w:r>
          <w:r>
            <w:t>15</w:t>
          </w:r>
          <w:r>
            <w:fldChar w:fldCharType="end"/>
          </w:r>
          <w:r>
            <w:fldChar w:fldCharType="end"/>
          </w:r>
        </w:p>
        <w:p w14:paraId="0BFEF93A">
          <w:pPr>
            <w:pStyle w:val="10"/>
            <w:tabs>
              <w:tab w:val="right" w:leader="dot" w:pos="8210"/>
            </w:tabs>
          </w:pPr>
          <w:r>
            <w:fldChar w:fldCharType="begin"/>
          </w:r>
          <w:r>
            <w:instrText xml:space="preserve"> HYPERLINK \l "_Toc228560727" </w:instrText>
          </w:r>
          <w:r>
            <w:fldChar w:fldCharType="separate"/>
          </w:r>
          <w:r>
            <w:rPr>
              <w:rStyle w:val="27"/>
            </w:rPr>
            <w:t>2.4.1 Random Forest</w:t>
          </w:r>
          <w:r>
            <w:tab/>
          </w:r>
          <w:r>
            <w:fldChar w:fldCharType="begin"/>
          </w:r>
          <w:r>
            <w:instrText xml:space="preserve"> PAGEREF _Toc228560727 \h </w:instrText>
          </w:r>
          <w:r>
            <w:fldChar w:fldCharType="separate"/>
          </w:r>
          <w:r>
            <w:t>15</w:t>
          </w:r>
          <w:r>
            <w:fldChar w:fldCharType="end"/>
          </w:r>
          <w:r>
            <w:fldChar w:fldCharType="end"/>
          </w:r>
        </w:p>
        <w:p w14:paraId="4FABD559">
          <w:pPr>
            <w:pStyle w:val="10"/>
            <w:tabs>
              <w:tab w:val="right" w:leader="dot" w:pos="8210"/>
            </w:tabs>
          </w:pPr>
          <w:r>
            <w:fldChar w:fldCharType="begin"/>
          </w:r>
          <w:r>
            <w:instrText xml:space="preserve"> HYPERLINK \l "_Toc228560728" </w:instrText>
          </w:r>
          <w:r>
            <w:fldChar w:fldCharType="separate"/>
          </w:r>
          <w:r>
            <w:rPr>
              <w:rStyle w:val="27"/>
            </w:rPr>
            <w:t>2.4.2 Gradient Boosting Methods</w:t>
          </w:r>
          <w:r>
            <w:tab/>
          </w:r>
          <w:r>
            <w:fldChar w:fldCharType="begin"/>
          </w:r>
          <w:r>
            <w:instrText xml:space="preserve"> PAGEREF _Toc228560728 \h </w:instrText>
          </w:r>
          <w:r>
            <w:fldChar w:fldCharType="separate"/>
          </w:r>
          <w:r>
            <w:t>17</w:t>
          </w:r>
          <w:r>
            <w:fldChar w:fldCharType="end"/>
          </w:r>
          <w:r>
            <w:fldChar w:fldCharType="end"/>
          </w:r>
        </w:p>
        <w:p w14:paraId="0E24A8C7">
          <w:pPr>
            <w:pStyle w:val="10"/>
            <w:tabs>
              <w:tab w:val="right" w:leader="dot" w:pos="8210"/>
            </w:tabs>
          </w:pPr>
          <w:r>
            <w:fldChar w:fldCharType="begin"/>
          </w:r>
          <w:r>
            <w:instrText xml:space="preserve"> HYPERLINK \l "_Toc228560729" </w:instrText>
          </w:r>
          <w:r>
            <w:fldChar w:fldCharType="separate"/>
          </w:r>
          <w:r>
            <w:rPr>
              <w:rStyle w:val="27"/>
            </w:rPr>
            <w:t>2.4.3 Deep Learning Approaches</w:t>
          </w:r>
          <w:r>
            <w:tab/>
          </w:r>
          <w:r>
            <w:fldChar w:fldCharType="begin"/>
          </w:r>
          <w:r>
            <w:instrText xml:space="preserve"> PAGEREF _Toc228560729 \h </w:instrText>
          </w:r>
          <w:r>
            <w:fldChar w:fldCharType="separate"/>
          </w:r>
          <w:r>
            <w:t>17</w:t>
          </w:r>
          <w:r>
            <w:fldChar w:fldCharType="end"/>
          </w:r>
          <w:r>
            <w:fldChar w:fldCharType="end"/>
          </w:r>
        </w:p>
        <w:p w14:paraId="2F6B8DEB">
          <w:pPr>
            <w:pStyle w:val="20"/>
            <w:tabs>
              <w:tab w:val="right" w:leader="dot" w:pos="8210"/>
            </w:tabs>
          </w:pPr>
          <w:r>
            <w:fldChar w:fldCharType="begin"/>
          </w:r>
          <w:r>
            <w:instrText xml:space="preserve"> HYPERLINK \l "_Toc228560730" </w:instrText>
          </w:r>
          <w:r>
            <w:fldChar w:fldCharType="separate"/>
          </w:r>
          <w:r>
            <w:rPr>
              <w:rStyle w:val="27"/>
            </w:rPr>
            <w:t>2.5 Class Imbalance and SMOTE</w:t>
          </w:r>
          <w:r>
            <w:tab/>
          </w:r>
          <w:r>
            <w:fldChar w:fldCharType="begin"/>
          </w:r>
          <w:r>
            <w:instrText xml:space="preserve"> PAGEREF _Toc228560730 \h </w:instrText>
          </w:r>
          <w:r>
            <w:fldChar w:fldCharType="separate"/>
          </w:r>
          <w:r>
            <w:t>18</w:t>
          </w:r>
          <w:r>
            <w:fldChar w:fldCharType="end"/>
          </w:r>
          <w:r>
            <w:fldChar w:fldCharType="end"/>
          </w:r>
        </w:p>
        <w:p w14:paraId="4C304FFB">
          <w:pPr>
            <w:pStyle w:val="10"/>
            <w:tabs>
              <w:tab w:val="right" w:leader="dot" w:pos="8210"/>
            </w:tabs>
          </w:pPr>
          <w:r>
            <w:fldChar w:fldCharType="begin"/>
          </w:r>
          <w:r>
            <w:instrText xml:space="preserve"> HYPERLINK \l "_Toc228560731" </w:instrText>
          </w:r>
          <w:r>
            <w:fldChar w:fldCharType="separate"/>
          </w:r>
          <w:r>
            <w:rPr>
              <w:rStyle w:val="27"/>
            </w:rPr>
            <w:t>2.5.1 The Imbalance Problem</w:t>
          </w:r>
          <w:r>
            <w:tab/>
          </w:r>
          <w:r>
            <w:fldChar w:fldCharType="begin"/>
          </w:r>
          <w:r>
            <w:instrText xml:space="preserve"> PAGEREF _Toc228560731 \h </w:instrText>
          </w:r>
          <w:r>
            <w:fldChar w:fldCharType="separate"/>
          </w:r>
          <w:r>
            <w:t>18</w:t>
          </w:r>
          <w:r>
            <w:fldChar w:fldCharType="end"/>
          </w:r>
          <w:r>
            <w:fldChar w:fldCharType="end"/>
          </w:r>
        </w:p>
        <w:p w14:paraId="74792154">
          <w:pPr>
            <w:pStyle w:val="10"/>
            <w:tabs>
              <w:tab w:val="right" w:leader="dot" w:pos="8210"/>
            </w:tabs>
          </w:pPr>
          <w:r>
            <w:fldChar w:fldCharType="begin"/>
          </w:r>
          <w:r>
            <w:instrText xml:space="preserve"> HYPERLINK \l "_Toc228560732" </w:instrText>
          </w:r>
          <w:r>
            <w:fldChar w:fldCharType="separate"/>
          </w:r>
          <w:r>
            <w:rPr>
              <w:rStyle w:val="27"/>
            </w:rPr>
            <w:t>2.5.2 SMOTE Mechanism</w:t>
          </w:r>
          <w:r>
            <w:tab/>
          </w:r>
          <w:r>
            <w:fldChar w:fldCharType="begin"/>
          </w:r>
          <w:r>
            <w:instrText xml:space="preserve"> PAGEREF _Toc228560732 \h </w:instrText>
          </w:r>
          <w:r>
            <w:fldChar w:fldCharType="separate"/>
          </w:r>
          <w:r>
            <w:t>18</w:t>
          </w:r>
          <w:r>
            <w:fldChar w:fldCharType="end"/>
          </w:r>
          <w:r>
            <w:fldChar w:fldCharType="end"/>
          </w:r>
        </w:p>
        <w:p w14:paraId="660088DA">
          <w:pPr>
            <w:pStyle w:val="10"/>
            <w:tabs>
              <w:tab w:val="right" w:leader="dot" w:pos="8210"/>
            </w:tabs>
          </w:pPr>
          <w:r>
            <w:fldChar w:fldCharType="begin"/>
          </w:r>
          <w:r>
            <w:instrText xml:space="preserve"> HYPERLINK \l "_Toc228560733" </w:instrText>
          </w:r>
          <w:r>
            <w:fldChar w:fldCharType="separate"/>
          </w:r>
          <w:r>
            <w:rPr>
              <w:rStyle w:val="27"/>
            </w:rPr>
            <w:t>2.5.3 Data Leakage Constraint</w:t>
          </w:r>
          <w:r>
            <w:tab/>
          </w:r>
          <w:r>
            <w:fldChar w:fldCharType="begin"/>
          </w:r>
          <w:r>
            <w:instrText xml:space="preserve"> PAGEREF _Toc228560733 \h </w:instrText>
          </w:r>
          <w:r>
            <w:fldChar w:fldCharType="separate"/>
          </w:r>
          <w:r>
            <w:t>19</w:t>
          </w:r>
          <w:r>
            <w:fldChar w:fldCharType="end"/>
          </w:r>
          <w:r>
            <w:fldChar w:fldCharType="end"/>
          </w:r>
        </w:p>
        <w:p w14:paraId="3D8EFE6B">
          <w:pPr>
            <w:pStyle w:val="20"/>
            <w:tabs>
              <w:tab w:val="right" w:leader="dot" w:pos="8210"/>
            </w:tabs>
          </w:pPr>
          <w:r>
            <w:fldChar w:fldCharType="begin"/>
          </w:r>
          <w:r>
            <w:instrText xml:space="preserve"> HYPERLINK \l "_Toc228560734" </w:instrText>
          </w:r>
          <w:r>
            <w:fldChar w:fldCharType="separate"/>
          </w:r>
          <w:r>
            <w:rPr>
              <w:rStyle w:val="27"/>
            </w:rPr>
            <w:t>2.6 Explainable Artificial Intelligence</w:t>
          </w:r>
          <w:r>
            <w:tab/>
          </w:r>
          <w:r>
            <w:fldChar w:fldCharType="begin"/>
          </w:r>
          <w:r>
            <w:instrText xml:space="preserve"> PAGEREF _Toc228560734 \h </w:instrText>
          </w:r>
          <w:r>
            <w:fldChar w:fldCharType="separate"/>
          </w:r>
          <w:r>
            <w:t>19</w:t>
          </w:r>
          <w:r>
            <w:fldChar w:fldCharType="end"/>
          </w:r>
          <w:r>
            <w:fldChar w:fldCharType="end"/>
          </w:r>
        </w:p>
        <w:p w14:paraId="31C325F0">
          <w:pPr>
            <w:pStyle w:val="10"/>
            <w:tabs>
              <w:tab w:val="right" w:leader="dot" w:pos="8210"/>
            </w:tabs>
          </w:pPr>
          <w:r>
            <w:fldChar w:fldCharType="begin"/>
          </w:r>
          <w:r>
            <w:instrText xml:space="preserve"> HYPERLINK \l "_Toc228560735" </w:instrText>
          </w:r>
          <w:r>
            <w:fldChar w:fldCharType="separate"/>
          </w:r>
          <w:r>
            <w:rPr>
              <w:rStyle w:val="27"/>
            </w:rPr>
            <w:t>2.6.1 The Explainability Imperative</w:t>
          </w:r>
          <w:r>
            <w:tab/>
          </w:r>
          <w:r>
            <w:fldChar w:fldCharType="begin"/>
          </w:r>
          <w:r>
            <w:instrText xml:space="preserve"> PAGEREF _Toc228560735 \h </w:instrText>
          </w:r>
          <w:r>
            <w:fldChar w:fldCharType="separate"/>
          </w:r>
          <w:r>
            <w:t>19</w:t>
          </w:r>
          <w:r>
            <w:fldChar w:fldCharType="end"/>
          </w:r>
          <w:r>
            <w:fldChar w:fldCharType="end"/>
          </w:r>
        </w:p>
        <w:p w14:paraId="26934493">
          <w:pPr>
            <w:pStyle w:val="10"/>
            <w:tabs>
              <w:tab w:val="right" w:leader="dot" w:pos="8210"/>
            </w:tabs>
          </w:pPr>
          <w:r>
            <w:fldChar w:fldCharType="begin"/>
          </w:r>
          <w:r>
            <w:instrText xml:space="preserve"> HYPERLINK \l "_Toc228560736" </w:instrText>
          </w:r>
          <w:r>
            <w:fldChar w:fldCharType="separate"/>
          </w:r>
          <w:r>
            <w:rPr>
              <w:rStyle w:val="27"/>
            </w:rPr>
            <w:t>2.6.2 SHAP Values</w:t>
          </w:r>
          <w:r>
            <w:tab/>
          </w:r>
          <w:r>
            <w:fldChar w:fldCharType="begin"/>
          </w:r>
          <w:r>
            <w:instrText xml:space="preserve"> PAGEREF _Toc228560736 \h </w:instrText>
          </w:r>
          <w:r>
            <w:fldChar w:fldCharType="separate"/>
          </w:r>
          <w:r>
            <w:t>20</w:t>
          </w:r>
          <w:r>
            <w:fldChar w:fldCharType="end"/>
          </w:r>
          <w:r>
            <w:fldChar w:fldCharType="end"/>
          </w:r>
        </w:p>
        <w:p w14:paraId="7ABA93D1">
          <w:pPr>
            <w:pStyle w:val="10"/>
            <w:tabs>
              <w:tab w:val="right" w:leader="dot" w:pos="8210"/>
            </w:tabs>
          </w:pPr>
          <w:r>
            <w:fldChar w:fldCharType="begin"/>
          </w:r>
          <w:r>
            <w:instrText xml:space="preserve"> HYPERLINK \l "_Toc228560737" </w:instrText>
          </w:r>
          <w:r>
            <w:fldChar w:fldCharType="separate"/>
          </w:r>
          <w:r>
            <w:rPr>
              <w:rStyle w:val="27"/>
            </w:rPr>
            <w:t>2.6.3 Alternative Approaches</w:t>
          </w:r>
          <w:r>
            <w:tab/>
          </w:r>
          <w:r>
            <w:fldChar w:fldCharType="begin"/>
          </w:r>
          <w:r>
            <w:instrText xml:space="preserve"> PAGEREF _Toc228560737 \h </w:instrText>
          </w:r>
          <w:r>
            <w:fldChar w:fldCharType="separate"/>
          </w:r>
          <w:r>
            <w:t>20</w:t>
          </w:r>
          <w:r>
            <w:fldChar w:fldCharType="end"/>
          </w:r>
          <w:r>
            <w:fldChar w:fldCharType="end"/>
          </w:r>
        </w:p>
        <w:p w14:paraId="62C59FA7">
          <w:pPr>
            <w:pStyle w:val="20"/>
            <w:tabs>
              <w:tab w:val="right" w:leader="dot" w:pos="8210"/>
            </w:tabs>
          </w:pPr>
          <w:r>
            <w:fldChar w:fldCharType="begin"/>
          </w:r>
          <w:r>
            <w:instrText xml:space="preserve"> HYPERLINK \l "_Toc228560738" </w:instrText>
          </w:r>
          <w:r>
            <w:fldChar w:fldCharType="separate"/>
          </w:r>
          <w:r>
            <w:rPr>
              <w:rStyle w:val="27"/>
            </w:rPr>
            <w:t>2.7 Large Language Models in Analytical Contexts</w:t>
          </w:r>
          <w:r>
            <w:tab/>
          </w:r>
          <w:r>
            <w:fldChar w:fldCharType="begin"/>
          </w:r>
          <w:r>
            <w:instrText xml:space="preserve"> PAGEREF _Toc228560738 \h </w:instrText>
          </w:r>
          <w:r>
            <w:fldChar w:fldCharType="separate"/>
          </w:r>
          <w:r>
            <w:t>21</w:t>
          </w:r>
          <w:r>
            <w:fldChar w:fldCharType="end"/>
          </w:r>
          <w:r>
            <w:fldChar w:fldCharType="end"/>
          </w:r>
        </w:p>
        <w:p w14:paraId="528AA4B4">
          <w:pPr>
            <w:pStyle w:val="20"/>
            <w:tabs>
              <w:tab w:val="right" w:leader="dot" w:pos="8210"/>
            </w:tabs>
          </w:pPr>
          <w:r>
            <w:fldChar w:fldCharType="begin"/>
          </w:r>
          <w:r>
            <w:instrText xml:space="preserve"> HYPERLINK \l "_Toc228560739" </w:instrText>
          </w:r>
          <w:r>
            <w:fldChar w:fldCharType="separate"/>
          </w:r>
          <w:r>
            <w:rPr>
              <w:rStyle w:val="27"/>
            </w:rPr>
            <w:t>2.8 Human-in-the-Loop Systems</w:t>
          </w:r>
          <w:r>
            <w:tab/>
          </w:r>
          <w:r>
            <w:fldChar w:fldCharType="begin"/>
          </w:r>
          <w:r>
            <w:instrText xml:space="preserve"> PAGEREF _Toc228560739 \h </w:instrText>
          </w:r>
          <w:r>
            <w:fldChar w:fldCharType="separate"/>
          </w:r>
          <w:r>
            <w:t>22</w:t>
          </w:r>
          <w:r>
            <w:fldChar w:fldCharType="end"/>
          </w:r>
          <w:r>
            <w:fldChar w:fldCharType="end"/>
          </w:r>
        </w:p>
        <w:p w14:paraId="2BDD81D5">
          <w:pPr>
            <w:pStyle w:val="20"/>
            <w:tabs>
              <w:tab w:val="right" w:leader="dot" w:pos="8210"/>
            </w:tabs>
          </w:pPr>
          <w:r>
            <w:fldChar w:fldCharType="begin"/>
          </w:r>
          <w:r>
            <w:instrText xml:space="preserve"> HYPERLINK \l "_Toc228560740" </w:instrText>
          </w:r>
          <w:r>
            <w:fldChar w:fldCharType="separate"/>
          </w:r>
          <w:r>
            <w:rPr>
              <w:rStyle w:val="27"/>
            </w:rPr>
            <w:t>2.9 Research Gap</w:t>
          </w:r>
          <w:r>
            <w:tab/>
          </w:r>
          <w:r>
            <w:fldChar w:fldCharType="begin"/>
          </w:r>
          <w:r>
            <w:instrText xml:space="preserve"> PAGEREF _Toc228560740 \h </w:instrText>
          </w:r>
          <w:r>
            <w:fldChar w:fldCharType="separate"/>
          </w:r>
          <w:r>
            <w:t>22</w:t>
          </w:r>
          <w:r>
            <w:fldChar w:fldCharType="end"/>
          </w:r>
          <w:r>
            <w:fldChar w:fldCharType="end"/>
          </w:r>
        </w:p>
        <w:p w14:paraId="6BCA8631">
          <w:pPr>
            <w:pStyle w:val="15"/>
            <w:tabs>
              <w:tab w:val="right" w:leader="dot" w:pos="8210"/>
            </w:tabs>
          </w:pPr>
          <w:r>
            <w:fldChar w:fldCharType="begin"/>
          </w:r>
          <w:r>
            <w:instrText xml:space="preserve"> HYPERLINK \l "_Toc228560741" </w:instrText>
          </w:r>
          <w:r>
            <w:fldChar w:fldCharType="separate"/>
          </w:r>
          <w:r>
            <w:rPr>
              <w:rStyle w:val="27"/>
            </w:rPr>
            <w:t>CHAPTER 3</w:t>
          </w:r>
          <w:r>
            <w:tab/>
          </w:r>
          <w:r>
            <w:fldChar w:fldCharType="begin"/>
          </w:r>
          <w:r>
            <w:instrText xml:space="preserve"> PAGEREF _Toc228560741 \h </w:instrText>
          </w:r>
          <w:r>
            <w:fldChar w:fldCharType="separate"/>
          </w:r>
          <w:r>
            <w:t>23</w:t>
          </w:r>
          <w:r>
            <w:fldChar w:fldCharType="end"/>
          </w:r>
          <w:r>
            <w:fldChar w:fldCharType="end"/>
          </w:r>
        </w:p>
        <w:p w14:paraId="538B0062">
          <w:pPr>
            <w:pStyle w:val="20"/>
            <w:tabs>
              <w:tab w:val="right" w:leader="dot" w:pos="8210"/>
            </w:tabs>
          </w:pPr>
          <w:r>
            <w:fldChar w:fldCharType="begin"/>
          </w:r>
          <w:r>
            <w:instrText xml:space="preserve"> HYPERLINK \l "_Toc228560742" </w:instrText>
          </w:r>
          <w:r>
            <w:fldChar w:fldCharType="separate"/>
          </w:r>
          <w:r>
            <w:rPr>
              <w:rStyle w:val="27"/>
            </w:rPr>
            <w:t>New Ideas (Methodology and Design)</w:t>
          </w:r>
          <w:r>
            <w:tab/>
          </w:r>
          <w:r>
            <w:fldChar w:fldCharType="begin"/>
          </w:r>
          <w:r>
            <w:instrText xml:space="preserve"> PAGEREF _Toc228560742 \h </w:instrText>
          </w:r>
          <w:r>
            <w:fldChar w:fldCharType="separate"/>
          </w:r>
          <w:r>
            <w:t>23</w:t>
          </w:r>
          <w:r>
            <w:fldChar w:fldCharType="end"/>
          </w:r>
          <w:r>
            <w:fldChar w:fldCharType="end"/>
          </w:r>
        </w:p>
        <w:p w14:paraId="169A8FBD">
          <w:pPr>
            <w:pStyle w:val="20"/>
            <w:tabs>
              <w:tab w:val="right" w:leader="dot" w:pos="8210"/>
            </w:tabs>
          </w:pPr>
          <w:r>
            <w:fldChar w:fldCharType="begin"/>
          </w:r>
          <w:r>
            <w:instrText xml:space="preserve"> HYPERLINK \l "_Toc228560743" </w:instrText>
          </w:r>
          <w:r>
            <w:fldChar w:fldCharType="separate"/>
          </w:r>
          <w:r>
            <w:rPr>
              <w:rStyle w:val="27"/>
            </w:rPr>
            <w:t>3.1 Introduction</w:t>
          </w:r>
          <w:r>
            <w:tab/>
          </w:r>
          <w:r>
            <w:fldChar w:fldCharType="begin"/>
          </w:r>
          <w:r>
            <w:instrText xml:space="preserve"> PAGEREF _Toc228560743 \h </w:instrText>
          </w:r>
          <w:r>
            <w:fldChar w:fldCharType="separate"/>
          </w:r>
          <w:r>
            <w:t>23</w:t>
          </w:r>
          <w:r>
            <w:fldChar w:fldCharType="end"/>
          </w:r>
          <w:r>
            <w:fldChar w:fldCharType="end"/>
          </w:r>
        </w:p>
        <w:p w14:paraId="4288FADC">
          <w:pPr>
            <w:pStyle w:val="20"/>
            <w:tabs>
              <w:tab w:val="right" w:leader="dot" w:pos="8210"/>
            </w:tabs>
          </w:pPr>
          <w:r>
            <w:fldChar w:fldCharType="begin"/>
          </w:r>
          <w:r>
            <w:instrText xml:space="preserve"> HYPERLINK \l "_Toc228560744" </w:instrText>
          </w:r>
          <w:r>
            <w:fldChar w:fldCharType="separate"/>
          </w:r>
          <w:r>
            <w:rPr>
              <w:rStyle w:val="27"/>
            </w:rPr>
            <w:t>3.2 Dataset Selection</w:t>
          </w:r>
          <w:r>
            <w:tab/>
          </w:r>
          <w:r>
            <w:fldChar w:fldCharType="begin"/>
          </w:r>
          <w:r>
            <w:instrText xml:space="preserve"> PAGEREF _Toc228560744 \h </w:instrText>
          </w:r>
          <w:r>
            <w:fldChar w:fldCharType="separate"/>
          </w:r>
          <w:r>
            <w:t>23</w:t>
          </w:r>
          <w:r>
            <w:fldChar w:fldCharType="end"/>
          </w:r>
          <w:r>
            <w:fldChar w:fldCharType="end"/>
          </w:r>
        </w:p>
        <w:p w14:paraId="1C0CA26A">
          <w:pPr>
            <w:pStyle w:val="10"/>
            <w:tabs>
              <w:tab w:val="right" w:leader="dot" w:pos="8210"/>
            </w:tabs>
          </w:pPr>
          <w:r>
            <w:fldChar w:fldCharType="begin"/>
          </w:r>
          <w:r>
            <w:instrText xml:space="preserve"> HYPERLINK \l "_Toc228560745" </w:instrText>
          </w:r>
          <w:r>
            <w:fldChar w:fldCharType="separate"/>
          </w:r>
          <w:r>
            <w:rPr>
              <w:rStyle w:val="27"/>
            </w:rPr>
            <w:t>3.2.1 The ULB Credit Card Fraud Dataset</w:t>
          </w:r>
          <w:r>
            <w:tab/>
          </w:r>
          <w:r>
            <w:fldChar w:fldCharType="begin"/>
          </w:r>
          <w:r>
            <w:instrText xml:space="preserve"> PAGEREF _Toc228560745 \h </w:instrText>
          </w:r>
          <w:r>
            <w:fldChar w:fldCharType="separate"/>
          </w:r>
          <w:r>
            <w:t>23</w:t>
          </w:r>
          <w:r>
            <w:fldChar w:fldCharType="end"/>
          </w:r>
          <w:r>
            <w:fldChar w:fldCharType="end"/>
          </w:r>
        </w:p>
        <w:p w14:paraId="2BBF83D7">
          <w:pPr>
            <w:pStyle w:val="20"/>
            <w:tabs>
              <w:tab w:val="right" w:leader="dot" w:pos="8210"/>
            </w:tabs>
          </w:pPr>
          <w:r>
            <w:fldChar w:fldCharType="begin"/>
          </w:r>
          <w:r>
            <w:instrText xml:space="preserve"> HYPERLINK \l "_Toc228560746" </w:instrText>
          </w:r>
          <w:r>
            <w:fldChar w:fldCharType="separate"/>
          </w:r>
          <w:r>
            <w:rPr>
              <w:rStyle w:val="27"/>
            </w:rPr>
            <w:t>3.2.2 Justification for ULB Over Alternatives</w:t>
          </w:r>
          <w:r>
            <w:tab/>
          </w:r>
          <w:r>
            <w:fldChar w:fldCharType="begin"/>
          </w:r>
          <w:r>
            <w:instrText xml:space="preserve"> PAGEREF _Toc228560746 \h </w:instrText>
          </w:r>
          <w:r>
            <w:fldChar w:fldCharType="separate"/>
          </w:r>
          <w:r>
            <w:t>24</w:t>
          </w:r>
          <w:r>
            <w:fldChar w:fldCharType="end"/>
          </w:r>
          <w:r>
            <w:fldChar w:fldCharType="end"/>
          </w:r>
        </w:p>
        <w:p w14:paraId="6D31A5F2">
          <w:pPr>
            <w:pStyle w:val="15"/>
            <w:tabs>
              <w:tab w:val="right" w:leader="dot" w:pos="8210"/>
            </w:tabs>
          </w:pPr>
          <w:r>
            <w:fldChar w:fldCharType="begin"/>
          </w:r>
          <w:r>
            <w:instrText xml:space="preserve"> HYPERLINK \l "_Toc228560747" </w:instrText>
          </w:r>
          <w:r>
            <w:fldChar w:fldCharType="separate"/>
          </w:r>
          <w:r>
            <w:rPr>
              <w:rStyle w:val="27"/>
            </w:rPr>
            <w:t>3.3 Class Imbalance Strategy</w:t>
          </w:r>
          <w:r>
            <w:tab/>
          </w:r>
          <w:r>
            <w:fldChar w:fldCharType="begin"/>
          </w:r>
          <w:r>
            <w:instrText xml:space="preserve"> PAGEREF _Toc228560747 \h </w:instrText>
          </w:r>
          <w:r>
            <w:fldChar w:fldCharType="separate"/>
          </w:r>
          <w:r>
            <w:t>25</w:t>
          </w:r>
          <w:r>
            <w:fldChar w:fldCharType="end"/>
          </w:r>
          <w:r>
            <w:fldChar w:fldCharType="end"/>
          </w:r>
        </w:p>
        <w:p w14:paraId="24B822C3">
          <w:pPr>
            <w:pStyle w:val="20"/>
            <w:tabs>
              <w:tab w:val="right" w:leader="dot" w:pos="8210"/>
            </w:tabs>
          </w:pPr>
          <w:r>
            <w:fldChar w:fldCharType="begin"/>
          </w:r>
          <w:r>
            <w:instrText xml:space="preserve"> HYPERLINK \l "_Toc228560748" </w:instrText>
          </w:r>
          <w:r>
            <w:fldChar w:fldCharType="separate"/>
          </w:r>
          <w:r>
            <w:rPr>
              <w:rStyle w:val="27"/>
            </w:rPr>
            <w:t>3.3.1 SMOTE Configuration</w:t>
          </w:r>
          <w:r>
            <w:tab/>
          </w:r>
          <w:r>
            <w:fldChar w:fldCharType="begin"/>
          </w:r>
          <w:r>
            <w:instrText xml:space="preserve"> PAGEREF _Toc228560748 \h </w:instrText>
          </w:r>
          <w:r>
            <w:fldChar w:fldCharType="separate"/>
          </w:r>
          <w:r>
            <w:t>25</w:t>
          </w:r>
          <w:r>
            <w:fldChar w:fldCharType="end"/>
          </w:r>
          <w:r>
            <w:fldChar w:fldCharType="end"/>
          </w:r>
        </w:p>
        <w:p w14:paraId="471A5168">
          <w:pPr>
            <w:pStyle w:val="10"/>
            <w:tabs>
              <w:tab w:val="right" w:leader="dot" w:pos="8210"/>
            </w:tabs>
          </w:pPr>
          <w:r>
            <w:fldChar w:fldCharType="begin"/>
          </w:r>
          <w:r>
            <w:instrText xml:space="preserve"> HYPERLINK \l "_Toc228560749" </w:instrText>
          </w:r>
          <w:r>
            <w:fldChar w:fldCharType="separate"/>
          </w:r>
          <w:r>
            <w:rPr>
              <w:rStyle w:val="27"/>
            </w:rPr>
            <w:t>3.3.2 Cost-Sensitive Learning</w:t>
          </w:r>
          <w:r>
            <w:tab/>
          </w:r>
          <w:r>
            <w:fldChar w:fldCharType="begin"/>
          </w:r>
          <w:r>
            <w:instrText xml:space="preserve"> PAGEREF _Toc228560749 \h </w:instrText>
          </w:r>
          <w:r>
            <w:fldChar w:fldCharType="separate"/>
          </w:r>
          <w:r>
            <w:t>25</w:t>
          </w:r>
          <w:r>
            <w:fldChar w:fldCharType="end"/>
          </w:r>
          <w:r>
            <w:fldChar w:fldCharType="end"/>
          </w:r>
        </w:p>
        <w:p w14:paraId="57B1CFF5">
          <w:pPr>
            <w:pStyle w:val="10"/>
            <w:tabs>
              <w:tab w:val="right" w:leader="dot" w:pos="8210"/>
            </w:tabs>
          </w:pPr>
          <w:r>
            <w:fldChar w:fldCharType="begin"/>
          </w:r>
          <w:r>
            <w:instrText xml:space="preserve"> HYPERLINK \l "_Toc228560750" </w:instrText>
          </w:r>
          <w:r>
            <w:fldChar w:fldCharType="separate"/>
          </w:r>
          <w:r>
            <w:rPr>
              <w:rStyle w:val="27"/>
            </w:rPr>
            <w:t>3.3.3 Evaluation Metrics</w:t>
          </w:r>
          <w:r>
            <w:tab/>
          </w:r>
          <w:r>
            <w:fldChar w:fldCharType="begin"/>
          </w:r>
          <w:r>
            <w:instrText xml:space="preserve"> PAGEREF _Toc228560750 \h </w:instrText>
          </w:r>
          <w:r>
            <w:fldChar w:fldCharType="separate"/>
          </w:r>
          <w:r>
            <w:t>25</w:t>
          </w:r>
          <w:r>
            <w:fldChar w:fldCharType="end"/>
          </w:r>
          <w:r>
            <w:fldChar w:fldCharType="end"/>
          </w:r>
        </w:p>
        <w:p w14:paraId="5B83C74A">
          <w:pPr>
            <w:pStyle w:val="20"/>
            <w:tabs>
              <w:tab w:val="right" w:leader="dot" w:pos="8210"/>
            </w:tabs>
          </w:pPr>
          <w:r>
            <w:fldChar w:fldCharType="begin"/>
          </w:r>
          <w:r>
            <w:instrText xml:space="preserve"> HYPERLINK \l "_Toc228560751" </w:instrText>
          </w:r>
          <w:r>
            <w:fldChar w:fldCharType="separate"/>
          </w:r>
          <w:r>
            <w:rPr>
              <w:rStyle w:val="27"/>
            </w:rPr>
            <w:t>3.4 Model Selection</w:t>
          </w:r>
          <w:r>
            <w:tab/>
          </w:r>
          <w:r>
            <w:fldChar w:fldCharType="begin"/>
          </w:r>
          <w:r>
            <w:instrText xml:space="preserve"> PAGEREF _Toc228560751 \h </w:instrText>
          </w:r>
          <w:r>
            <w:fldChar w:fldCharType="separate"/>
          </w:r>
          <w:r>
            <w:t>26</w:t>
          </w:r>
          <w:r>
            <w:fldChar w:fldCharType="end"/>
          </w:r>
          <w:r>
            <w:fldChar w:fldCharType="end"/>
          </w:r>
        </w:p>
        <w:p w14:paraId="69814130">
          <w:pPr>
            <w:pStyle w:val="10"/>
            <w:tabs>
              <w:tab w:val="right" w:leader="dot" w:pos="8210"/>
            </w:tabs>
          </w:pPr>
          <w:r>
            <w:fldChar w:fldCharType="begin"/>
          </w:r>
          <w:r>
            <w:instrText xml:space="preserve"> HYPERLINK \l "_Toc228560752" </w:instrText>
          </w:r>
          <w:r>
            <w:fldChar w:fldCharType="separate"/>
          </w:r>
          <w:r>
            <w:rPr>
              <w:rStyle w:val="27"/>
            </w:rPr>
            <w:t>3.4.1 Random Forest Configuration</w:t>
          </w:r>
          <w:r>
            <w:tab/>
          </w:r>
          <w:r>
            <w:fldChar w:fldCharType="begin"/>
          </w:r>
          <w:r>
            <w:instrText xml:space="preserve"> PAGEREF _Toc228560752 \h </w:instrText>
          </w:r>
          <w:r>
            <w:fldChar w:fldCharType="separate"/>
          </w:r>
          <w:r>
            <w:t>26</w:t>
          </w:r>
          <w:r>
            <w:fldChar w:fldCharType="end"/>
          </w:r>
          <w:r>
            <w:fldChar w:fldCharType="end"/>
          </w:r>
        </w:p>
        <w:p w14:paraId="1EAED071">
          <w:pPr>
            <w:pStyle w:val="10"/>
            <w:tabs>
              <w:tab w:val="right" w:leader="dot" w:pos="8210"/>
            </w:tabs>
          </w:pPr>
          <w:r>
            <w:fldChar w:fldCharType="begin"/>
          </w:r>
          <w:r>
            <w:instrText xml:space="preserve"> HYPERLINK \l "_Toc228560753" </w:instrText>
          </w:r>
          <w:r>
            <w:fldChar w:fldCharType="separate"/>
          </w:r>
          <w:r>
            <w:rPr>
              <w:rStyle w:val="27"/>
            </w:rPr>
            <w:t>3.4.2 Logistic Regression Baseline</w:t>
          </w:r>
          <w:r>
            <w:tab/>
          </w:r>
          <w:r>
            <w:fldChar w:fldCharType="begin"/>
          </w:r>
          <w:r>
            <w:instrText xml:space="preserve"> PAGEREF _Toc228560753 \h </w:instrText>
          </w:r>
          <w:r>
            <w:fldChar w:fldCharType="separate"/>
          </w:r>
          <w:r>
            <w:t>27</w:t>
          </w:r>
          <w:r>
            <w:fldChar w:fldCharType="end"/>
          </w:r>
          <w:r>
            <w:fldChar w:fldCharType="end"/>
          </w:r>
        </w:p>
        <w:p w14:paraId="337F3826">
          <w:pPr>
            <w:pStyle w:val="10"/>
            <w:tabs>
              <w:tab w:val="right" w:leader="dot" w:pos="8210"/>
            </w:tabs>
          </w:pPr>
          <w:r>
            <w:fldChar w:fldCharType="begin"/>
          </w:r>
          <w:r>
            <w:instrText xml:space="preserve"> HYPERLINK \l "_Toc228560754" </w:instrText>
          </w:r>
          <w:r>
            <w:fldChar w:fldCharType="separate"/>
          </w:r>
          <w:r>
            <w:rPr>
              <w:rStyle w:val="27"/>
            </w:rPr>
            <w:t>3.4.3 Models Not Implemented</w:t>
          </w:r>
          <w:r>
            <w:tab/>
          </w:r>
          <w:r>
            <w:fldChar w:fldCharType="begin"/>
          </w:r>
          <w:r>
            <w:instrText xml:space="preserve"> PAGEREF _Toc228560754 \h </w:instrText>
          </w:r>
          <w:r>
            <w:fldChar w:fldCharType="separate"/>
          </w:r>
          <w:r>
            <w:t>27</w:t>
          </w:r>
          <w:r>
            <w:fldChar w:fldCharType="end"/>
          </w:r>
          <w:r>
            <w:fldChar w:fldCharType="end"/>
          </w:r>
        </w:p>
        <w:p w14:paraId="3299CD04">
          <w:pPr>
            <w:pStyle w:val="20"/>
            <w:tabs>
              <w:tab w:val="right" w:leader="dot" w:pos="8210"/>
            </w:tabs>
          </w:pPr>
          <w:r>
            <w:fldChar w:fldCharType="begin"/>
          </w:r>
          <w:r>
            <w:instrText xml:space="preserve"> HYPERLINK \l "_Toc228560755" </w:instrText>
          </w:r>
          <w:r>
            <w:fldChar w:fldCharType="separate"/>
          </w:r>
          <w:r>
            <w:rPr>
              <w:rStyle w:val="27"/>
            </w:rPr>
            <w:t>3.5 System Architecture</w:t>
          </w:r>
          <w:r>
            <w:tab/>
          </w:r>
          <w:r>
            <w:fldChar w:fldCharType="begin"/>
          </w:r>
          <w:r>
            <w:instrText xml:space="preserve"> PAGEREF _Toc228560755 \h </w:instrText>
          </w:r>
          <w:r>
            <w:fldChar w:fldCharType="separate"/>
          </w:r>
          <w:r>
            <w:t>27</w:t>
          </w:r>
          <w:r>
            <w:fldChar w:fldCharType="end"/>
          </w:r>
          <w:r>
            <w:fldChar w:fldCharType="end"/>
          </w:r>
        </w:p>
        <w:p w14:paraId="515AE9AB">
          <w:pPr>
            <w:pStyle w:val="20"/>
            <w:tabs>
              <w:tab w:val="right" w:leader="dot" w:pos="8210"/>
            </w:tabs>
          </w:pPr>
          <w:r>
            <w:fldChar w:fldCharType="begin"/>
          </w:r>
          <w:r>
            <w:instrText xml:space="preserve"> HYPERLINK \l "_Toc228560756" </w:instrText>
          </w:r>
          <w:r>
            <w:fldChar w:fldCharType="separate"/>
          </w:r>
          <w:r>
            <w:rPr>
              <w:rStyle w:val="27"/>
            </w:rPr>
            <w:t>3.6 Explainability Design</w:t>
          </w:r>
          <w:r>
            <w:tab/>
          </w:r>
          <w:r>
            <w:fldChar w:fldCharType="begin"/>
          </w:r>
          <w:r>
            <w:instrText xml:space="preserve"> PAGEREF _Toc228560756 \h </w:instrText>
          </w:r>
          <w:r>
            <w:fldChar w:fldCharType="separate"/>
          </w:r>
          <w:r>
            <w:t>28</w:t>
          </w:r>
          <w:r>
            <w:fldChar w:fldCharType="end"/>
          </w:r>
          <w:r>
            <w:fldChar w:fldCharType="end"/>
          </w:r>
        </w:p>
        <w:p w14:paraId="27C32F72">
          <w:pPr>
            <w:pStyle w:val="10"/>
            <w:tabs>
              <w:tab w:val="right" w:leader="dot" w:pos="8210"/>
            </w:tabs>
          </w:pPr>
          <w:r>
            <w:fldChar w:fldCharType="begin"/>
          </w:r>
          <w:r>
            <w:instrText xml:space="preserve"> HYPERLINK \l "_Toc228560757" </w:instrText>
          </w:r>
          <w:r>
            <w:fldChar w:fldCharType="separate"/>
          </w:r>
          <w:r>
            <w:rPr>
              <w:rStyle w:val="27"/>
            </w:rPr>
            <w:t>3.6.1 Why SHAP Was Rejected</w:t>
          </w:r>
          <w:r>
            <w:tab/>
          </w:r>
          <w:r>
            <w:fldChar w:fldCharType="begin"/>
          </w:r>
          <w:r>
            <w:instrText xml:space="preserve"> PAGEREF _Toc228560757 \h </w:instrText>
          </w:r>
          <w:r>
            <w:fldChar w:fldCharType="separate"/>
          </w:r>
          <w:r>
            <w:t>28</w:t>
          </w:r>
          <w:r>
            <w:fldChar w:fldCharType="end"/>
          </w:r>
          <w:r>
            <w:fldChar w:fldCharType="end"/>
          </w:r>
        </w:p>
        <w:p w14:paraId="05FFF897">
          <w:pPr>
            <w:pStyle w:val="10"/>
            <w:tabs>
              <w:tab w:val="right" w:leader="dot" w:pos="8210"/>
            </w:tabs>
          </w:pPr>
          <w:r>
            <w:fldChar w:fldCharType="begin"/>
          </w:r>
          <w:r>
            <w:instrText xml:space="preserve"> HYPERLINK \l "_Toc228560758" </w:instrText>
          </w:r>
          <w:r>
            <w:fldChar w:fldCharType="separate"/>
          </w:r>
          <w:r>
            <w:rPr>
              <w:rStyle w:val="27"/>
            </w:rPr>
            <w:t>3.6.2 Behavioural Context Translation</w:t>
          </w:r>
          <w:r>
            <w:tab/>
          </w:r>
          <w:r>
            <w:fldChar w:fldCharType="begin"/>
          </w:r>
          <w:r>
            <w:instrText xml:space="preserve"> PAGEREF _Toc228560758 \h </w:instrText>
          </w:r>
          <w:r>
            <w:fldChar w:fldCharType="separate"/>
          </w:r>
          <w:r>
            <w:t>28</w:t>
          </w:r>
          <w:r>
            <w:fldChar w:fldCharType="end"/>
          </w:r>
          <w:r>
            <w:fldChar w:fldCharType="end"/>
          </w:r>
        </w:p>
        <w:p w14:paraId="47F079F8">
          <w:pPr>
            <w:pStyle w:val="10"/>
            <w:tabs>
              <w:tab w:val="right" w:leader="dot" w:pos="8210"/>
            </w:tabs>
          </w:pPr>
          <w:r>
            <w:fldChar w:fldCharType="begin"/>
          </w:r>
          <w:r>
            <w:instrText xml:space="preserve"> HYPERLINK \l "_Toc228560759" </w:instrText>
          </w:r>
          <w:r>
            <w:fldChar w:fldCharType="separate"/>
          </w:r>
          <w:r>
            <w:rPr>
              <w:rStyle w:val="27"/>
            </w:rPr>
            <w:t>3.6.3 LLM Prompt Design</w:t>
          </w:r>
          <w:r>
            <w:tab/>
          </w:r>
          <w:r>
            <w:fldChar w:fldCharType="begin"/>
          </w:r>
          <w:r>
            <w:instrText xml:space="preserve"> PAGEREF _Toc228560759 \h </w:instrText>
          </w:r>
          <w:r>
            <w:fldChar w:fldCharType="separate"/>
          </w:r>
          <w:r>
            <w:t>29</w:t>
          </w:r>
          <w:r>
            <w:fldChar w:fldCharType="end"/>
          </w:r>
          <w:r>
            <w:fldChar w:fldCharType="end"/>
          </w:r>
        </w:p>
        <w:p w14:paraId="6F83F303">
          <w:pPr>
            <w:pStyle w:val="20"/>
            <w:tabs>
              <w:tab w:val="right" w:leader="dot" w:pos="8210"/>
            </w:tabs>
          </w:pPr>
          <w:r>
            <w:fldChar w:fldCharType="begin"/>
          </w:r>
          <w:r>
            <w:instrText xml:space="preserve"> HYPERLINK \l "_Toc228560760" </w:instrText>
          </w:r>
          <w:r>
            <w:fldChar w:fldCharType="separate"/>
          </w:r>
          <w:r>
            <w:rPr>
              <w:rStyle w:val="27"/>
            </w:rPr>
            <w:t>3.7 Web Interface Design</w:t>
          </w:r>
          <w:r>
            <w:tab/>
          </w:r>
          <w:r>
            <w:fldChar w:fldCharType="begin"/>
          </w:r>
          <w:r>
            <w:instrText xml:space="preserve"> PAGEREF _Toc228560760 \h </w:instrText>
          </w:r>
          <w:r>
            <w:fldChar w:fldCharType="separate"/>
          </w:r>
          <w:r>
            <w:t>29</w:t>
          </w:r>
          <w:r>
            <w:fldChar w:fldCharType="end"/>
          </w:r>
          <w:r>
            <w:fldChar w:fldCharType="end"/>
          </w:r>
        </w:p>
        <w:p w14:paraId="340EA4B7">
          <w:pPr>
            <w:pStyle w:val="20"/>
            <w:tabs>
              <w:tab w:val="right" w:leader="dot" w:pos="8210"/>
            </w:tabs>
          </w:pPr>
          <w:r>
            <w:fldChar w:fldCharType="begin"/>
          </w:r>
          <w:r>
            <w:instrText xml:space="preserve"> HYPERLINK \l "_Toc228560761" </w:instrText>
          </w:r>
          <w:r>
            <w:fldChar w:fldCharType="separate"/>
          </w:r>
          <w:r>
            <w:rPr>
              <w:rStyle w:val="27"/>
            </w:rPr>
            <w:t>3.8 Evaluation Strategy</w:t>
          </w:r>
          <w:r>
            <w:tab/>
          </w:r>
          <w:r>
            <w:fldChar w:fldCharType="begin"/>
          </w:r>
          <w:r>
            <w:instrText xml:space="preserve"> PAGEREF _Toc228560761 \h </w:instrText>
          </w:r>
          <w:r>
            <w:fldChar w:fldCharType="separate"/>
          </w:r>
          <w:r>
            <w:t>29</w:t>
          </w:r>
          <w:r>
            <w:fldChar w:fldCharType="end"/>
          </w:r>
          <w:r>
            <w:fldChar w:fldCharType="end"/>
          </w:r>
        </w:p>
        <w:p w14:paraId="30D1C63D">
          <w:pPr>
            <w:pStyle w:val="15"/>
            <w:tabs>
              <w:tab w:val="right" w:leader="dot" w:pos="8210"/>
            </w:tabs>
          </w:pPr>
          <w:r>
            <w:fldChar w:fldCharType="begin"/>
          </w:r>
          <w:r>
            <w:instrText xml:space="preserve"> HYPERLINK \l "_Toc228560762" </w:instrText>
          </w:r>
          <w:r>
            <w:fldChar w:fldCharType="separate"/>
          </w:r>
          <w:r>
            <w:rPr>
              <w:rStyle w:val="27"/>
            </w:rPr>
            <w:t>CHAPTER 4</w:t>
          </w:r>
          <w:r>
            <w:tab/>
          </w:r>
          <w:r>
            <w:fldChar w:fldCharType="begin"/>
          </w:r>
          <w:r>
            <w:instrText xml:space="preserve"> PAGEREF _Toc228560762 \h </w:instrText>
          </w:r>
          <w:r>
            <w:fldChar w:fldCharType="separate"/>
          </w:r>
          <w:r>
            <w:t>30</w:t>
          </w:r>
          <w:r>
            <w:fldChar w:fldCharType="end"/>
          </w:r>
          <w:r>
            <w:fldChar w:fldCharType="end"/>
          </w:r>
        </w:p>
        <w:p w14:paraId="7AAEF01E">
          <w:pPr>
            <w:pStyle w:val="15"/>
            <w:tabs>
              <w:tab w:val="right" w:leader="dot" w:pos="8210"/>
            </w:tabs>
          </w:pPr>
          <w:r>
            <w:fldChar w:fldCharType="begin"/>
          </w:r>
          <w:r>
            <w:instrText xml:space="preserve"> HYPERLINK \l "_Toc228560763" </w:instrText>
          </w:r>
          <w:r>
            <w:fldChar w:fldCharType="separate"/>
          </w:r>
          <w:r>
            <w:rPr>
              <w:rStyle w:val="27"/>
            </w:rPr>
            <w:t>Implementation</w:t>
          </w:r>
          <w:r>
            <w:tab/>
          </w:r>
          <w:r>
            <w:fldChar w:fldCharType="begin"/>
          </w:r>
          <w:r>
            <w:instrText xml:space="preserve"> PAGEREF _Toc228560763 \h </w:instrText>
          </w:r>
          <w:r>
            <w:fldChar w:fldCharType="separate"/>
          </w:r>
          <w:r>
            <w:t>30</w:t>
          </w:r>
          <w:r>
            <w:fldChar w:fldCharType="end"/>
          </w:r>
          <w:r>
            <w:fldChar w:fldCharType="end"/>
          </w:r>
        </w:p>
        <w:p w14:paraId="243EA690">
          <w:pPr>
            <w:pStyle w:val="10"/>
            <w:tabs>
              <w:tab w:val="right" w:leader="dot" w:pos="8210"/>
            </w:tabs>
          </w:pPr>
          <w:r>
            <w:fldChar w:fldCharType="begin"/>
          </w:r>
          <w:r>
            <w:instrText xml:space="preserve"> HYPERLINK \l "_Toc228560764" </w:instrText>
          </w:r>
          <w:r>
            <w:fldChar w:fldCharType="separate"/>
          </w:r>
          <w:r>
            <w:rPr>
              <w:rStyle w:val="27"/>
            </w:rPr>
            <w:t>4.1 Introduction</w:t>
          </w:r>
          <w:r>
            <w:tab/>
          </w:r>
          <w:r>
            <w:fldChar w:fldCharType="begin"/>
          </w:r>
          <w:r>
            <w:instrText xml:space="preserve"> PAGEREF _Toc228560764 \h </w:instrText>
          </w:r>
          <w:r>
            <w:fldChar w:fldCharType="separate"/>
          </w:r>
          <w:r>
            <w:t>30</w:t>
          </w:r>
          <w:r>
            <w:fldChar w:fldCharType="end"/>
          </w:r>
          <w:r>
            <w:fldChar w:fldCharType="end"/>
          </w:r>
        </w:p>
        <w:p w14:paraId="128898F0">
          <w:pPr>
            <w:pStyle w:val="20"/>
            <w:tabs>
              <w:tab w:val="right" w:leader="dot" w:pos="8210"/>
            </w:tabs>
          </w:pPr>
          <w:r>
            <w:fldChar w:fldCharType="begin"/>
          </w:r>
          <w:r>
            <w:instrText xml:space="preserve"> HYPERLINK \l "_Toc228560765" </w:instrText>
          </w:r>
          <w:r>
            <w:fldChar w:fldCharType="separate"/>
          </w:r>
          <w:r>
            <w:rPr>
              <w:rStyle w:val="27"/>
            </w:rPr>
            <w:t>4.2 Development Environment</w:t>
          </w:r>
          <w:r>
            <w:tab/>
          </w:r>
          <w:r>
            <w:fldChar w:fldCharType="begin"/>
          </w:r>
          <w:r>
            <w:instrText xml:space="preserve"> PAGEREF _Toc228560765 \h </w:instrText>
          </w:r>
          <w:r>
            <w:fldChar w:fldCharType="separate"/>
          </w:r>
          <w:r>
            <w:t>31</w:t>
          </w:r>
          <w:r>
            <w:fldChar w:fldCharType="end"/>
          </w:r>
          <w:r>
            <w:fldChar w:fldCharType="end"/>
          </w:r>
        </w:p>
        <w:p w14:paraId="1D5FF2A0">
          <w:pPr>
            <w:pStyle w:val="20"/>
            <w:tabs>
              <w:tab w:val="right" w:leader="dot" w:pos="8210"/>
            </w:tabs>
          </w:pPr>
          <w:r>
            <w:fldChar w:fldCharType="begin"/>
          </w:r>
          <w:r>
            <w:instrText xml:space="preserve"> HYPERLINK \l "_Toc228560766" </w:instrText>
          </w:r>
          <w:r>
            <w:fldChar w:fldCharType="separate"/>
          </w:r>
          <w:r>
            <w:rPr>
              <w:rStyle w:val="27"/>
            </w:rPr>
            <w:t>4.3 Training Pipeline</w:t>
          </w:r>
          <w:r>
            <w:tab/>
          </w:r>
          <w:r>
            <w:fldChar w:fldCharType="begin"/>
          </w:r>
          <w:r>
            <w:instrText xml:space="preserve"> PAGEREF _Toc228560766 \h </w:instrText>
          </w:r>
          <w:r>
            <w:fldChar w:fldCharType="separate"/>
          </w:r>
          <w:r>
            <w:t>31</w:t>
          </w:r>
          <w:r>
            <w:fldChar w:fldCharType="end"/>
          </w:r>
          <w:r>
            <w:fldChar w:fldCharType="end"/>
          </w:r>
        </w:p>
        <w:p w14:paraId="04EBA9E3">
          <w:pPr>
            <w:pStyle w:val="20"/>
            <w:tabs>
              <w:tab w:val="right" w:leader="dot" w:pos="8210"/>
            </w:tabs>
          </w:pPr>
          <w:r>
            <w:fldChar w:fldCharType="begin"/>
          </w:r>
          <w:r>
            <w:instrText xml:space="preserve"> HYPERLINK \l "_Toc228560767" </w:instrText>
          </w:r>
          <w:r>
            <w:fldChar w:fldCharType="separate"/>
          </w:r>
          <w:r>
            <w:rPr>
              <w:rStyle w:val="27"/>
            </w:rPr>
            <w:t>4.3.1 Data Loading and Validation</w:t>
          </w:r>
          <w:r>
            <w:tab/>
          </w:r>
          <w:r>
            <w:fldChar w:fldCharType="begin"/>
          </w:r>
          <w:r>
            <w:instrText xml:space="preserve"> PAGEREF _Toc228560767 \h </w:instrText>
          </w:r>
          <w:r>
            <w:fldChar w:fldCharType="separate"/>
          </w:r>
          <w:r>
            <w:t>31</w:t>
          </w:r>
          <w:r>
            <w:fldChar w:fldCharType="end"/>
          </w:r>
          <w:r>
            <w:fldChar w:fldCharType="end"/>
          </w:r>
        </w:p>
        <w:p w14:paraId="5FE1210F">
          <w:pPr>
            <w:pStyle w:val="10"/>
            <w:tabs>
              <w:tab w:val="right" w:leader="dot" w:pos="8210"/>
            </w:tabs>
          </w:pPr>
          <w:r>
            <w:fldChar w:fldCharType="begin"/>
          </w:r>
          <w:r>
            <w:instrText xml:space="preserve"> HYPERLINK \l "_Toc228560768" </w:instrText>
          </w:r>
          <w:r>
            <w:fldChar w:fldCharType="separate"/>
          </w:r>
          <w:r>
            <w:rPr>
              <w:rStyle w:val="27"/>
            </w:rPr>
            <w:t>4.3.2 Stratified Train/Test Split and SMOTE</w:t>
          </w:r>
          <w:r>
            <w:tab/>
          </w:r>
          <w:r>
            <w:fldChar w:fldCharType="begin"/>
          </w:r>
          <w:r>
            <w:instrText xml:space="preserve"> PAGEREF _Toc228560768 \h </w:instrText>
          </w:r>
          <w:r>
            <w:fldChar w:fldCharType="separate"/>
          </w:r>
          <w:r>
            <w:t>32</w:t>
          </w:r>
          <w:r>
            <w:fldChar w:fldCharType="end"/>
          </w:r>
          <w:r>
            <w:fldChar w:fldCharType="end"/>
          </w:r>
        </w:p>
        <w:p w14:paraId="5ABE341C">
          <w:pPr>
            <w:pStyle w:val="10"/>
            <w:tabs>
              <w:tab w:val="right" w:leader="dot" w:pos="8210"/>
            </w:tabs>
          </w:pPr>
          <w:r>
            <w:fldChar w:fldCharType="begin"/>
          </w:r>
          <w:r>
            <w:instrText xml:space="preserve"> HYPERLINK \l "_Toc228560769" </w:instrText>
          </w:r>
          <w:r>
            <w:fldChar w:fldCharType="separate"/>
          </w:r>
          <w:r>
            <w:rPr>
              <w:rStyle w:val="27"/>
            </w:rPr>
            <w:t>4.3.3 Logistic Regression Baseline</w:t>
          </w:r>
          <w:r>
            <w:tab/>
          </w:r>
          <w:r>
            <w:fldChar w:fldCharType="begin"/>
          </w:r>
          <w:r>
            <w:instrText xml:space="preserve"> PAGEREF _Toc228560769 \h </w:instrText>
          </w:r>
          <w:r>
            <w:fldChar w:fldCharType="separate"/>
          </w:r>
          <w:r>
            <w:t>32</w:t>
          </w:r>
          <w:r>
            <w:fldChar w:fldCharType="end"/>
          </w:r>
          <w:r>
            <w:fldChar w:fldCharType="end"/>
          </w:r>
        </w:p>
        <w:p w14:paraId="4DE1F315">
          <w:pPr>
            <w:pStyle w:val="10"/>
            <w:tabs>
              <w:tab w:val="right" w:leader="dot" w:pos="8210"/>
            </w:tabs>
          </w:pPr>
          <w:r>
            <w:fldChar w:fldCharType="begin"/>
          </w:r>
          <w:r>
            <w:instrText xml:space="preserve"> HYPERLINK \l "_Toc228560770" </w:instrText>
          </w:r>
          <w:r>
            <w:fldChar w:fldCharType="separate"/>
          </w:r>
          <w:r>
            <w:rPr>
              <w:rStyle w:val="27"/>
            </w:rPr>
            <w:t>4.3.4 Random Forest Training</w:t>
          </w:r>
          <w:r>
            <w:tab/>
          </w:r>
          <w:r>
            <w:fldChar w:fldCharType="begin"/>
          </w:r>
          <w:r>
            <w:instrText xml:space="preserve"> PAGEREF _Toc228560770 \h </w:instrText>
          </w:r>
          <w:r>
            <w:fldChar w:fldCharType="separate"/>
          </w:r>
          <w:r>
            <w:t>32</w:t>
          </w:r>
          <w:r>
            <w:fldChar w:fldCharType="end"/>
          </w:r>
          <w:r>
            <w:fldChar w:fldCharType="end"/>
          </w:r>
        </w:p>
        <w:p w14:paraId="70374F75">
          <w:pPr>
            <w:pStyle w:val="10"/>
            <w:tabs>
              <w:tab w:val="right" w:leader="dot" w:pos="8210"/>
            </w:tabs>
          </w:pPr>
          <w:r>
            <w:fldChar w:fldCharType="begin"/>
          </w:r>
          <w:r>
            <w:instrText xml:space="preserve"> HYPERLINK \l "_Toc228560771" </w:instrText>
          </w:r>
          <w:r>
            <w:fldChar w:fldCharType="separate"/>
          </w:r>
          <w:r>
            <w:rPr>
              <w:rStyle w:val="27"/>
            </w:rPr>
            <w:t>4.3.5 Evaluation and Serialisation</w:t>
          </w:r>
          <w:r>
            <w:tab/>
          </w:r>
          <w:r>
            <w:fldChar w:fldCharType="begin"/>
          </w:r>
          <w:r>
            <w:instrText xml:space="preserve"> PAGEREF _Toc228560771 \h </w:instrText>
          </w:r>
          <w:r>
            <w:fldChar w:fldCharType="separate"/>
          </w:r>
          <w:r>
            <w:t>33</w:t>
          </w:r>
          <w:r>
            <w:fldChar w:fldCharType="end"/>
          </w:r>
          <w:r>
            <w:fldChar w:fldCharType="end"/>
          </w:r>
        </w:p>
        <w:p w14:paraId="14F02BC0">
          <w:pPr>
            <w:pStyle w:val="20"/>
            <w:tabs>
              <w:tab w:val="right" w:leader="dot" w:pos="8210"/>
            </w:tabs>
          </w:pPr>
          <w:r>
            <w:fldChar w:fldCharType="begin"/>
          </w:r>
          <w:r>
            <w:instrText xml:space="preserve"> HYPERLINK \l "_Toc228560772" </w:instrText>
          </w:r>
          <w:r>
            <w:fldChar w:fldCharType="separate"/>
          </w:r>
          <w:r>
            <w:rPr>
              <w:rStyle w:val="27"/>
            </w:rPr>
            <w:t>4.4 Web Application</w:t>
          </w:r>
          <w:r>
            <w:tab/>
          </w:r>
          <w:r>
            <w:fldChar w:fldCharType="begin"/>
          </w:r>
          <w:r>
            <w:instrText xml:space="preserve"> PAGEREF _Toc228560772 \h </w:instrText>
          </w:r>
          <w:r>
            <w:fldChar w:fldCharType="separate"/>
          </w:r>
          <w:r>
            <w:t>33</w:t>
          </w:r>
          <w:r>
            <w:fldChar w:fldCharType="end"/>
          </w:r>
          <w:r>
            <w:fldChar w:fldCharType="end"/>
          </w:r>
        </w:p>
        <w:p w14:paraId="5CCB1C1F">
          <w:pPr>
            <w:pStyle w:val="10"/>
            <w:tabs>
              <w:tab w:val="right" w:leader="dot" w:pos="8210"/>
            </w:tabs>
          </w:pPr>
          <w:r>
            <w:fldChar w:fldCharType="begin"/>
          </w:r>
          <w:r>
            <w:instrText xml:space="preserve"> HYPERLINK \l "_Toc228560773" </w:instrText>
          </w:r>
          <w:r>
            <w:fldChar w:fldCharType="separate"/>
          </w:r>
          <w:r>
            <w:rPr>
              <w:rStyle w:val="27"/>
            </w:rPr>
            <w:t>4.4.1 Application Startup</w:t>
          </w:r>
          <w:r>
            <w:tab/>
          </w:r>
          <w:r>
            <w:fldChar w:fldCharType="begin"/>
          </w:r>
          <w:r>
            <w:instrText xml:space="preserve"> PAGEREF _Toc228560773 \h </w:instrText>
          </w:r>
          <w:r>
            <w:fldChar w:fldCharType="separate"/>
          </w:r>
          <w:r>
            <w:t>33</w:t>
          </w:r>
          <w:r>
            <w:fldChar w:fldCharType="end"/>
          </w:r>
          <w:r>
            <w:fldChar w:fldCharType="end"/>
          </w:r>
        </w:p>
        <w:p w14:paraId="7702B404">
          <w:pPr>
            <w:pStyle w:val="10"/>
            <w:tabs>
              <w:tab w:val="right" w:leader="dot" w:pos="8210"/>
            </w:tabs>
          </w:pPr>
          <w:r>
            <w:fldChar w:fldCharType="begin"/>
          </w:r>
          <w:r>
            <w:instrText xml:space="preserve"> HYPERLINK \l "_Toc228560774" </w:instrText>
          </w:r>
          <w:r>
            <w:fldChar w:fldCharType="separate"/>
          </w:r>
          <w:r>
            <w:rPr>
              <w:rStyle w:val="27"/>
            </w:rPr>
            <w:t>4.4.2 Transaction Loading</w:t>
          </w:r>
          <w:r>
            <w:tab/>
          </w:r>
          <w:r>
            <w:fldChar w:fldCharType="begin"/>
          </w:r>
          <w:r>
            <w:instrText xml:space="preserve"> PAGEREF _Toc228560774 \h </w:instrText>
          </w:r>
          <w:r>
            <w:fldChar w:fldCharType="separate"/>
          </w:r>
          <w:r>
            <w:t>33</w:t>
          </w:r>
          <w:r>
            <w:fldChar w:fldCharType="end"/>
          </w:r>
          <w:r>
            <w:fldChar w:fldCharType="end"/>
          </w:r>
        </w:p>
        <w:p w14:paraId="3DC0E6BA">
          <w:pPr>
            <w:pStyle w:val="10"/>
            <w:tabs>
              <w:tab w:val="right" w:leader="dot" w:pos="8210"/>
            </w:tabs>
          </w:pPr>
          <w:r>
            <w:fldChar w:fldCharType="begin"/>
          </w:r>
          <w:r>
            <w:instrText xml:space="preserve"> HYPERLINK \l "_Toc228560775" </w:instrText>
          </w:r>
          <w:r>
            <w:fldChar w:fldCharType="separate"/>
          </w:r>
          <w:r>
            <w:rPr>
              <w:rStyle w:val="27"/>
            </w:rPr>
            <w:t>4.4.3 Prediction</w:t>
          </w:r>
          <w:r>
            <w:tab/>
          </w:r>
          <w:r>
            <w:fldChar w:fldCharType="begin"/>
          </w:r>
          <w:r>
            <w:instrText xml:space="preserve"> PAGEREF _Toc228560775 \h </w:instrText>
          </w:r>
          <w:r>
            <w:fldChar w:fldCharType="separate"/>
          </w:r>
          <w:r>
            <w:t>34</w:t>
          </w:r>
          <w:r>
            <w:fldChar w:fldCharType="end"/>
          </w:r>
          <w:r>
            <w:fldChar w:fldCharType="end"/>
          </w:r>
        </w:p>
        <w:p w14:paraId="2C604F5A">
          <w:pPr>
            <w:pStyle w:val="10"/>
            <w:tabs>
              <w:tab w:val="right" w:leader="dot" w:pos="8210"/>
            </w:tabs>
          </w:pPr>
          <w:r>
            <w:fldChar w:fldCharType="begin"/>
          </w:r>
          <w:r>
            <w:instrText xml:space="preserve"> HYPERLINK \l "_Toc228560776" </w:instrText>
          </w:r>
          <w:r>
            <w:fldChar w:fldCharType="separate"/>
          </w:r>
          <w:r>
            <w:rPr>
              <w:rStyle w:val="27"/>
            </w:rPr>
            <w:t>4.4.4 Streamlit UI Design</w:t>
          </w:r>
          <w:r>
            <w:tab/>
          </w:r>
          <w:r>
            <w:fldChar w:fldCharType="begin"/>
          </w:r>
          <w:r>
            <w:instrText xml:space="preserve"> PAGEREF _Toc228560776 \h </w:instrText>
          </w:r>
          <w:r>
            <w:fldChar w:fldCharType="separate"/>
          </w:r>
          <w:r>
            <w:t>34</w:t>
          </w:r>
          <w:r>
            <w:fldChar w:fldCharType="end"/>
          </w:r>
          <w:r>
            <w:fldChar w:fldCharType="end"/>
          </w:r>
        </w:p>
        <w:p w14:paraId="05D10B1D">
          <w:pPr>
            <w:pStyle w:val="20"/>
            <w:tabs>
              <w:tab w:val="right" w:leader="dot" w:pos="8210"/>
            </w:tabs>
          </w:pPr>
          <w:r>
            <w:fldChar w:fldCharType="begin"/>
          </w:r>
          <w:r>
            <w:instrText xml:space="preserve"> HYPERLINK \l "_Toc228560777" </w:instrText>
          </w:r>
          <w:r>
            <w:fldChar w:fldCharType="separate"/>
          </w:r>
          <w:r>
            <w:rPr>
              <w:rStyle w:val="27"/>
            </w:rPr>
            <w:t>4.5 Report Generation Module</w:t>
          </w:r>
          <w:r>
            <w:tab/>
          </w:r>
          <w:r>
            <w:fldChar w:fldCharType="begin"/>
          </w:r>
          <w:r>
            <w:instrText xml:space="preserve"> PAGEREF _Toc228560777 \h </w:instrText>
          </w:r>
          <w:r>
            <w:fldChar w:fldCharType="separate"/>
          </w:r>
          <w:r>
            <w:t>34</w:t>
          </w:r>
          <w:r>
            <w:fldChar w:fldCharType="end"/>
          </w:r>
          <w:r>
            <w:fldChar w:fldCharType="end"/>
          </w:r>
        </w:p>
        <w:p w14:paraId="3FA3FBBA">
          <w:pPr>
            <w:pStyle w:val="10"/>
            <w:tabs>
              <w:tab w:val="right" w:leader="dot" w:pos="8210"/>
            </w:tabs>
          </w:pPr>
          <w:r>
            <w:fldChar w:fldCharType="begin"/>
          </w:r>
          <w:r>
            <w:instrText xml:space="preserve"> HYPERLINK \l "_Toc228560778" </w:instrText>
          </w:r>
          <w:r>
            <w:fldChar w:fldCharType="separate"/>
          </w:r>
          <w:r>
            <w:rPr>
              <w:rStyle w:val="27"/>
            </w:rPr>
            <w:t>4.5.1 Behavioural Context Builder</w:t>
          </w:r>
          <w:r>
            <w:tab/>
          </w:r>
          <w:r>
            <w:fldChar w:fldCharType="begin"/>
          </w:r>
          <w:r>
            <w:instrText xml:space="preserve"> PAGEREF _Toc228560778 \h </w:instrText>
          </w:r>
          <w:r>
            <w:fldChar w:fldCharType="separate"/>
          </w:r>
          <w:r>
            <w:t>34</w:t>
          </w:r>
          <w:r>
            <w:fldChar w:fldCharType="end"/>
          </w:r>
          <w:r>
            <w:fldChar w:fldCharType="end"/>
          </w:r>
        </w:p>
        <w:p w14:paraId="10FCDE26">
          <w:pPr>
            <w:pStyle w:val="10"/>
            <w:tabs>
              <w:tab w:val="right" w:leader="dot" w:pos="8210"/>
            </w:tabs>
          </w:pPr>
          <w:r>
            <w:fldChar w:fldCharType="begin"/>
          </w:r>
          <w:r>
            <w:instrText xml:space="preserve"> HYPERLINK \l "_Toc228560779" </w:instrText>
          </w:r>
          <w:r>
            <w:fldChar w:fldCharType="separate"/>
          </w:r>
          <w:r>
            <w:rPr>
              <w:rStyle w:val="27"/>
            </w:rPr>
            <w:t>4.5.2 Groq API Integration</w:t>
          </w:r>
          <w:r>
            <w:tab/>
          </w:r>
          <w:r>
            <w:fldChar w:fldCharType="begin"/>
          </w:r>
          <w:r>
            <w:instrText xml:space="preserve"> PAGEREF _Toc228560779 \h </w:instrText>
          </w:r>
          <w:r>
            <w:fldChar w:fldCharType="separate"/>
          </w:r>
          <w:r>
            <w:t>35</w:t>
          </w:r>
          <w:r>
            <w:fldChar w:fldCharType="end"/>
          </w:r>
          <w:r>
            <w:fldChar w:fldCharType="end"/>
          </w:r>
        </w:p>
        <w:p w14:paraId="4FE30789">
          <w:pPr>
            <w:pStyle w:val="20"/>
            <w:tabs>
              <w:tab w:val="right" w:leader="dot" w:pos="8210"/>
            </w:tabs>
          </w:pPr>
          <w:r>
            <w:fldChar w:fldCharType="begin"/>
          </w:r>
          <w:r>
            <w:instrText xml:space="preserve"> HYPERLINK \l "_Toc228560780" </w:instrText>
          </w:r>
          <w:r>
            <w:fldChar w:fldCharType="separate"/>
          </w:r>
          <w:r>
            <w:rPr>
              <w:rStyle w:val="27"/>
            </w:rPr>
            <w:t>4.6 Fraud Prevention Advisor</w:t>
          </w:r>
          <w:r>
            <w:tab/>
          </w:r>
          <w:r>
            <w:fldChar w:fldCharType="begin"/>
          </w:r>
          <w:r>
            <w:instrText xml:space="preserve"> PAGEREF _Toc228560780 \h </w:instrText>
          </w:r>
          <w:r>
            <w:fldChar w:fldCharType="separate"/>
          </w:r>
          <w:r>
            <w:t>35</w:t>
          </w:r>
          <w:r>
            <w:fldChar w:fldCharType="end"/>
          </w:r>
          <w:r>
            <w:fldChar w:fldCharType="end"/>
          </w:r>
        </w:p>
        <w:p w14:paraId="53A4E14B">
          <w:pPr>
            <w:pStyle w:val="20"/>
            <w:tabs>
              <w:tab w:val="right" w:leader="dot" w:pos="8210"/>
            </w:tabs>
          </w:pPr>
          <w:r>
            <w:fldChar w:fldCharType="begin"/>
          </w:r>
          <w:r>
            <w:instrText xml:space="preserve"> HYPERLINK \l "_Toc228560781" </w:instrText>
          </w:r>
          <w:r>
            <w:fldChar w:fldCharType="separate"/>
          </w:r>
          <w:r>
            <w:rPr>
              <w:rStyle w:val="27"/>
            </w:rPr>
            <w:t>4.7 PDF Export</w:t>
          </w:r>
          <w:r>
            <w:tab/>
          </w:r>
          <w:r>
            <w:fldChar w:fldCharType="begin"/>
          </w:r>
          <w:r>
            <w:instrText xml:space="preserve"> PAGEREF _Toc228560781 \h </w:instrText>
          </w:r>
          <w:r>
            <w:fldChar w:fldCharType="separate"/>
          </w:r>
          <w:r>
            <w:t>36</w:t>
          </w:r>
          <w:r>
            <w:fldChar w:fldCharType="end"/>
          </w:r>
          <w:r>
            <w:fldChar w:fldCharType="end"/>
          </w:r>
        </w:p>
        <w:p w14:paraId="7763E1DE">
          <w:pPr>
            <w:pStyle w:val="20"/>
            <w:tabs>
              <w:tab w:val="right" w:leader="dot" w:pos="8210"/>
            </w:tabs>
          </w:pPr>
          <w:r>
            <w:fldChar w:fldCharType="begin"/>
          </w:r>
          <w:r>
            <w:instrText xml:space="preserve"> HYPERLINK \l "_Toc228560782" </w:instrText>
          </w:r>
          <w:r>
            <w:fldChar w:fldCharType="separate"/>
          </w:r>
          <w:r>
            <w:rPr>
              <w:rStyle w:val="27"/>
            </w:rPr>
            <w:t>4.8 Theme System</w:t>
          </w:r>
          <w:r>
            <w:tab/>
          </w:r>
          <w:r>
            <w:fldChar w:fldCharType="begin"/>
          </w:r>
          <w:r>
            <w:instrText xml:space="preserve"> PAGEREF _Toc228560782 \h </w:instrText>
          </w:r>
          <w:r>
            <w:fldChar w:fldCharType="separate"/>
          </w:r>
          <w:r>
            <w:t>37</w:t>
          </w:r>
          <w:r>
            <w:fldChar w:fldCharType="end"/>
          </w:r>
          <w:r>
            <w:fldChar w:fldCharType="end"/>
          </w:r>
        </w:p>
        <w:p w14:paraId="4DDD09DE">
          <w:pPr>
            <w:pStyle w:val="15"/>
            <w:tabs>
              <w:tab w:val="right" w:leader="dot" w:pos="8210"/>
            </w:tabs>
          </w:pPr>
          <w:r>
            <w:fldChar w:fldCharType="begin"/>
          </w:r>
          <w:r>
            <w:instrText xml:space="preserve"> HYPERLINK \l "_Toc228560783" </w:instrText>
          </w:r>
          <w:r>
            <w:fldChar w:fldCharType="separate"/>
          </w:r>
          <w:r>
            <w:rPr>
              <w:rStyle w:val="27"/>
            </w:rPr>
            <w:t>CHAPTER 5</w:t>
          </w:r>
          <w:r>
            <w:tab/>
          </w:r>
          <w:r>
            <w:fldChar w:fldCharType="begin"/>
          </w:r>
          <w:r>
            <w:instrText xml:space="preserve"> PAGEREF _Toc228560783 \h </w:instrText>
          </w:r>
          <w:r>
            <w:fldChar w:fldCharType="separate"/>
          </w:r>
          <w:r>
            <w:t>37</w:t>
          </w:r>
          <w:r>
            <w:fldChar w:fldCharType="end"/>
          </w:r>
          <w:r>
            <w:fldChar w:fldCharType="end"/>
          </w:r>
        </w:p>
        <w:p w14:paraId="33D06C2E">
          <w:pPr>
            <w:pStyle w:val="20"/>
            <w:tabs>
              <w:tab w:val="right" w:leader="dot" w:pos="8210"/>
            </w:tabs>
          </w:pPr>
          <w:r>
            <w:fldChar w:fldCharType="begin"/>
          </w:r>
          <w:r>
            <w:instrText xml:space="preserve"> HYPERLINK \l "_Toc228560784" </w:instrText>
          </w:r>
          <w:r>
            <w:fldChar w:fldCharType="separate"/>
          </w:r>
          <w:r>
            <w:rPr>
              <w:rStyle w:val="27"/>
            </w:rPr>
            <w:t>Results and Discussion</w:t>
          </w:r>
          <w:r>
            <w:tab/>
          </w:r>
          <w:r>
            <w:fldChar w:fldCharType="begin"/>
          </w:r>
          <w:r>
            <w:instrText xml:space="preserve"> PAGEREF _Toc228560784 \h </w:instrText>
          </w:r>
          <w:r>
            <w:fldChar w:fldCharType="separate"/>
          </w:r>
          <w:r>
            <w:t>37</w:t>
          </w:r>
          <w:r>
            <w:fldChar w:fldCharType="end"/>
          </w:r>
          <w:r>
            <w:fldChar w:fldCharType="end"/>
          </w:r>
        </w:p>
        <w:p w14:paraId="5DD2F514">
          <w:pPr>
            <w:pStyle w:val="20"/>
            <w:tabs>
              <w:tab w:val="right" w:leader="dot" w:pos="8210"/>
            </w:tabs>
          </w:pPr>
          <w:r>
            <w:fldChar w:fldCharType="begin"/>
          </w:r>
          <w:r>
            <w:instrText xml:space="preserve"> HYPERLINK \l "_Toc228560785" </w:instrText>
          </w:r>
          <w:r>
            <w:fldChar w:fldCharType="separate"/>
          </w:r>
          <w:r>
            <w:rPr>
              <w:rStyle w:val="27"/>
            </w:rPr>
            <w:t>5.1 Introduction</w:t>
          </w:r>
          <w:r>
            <w:tab/>
          </w:r>
          <w:r>
            <w:fldChar w:fldCharType="begin"/>
          </w:r>
          <w:r>
            <w:instrText xml:space="preserve"> PAGEREF _Toc228560785 \h </w:instrText>
          </w:r>
          <w:r>
            <w:fldChar w:fldCharType="separate"/>
          </w:r>
          <w:r>
            <w:t>37</w:t>
          </w:r>
          <w:r>
            <w:fldChar w:fldCharType="end"/>
          </w:r>
          <w:r>
            <w:fldChar w:fldCharType="end"/>
          </w:r>
        </w:p>
        <w:p w14:paraId="0110EE57">
          <w:pPr>
            <w:pStyle w:val="20"/>
            <w:tabs>
              <w:tab w:val="right" w:leader="dot" w:pos="8210"/>
            </w:tabs>
          </w:pPr>
          <w:r>
            <w:fldChar w:fldCharType="begin"/>
          </w:r>
          <w:r>
            <w:instrText xml:space="preserve"> HYPERLINK \l "_Toc228560786" </w:instrText>
          </w:r>
          <w:r>
            <w:fldChar w:fldCharType="separate"/>
          </w:r>
          <w:r>
            <w:rPr>
              <w:rStyle w:val="27"/>
            </w:rPr>
            <w:t>5.2 Model Performance Metrics</w:t>
          </w:r>
          <w:r>
            <w:tab/>
          </w:r>
          <w:r>
            <w:fldChar w:fldCharType="begin"/>
          </w:r>
          <w:r>
            <w:instrText xml:space="preserve"> PAGEREF _Toc228560786 \h </w:instrText>
          </w:r>
          <w:r>
            <w:fldChar w:fldCharType="separate"/>
          </w:r>
          <w:r>
            <w:t>38</w:t>
          </w:r>
          <w:r>
            <w:fldChar w:fldCharType="end"/>
          </w:r>
          <w:r>
            <w:fldChar w:fldCharType="end"/>
          </w:r>
        </w:p>
        <w:p w14:paraId="01942C91">
          <w:pPr>
            <w:pStyle w:val="20"/>
            <w:tabs>
              <w:tab w:val="right" w:leader="dot" w:pos="8210"/>
            </w:tabs>
          </w:pPr>
          <w:r>
            <w:fldChar w:fldCharType="begin"/>
          </w:r>
          <w:r>
            <w:instrText xml:space="preserve"> HYPERLINK \l "_Toc228560787" </w:instrText>
          </w:r>
          <w:r>
            <w:fldChar w:fldCharType="separate"/>
          </w:r>
          <w:r>
            <w:rPr>
              <w:rStyle w:val="27"/>
            </w:rPr>
            <w:t>5.3 Confusion Matrix Analysis</w:t>
          </w:r>
          <w:r>
            <w:tab/>
          </w:r>
          <w:r>
            <w:fldChar w:fldCharType="begin"/>
          </w:r>
          <w:r>
            <w:instrText xml:space="preserve"> PAGEREF _Toc228560787 \h </w:instrText>
          </w:r>
          <w:r>
            <w:fldChar w:fldCharType="separate"/>
          </w:r>
          <w:r>
            <w:t>39</w:t>
          </w:r>
          <w:r>
            <w:fldChar w:fldCharType="end"/>
          </w:r>
          <w:r>
            <w:fldChar w:fldCharType="end"/>
          </w:r>
        </w:p>
        <w:p w14:paraId="2C7E698E">
          <w:pPr>
            <w:pStyle w:val="20"/>
            <w:tabs>
              <w:tab w:val="right" w:leader="dot" w:pos="8210"/>
            </w:tabs>
          </w:pPr>
          <w:r>
            <w:fldChar w:fldCharType="begin"/>
          </w:r>
          <w:r>
            <w:instrText xml:space="preserve"> HYPERLINK \l "_Toc228560788" </w:instrText>
          </w:r>
          <w:r>
            <w:fldChar w:fldCharType="separate"/>
          </w:r>
          <w:r>
            <w:rPr>
              <w:rStyle w:val="27"/>
            </w:rPr>
            <w:t>5.4 Feature Importance</w:t>
          </w:r>
          <w:r>
            <w:tab/>
          </w:r>
          <w:r>
            <w:fldChar w:fldCharType="begin"/>
          </w:r>
          <w:r>
            <w:instrText xml:space="preserve"> PAGEREF _Toc228560788 \h </w:instrText>
          </w:r>
          <w:r>
            <w:fldChar w:fldCharType="separate"/>
          </w:r>
          <w:r>
            <w:t>40</w:t>
          </w:r>
          <w:r>
            <w:fldChar w:fldCharType="end"/>
          </w:r>
          <w:r>
            <w:fldChar w:fldCharType="end"/>
          </w:r>
        </w:p>
        <w:p w14:paraId="08A43861">
          <w:pPr>
            <w:pStyle w:val="20"/>
            <w:tabs>
              <w:tab w:val="right" w:leader="dot" w:pos="8210"/>
            </w:tabs>
          </w:pPr>
          <w:r>
            <w:fldChar w:fldCharType="begin"/>
          </w:r>
          <w:r>
            <w:instrText xml:space="preserve"> HYPERLINK \l "_Toc228560789" </w:instrText>
          </w:r>
          <w:r>
            <w:fldChar w:fldCharType="separate"/>
          </w:r>
          <w:r>
            <w:rPr>
              <w:rStyle w:val="27"/>
            </w:rPr>
            <w:t>5.5 Baseline Comparison</w:t>
          </w:r>
          <w:r>
            <w:tab/>
          </w:r>
          <w:r>
            <w:fldChar w:fldCharType="begin"/>
          </w:r>
          <w:r>
            <w:instrText xml:space="preserve"> PAGEREF _Toc228560789 \h </w:instrText>
          </w:r>
          <w:r>
            <w:fldChar w:fldCharType="separate"/>
          </w:r>
          <w:r>
            <w:t>41</w:t>
          </w:r>
          <w:r>
            <w:fldChar w:fldCharType="end"/>
          </w:r>
          <w:r>
            <w:fldChar w:fldCharType="end"/>
          </w:r>
        </w:p>
        <w:p w14:paraId="1F138684">
          <w:pPr>
            <w:pStyle w:val="20"/>
            <w:tabs>
              <w:tab w:val="right" w:leader="dot" w:pos="8210"/>
            </w:tabs>
          </w:pPr>
          <w:r>
            <w:fldChar w:fldCharType="begin"/>
          </w:r>
          <w:r>
            <w:instrText xml:space="preserve"> HYPERLINK \l "_Toc228560790" </w:instrText>
          </w:r>
          <w:r>
            <w:fldChar w:fldCharType="separate"/>
          </w:r>
          <w:r>
            <w:rPr>
              <w:rStyle w:val="27"/>
            </w:rPr>
            <w:t>5.6 Comparison with Related Systems</w:t>
          </w:r>
          <w:r>
            <w:tab/>
          </w:r>
          <w:r>
            <w:fldChar w:fldCharType="begin"/>
          </w:r>
          <w:r>
            <w:instrText xml:space="preserve"> PAGEREF _Toc228560790 \h </w:instrText>
          </w:r>
          <w:r>
            <w:fldChar w:fldCharType="separate"/>
          </w:r>
          <w:r>
            <w:t>42</w:t>
          </w:r>
          <w:r>
            <w:fldChar w:fldCharType="end"/>
          </w:r>
          <w:r>
            <w:fldChar w:fldCharType="end"/>
          </w:r>
        </w:p>
        <w:p w14:paraId="4B1C4AA9">
          <w:pPr>
            <w:pStyle w:val="20"/>
            <w:tabs>
              <w:tab w:val="right" w:leader="dot" w:pos="8210"/>
            </w:tabs>
          </w:pPr>
          <w:r>
            <w:fldChar w:fldCharType="begin"/>
          </w:r>
          <w:r>
            <w:instrText xml:space="preserve"> HYPERLINK \l "_Toc228560791" </w:instrText>
          </w:r>
          <w:r>
            <w:fldChar w:fldCharType="separate"/>
          </w:r>
          <w:r>
            <w:rPr>
              <w:rStyle w:val="27"/>
            </w:rPr>
            <w:t>5.7 Explainability Evaluation</w:t>
          </w:r>
          <w:r>
            <w:tab/>
          </w:r>
          <w:r>
            <w:fldChar w:fldCharType="begin"/>
          </w:r>
          <w:r>
            <w:instrText xml:space="preserve"> PAGEREF _Toc228560791 \h </w:instrText>
          </w:r>
          <w:r>
            <w:fldChar w:fldCharType="separate"/>
          </w:r>
          <w:r>
            <w:t>44</w:t>
          </w:r>
          <w:r>
            <w:fldChar w:fldCharType="end"/>
          </w:r>
          <w:r>
            <w:fldChar w:fldCharType="end"/>
          </w:r>
        </w:p>
        <w:p w14:paraId="17690948">
          <w:pPr>
            <w:pStyle w:val="20"/>
            <w:tabs>
              <w:tab w:val="right" w:leader="dot" w:pos="8210"/>
            </w:tabs>
          </w:pPr>
          <w:r>
            <w:fldChar w:fldCharType="begin"/>
          </w:r>
          <w:r>
            <w:instrText xml:space="preserve"> HYPERLINK \l "_Toc228560792" </w:instrText>
          </w:r>
          <w:r>
            <w:fldChar w:fldCharType="separate"/>
          </w:r>
          <w:r>
            <w:rPr>
              <w:rStyle w:val="27"/>
            </w:rPr>
            <w:t>5.8 Discussion</w:t>
          </w:r>
          <w:r>
            <w:tab/>
          </w:r>
          <w:r>
            <w:fldChar w:fldCharType="begin"/>
          </w:r>
          <w:r>
            <w:instrText xml:space="preserve"> PAGEREF _Toc228560792 \h </w:instrText>
          </w:r>
          <w:r>
            <w:fldChar w:fldCharType="separate"/>
          </w:r>
          <w:r>
            <w:t>45</w:t>
          </w:r>
          <w:r>
            <w:fldChar w:fldCharType="end"/>
          </w:r>
          <w:r>
            <w:fldChar w:fldCharType="end"/>
          </w:r>
        </w:p>
        <w:p w14:paraId="3395BCB7">
          <w:pPr>
            <w:pStyle w:val="15"/>
            <w:tabs>
              <w:tab w:val="right" w:leader="dot" w:pos="8210"/>
            </w:tabs>
          </w:pPr>
          <w:r>
            <w:fldChar w:fldCharType="begin"/>
          </w:r>
          <w:r>
            <w:instrText xml:space="preserve"> HYPERLINK \l "_Toc228560793" </w:instrText>
          </w:r>
          <w:r>
            <w:fldChar w:fldCharType="separate"/>
          </w:r>
          <w:r>
            <w:rPr>
              <w:rStyle w:val="27"/>
            </w:rPr>
            <w:t>CHAPTER 6</w:t>
          </w:r>
          <w:r>
            <w:tab/>
          </w:r>
          <w:r>
            <w:fldChar w:fldCharType="begin"/>
          </w:r>
          <w:r>
            <w:instrText xml:space="preserve"> PAGEREF _Toc228560793 \h </w:instrText>
          </w:r>
          <w:r>
            <w:fldChar w:fldCharType="separate"/>
          </w:r>
          <w:r>
            <w:t>45</w:t>
          </w:r>
          <w:r>
            <w:fldChar w:fldCharType="end"/>
          </w:r>
          <w:r>
            <w:fldChar w:fldCharType="end"/>
          </w:r>
        </w:p>
        <w:p w14:paraId="12757CBE">
          <w:pPr>
            <w:pStyle w:val="20"/>
            <w:tabs>
              <w:tab w:val="right" w:leader="dot" w:pos="8210"/>
            </w:tabs>
          </w:pPr>
          <w:r>
            <w:fldChar w:fldCharType="begin"/>
          </w:r>
          <w:r>
            <w:instrText xml:space="preserve"> HYPERLINK \l "_Toc228560794" </w:instrText>
          </w:r>
          <w:r>
            <w:fldChar w:fldCharType="separate"/>
          </w:r>
          <w:r>
            <w:rPr>
              <w:rStyle w:val="27"/>
            </w:rPr>
            <w:t>Conclusions and Future Work</w:t>
          </w:r>
          <w:r>
            <w:tab/>
          </w:r>
          <w:r>
            <w:fldChar w:fldCharType="begin"/>
          </w:r>
          <w:r>
            <w:instrText xml:space="preserve"> PAGEREF _Toc228560794 \h </w:instrText>
          </w:r>
          <w:r>
            <w:fldChar w:fldCharType="separate"/>
          </w:r>
          <w:r>
            <w:t>45</w:t>
          </w:r>
          <w:r>
            <w:fldChar w:fldCharType="end"/>
          </w:r>
          <w:r>
            <w:fldChar w:fldCharType="end"/>
          </w:r>
        </w:p>
        <w:p w14:paraId="403F4AB5">
          <w:pPr>
            <w:pStyle w:val="20"/>
            <w:tabs>
              <w:tab w:val="right" w:leader="dot" w:pos="8210"/>
            </w:tabs>
          </w:pPr>
          <w:r>
            <w:fldChar w:fldCharType="begin"/>
          </w:r>
          <w:r>
            <w:instrText xml:space="preserve"> HYPERLINK \l "_Toc228560795" </w:instrText>
          </w:r>
          <w:r>
            <w:fldChar w:fldCharType="separate"/>
          </w:r>
          <w:r>
            <w:rPr>
              <w:rStyle w:val="27"/>
            </w:rPr>
            <w:t>6.1 Conclusions</w:t>
          </w:r>
          <w:r>
            <w:tab/>
          </w:r>
          <w:r>
            <w:fldChar w:fldCharType="begin"/>
          </w:r>
          <w:r>
            <w:instrText xml:space="preserve"> PAGEREF _Toc228560795 \h </w:instrText>
          </w:r>
          <w:r>
            <w:fldChar w:fldCharType="separate"/>
          </w:r>
          <w:r>
            <w:t>46</w:t>
          </w:r>
          <w:r>
            <w:fldChar w:fldCharType="end"/>
          </w:r>
          <w:r>
            <w:fldChar w:fldCharType="end"/>
          </w:r>
        </w:p>
        <w:p w14:paraId="5721D8BF">
          <w:pPr>
            <w:pStyle w:val="20"/>
            <w:tabs>
              <w:tab w:val="right" w:leader="dot" w:pos="8210"/>
            </w:tabs>
          </w:pPr>
          <w:r>
            <w:fldChar w:fldCharType="begin"/>
          </w:r>
          <w:r>
            <w:instrText xml:space="preserve"> HYPERLINK \l "_Toc228560796" </w:instrText>
          </w:r>
          <w:r>
            <w:fldChar w:fldCharType="separate"/>
          </w:r>
          <w:r>
            <w:rPr>
              <w:rStyle w:val="27"/>
            </w:rPr>
            <w:t>6.2 Future Work</w:t>
          </w:r>
          <w:r>
            <w:tab/>
          </w:r>
          <w:r>
            <w:fldChar w:fldCharType="begin"/>
          </w:r>
          <w:r>
            <w:instrText xml:space="preserve"> PAGEREF _Toc228560796 \h </w:instrText>
          </w:r>
          <w:r>
            <w:fldChar w:fldCharType="separate"/>
          </w:r>
          <w:r>
            <w:t>47</w:t>
          </w:r>
          <w:r>
            <w:fldChar w:fldCharType="end"/>
          </w:r>
          <w:r>
            <w:fldChar w:fldCharType="end"/>
          </w:r>
        </w:p>
        <w:p w14:paraId="4884ECCE">
          <w:pPr>
            <w:pStyle w:val="10"/>
            <w:tabs>
              <w:tab w:val="right" w:leader="dot" w:pos="8210"/>
            </w:tabs>
          </w:pPr>
          <w:r>
            <w:fldChar w:fldCharType="begin"/>
          </w:r>
          <w:r>
            <w:instrText xml:space="preserve"> HYPERLINK \l "_Toc228560797" </w:instrText>
          </w:r>
          <w:r>
            <w:fldChar w:fldCharType="separate"/>
          </w:r>
          <w:r>
            <w:rPr>
              <w:rStyle w:val="27"/>
            </w:rPr>
            <w:t>6.2.1 Continual Learning</w:t>
          </w:r>
          <w:r>
            <w:tab/>
          </w:r>
          <w:r>
            <w:fldChar w:fldCharType="begin"/>
          </w:r>
          <w:r>
            <w:instrText xml:space="preserve"> PAGEREF _Toc228560797 \h </w:instrText>
          </w:r>
          <w:r>
            <w:fldChar w:fldCharType="separate"/>
          </w:r>
          <w:r>
            <w:t>47</w:t>
          </w:r>
          <w:r>
            <w:fldChar w:fldCharType="end"/>
          </w:r>
          <w:r>
            <w:fldChar w:fldCharType="end"/>
          </w:r>
        </w:p>
        <w:p w14:paraId="2E7D7760">
          <w:pPr>
            <w:pStyle w:val="10"/>
            <w:tabs>
              <w:tab w:val="right" w:leader="dot" w:pos="8210"/>
            </w:tabs>
          </w:pPr>
          <w:r>
            <w:fldChar w:fldCharType="begin"/>
          </w:r>
          <w:r>
            <w:instrText xml:space="preserve"> HYPERLINK \l "_Toc228560798" </w:instrText>
          </w:r>
          <w:r>
            <w:fldChar w:fldCharType="separate"/>
          </w:r>
          <w:r>
            <w:rPr>
              <w:rStyle w:val="27"/>
            </w:rPr>
            <w:t>6.2.2 Production Deployment</w:t>
          </w:r>
          <w:r>
            <w:tab/>
          </w:r>
          <w:r>
            <w:fldChar w:fldCharType="begin"/>
          </w:r>
          <w:r>
            <w:instrText xml:space="preserve"> PAGEREF _Toc228560798 \h </w:instrText>
          </w:r>
          <w:r>
            <w:fldChar w:fldCharType="separate"/>
          </w:r>
          <w:r>
            <w:t>47</w:t>
          </w:r>
          <w:r>
            <w:fldChar w:fldCharType="end"/>
          </w:r>
          <w:r>
            <w:fldChar w:fldCharType="end"/>
          </w:r>
        </w:p>
        <w:p w14:paraId="1E595DDE">
          <w:pPr>
            <w:pStyle w:val="10"/>
            <w:tabs>
              <w:tab w:val="right" w:leader="dot" w:pos="8210"/>
            </w:tabs>
          </w:pPr>
          <w:r>
            <w:fldChar w:fldCharType="begin"/>
          </w:r>
          <w:r>
            <w:instrText xml:space="preserve"> HYPERLINK \l "_Toc228560799" </w:instrText>
          </w:r>
          <w:r>
            <w:fldChar w:fldCharType="separate"/>
          </w:r>
          <w:r>
            <w:rPr>
              <w:rStyle w:val="27"/>
            </w:rPr>
            <w:t>6.2.3 Explainability Improvements</w:t>
          </w:r>
          <w:r>
            <w:tab/>
          </w:r>
          <w:r>
            <w:fldChar w:fldCharType="begin"/>
          </w:r>
          <w:r>
            <w:instrText xml:space="preserve"> PAGEREF _Toc228560799 \h </w:instrText>
          </w:r>
          <w:r>
            <w:fldChar w:fldCharType="separate"/>
          </w:r>
          <w:r>
            <w:t>47</w:t>
          </w:r>
          <w:r>
            <w:fldChar w:fldCharType="end"/>
          </w:r>
          <w:r>
            <w:fldChar w:fldCharType="end"/>
          </w:r>
        </w:p>
        <w:p w14:paraId="6572C5C5">
          <w:pPr>
            <w:pStyle w:val="10"/>
            <w:tabs>
              <w:tab w:val="right" w:leader="dot" w:pos="8210"/>
            </w:tabs>
          </w:pPr>
          <w:r>
            <w:fldChar w:fldCharType="begin"/>
          </w:r>
          <w:r>
            <w:instrText xml:space="preserve"> HYPERLINK \l "_Toc228560800" </w:instrText>
          </w:r>
          <w:r>
            <w:fldChar w:fldCharType="separate"/>
          </w:r>
          <w:r>
            <w:rPr>
              <w:rStyle w:val="27"/>
            </w:rPr>
            <w:t>6.2.4 Advisor Module</w:t>
          </w:r>
          <w:r>
            <w:tab/>
          </w:r>
          <w:r>
            <w:fldChar w:fldCharType="begin"/>
          </w:r>
          <w:r>
            <w:instrText xml:space="preserve"> PAGEREF _Toc228560800 \h </w:instrText>
          </w:r>
          <w:r>
            <w:fldChar w:fldCharType="separate"/>
          </w:r>
          <w:r>
            <w:t>47</w:t>
          </w:r>
          <w:r>
            <w:fldChar w:fldCharType="end"/>
          </w:r>
          <w:r>
            <w:fldChar w:fldCharType="end"/>
          </w:r>
        </w:p>
        <w:p w14:paraId="7F19F246">
          <w:pPr>
            <w:pStyle w:val="20"/>
            <w:tabs>
              <w:tab w:val="right" w:leader="dot" w:pos="8210"/>
            </w:tabs>
          </w:pPr>
          <w:r>
            <w:fldChar w:fldCharType="begin"/>
          </w:r>
          <w:r>
            <w:instrText xml:space="preserve"> HYPERLINK \l "_Toc228560801" </w:instrText>
          </w:r>
          <w:r>
            <w:fldChar w:fldCharType="separate"/>
          </w:r>
          <w:r>
            <w:rPr>
              <w:rStyle w:val="27"/>
            </w:rPr>
            <w:t>6.3 Legal, Social, Ethical and Professional Issues</w:t>
          </w:r>
          <w:r>
            <w:tab/>
          </w:r>
          <w:r>
            <w:fldChar w:fldCharType="begin"/>
          </w:r>
          <w:r>
            <w:instrText xml:space="preserve"> PAGEREF _Toc228560801 \h </w:instrText>
          </w:r>
          <w:r>
            <w:fldChar w:fldCharType="separate"/>
          </w:r>
          <w:r>
            <w:t>48</w:t>
          </w:r>
          <w:r>
            <w:fldChar w:fldCharType="end"/>
          </w:r>
          <w:r>
            <w:fldChar w:fldCharType="end"/>
          </w:r>
        </w:p>
        <w:p w14:paraId="21707439">
          <w:pPr>
            <w:pStyle w:val="10"/>
            <w:tabs>
              <w:tab w:val="right" w:leader="dot" w:pos="8210"/>
            </w:tabs>
          </w:pPr>
          <w:r>
            <w:fldChar w:fldCharType="begin"/>
          </w:r>
          <w:r>
            <w:instrText xml:space="preserve"> HYPERLINK \l "_Toc228560802" </w:instrText>
          </w:r>
          <w:r>
            <w:fldChar w:fldCharType="separate"/>
          </w:r>
          <w:r>
            <w:rPr>
              <w:rStyle w:val="27"/>
            </w:rPr>
            <w:t>6.3.1 Legal Issues</w:t>
          </w:r>
          <w:r>
            <w:tab/>
          </w:r>
          <w:r>
            <w:fldChar w:fldCharType="begin"/>
          </w:r>
          <w:r>
            <w:instrText xml:space="preserve"> PAGEREF _Toc228560802 \h </w:instrText>
          </w:r>
          <w:r>
            <w:fldChar w:fldCharType="separate"/>
          </w:r>
          <w:r>
            <w:t>48</w:t>
          </w:r>
          <w:r>
            <w:fldChar w:fldCharType="end"/>
          </w:r>
          <w:r>
            <w:fldChar w:fldCharType="end"/>
          </w:r>
        </w:p>
        <w:p w14:paraId="72276DDE">
          <w:pPr>
            <w:pStyle w:val="10"/>
            <w:tabs>
              <w:tab w:val="right" w:leader="dot" w:pos="8210"/>
            </w:tabs>
          </w:pPr>
          <w:r>
            <w:fldChar w:fldCharType="begin"/>
          </w:r>
          <w:r>
            <w:instrText xml:space="preserve"> HYPERLINK \l "_Toc228560803" </w:instrText>
          </w:r>
          <w:r>
            <w:fldChar w:fldCharType="separate"/>
          </w:r>
          <w:r>
            <w:rPr>
              <w:rStyle w:val="27"/>
            </w:rPr>
            <w:t>6.3.2 Social Issues</w:t>
          </w:r>
          <w:r>
            <w:tab/>
          </w:r>
          <w:r>
            <w:fldChar w:fldCharType="begin"/>
          </w:r>
          <w:r>
            <w:instrText xml:space="preserve"> PAGEREF _Toc228560803 \h </w:instrText>
          </w:r>
          <w:r>
            <w:fldChar w:fldCharType="separate"/>
          </w:r>
          <w:r>
            <w:t>50</w:t>
          </w:r>
          <w:r>
            <w:fldChar w:fldCharType="end"/>
          </w:r>
          <w:r>
            <w:fldChar w:fldCharType="end"/>
          </w:r>
        </w:p>
        <w:p w14:paraId="6DAEE292">
          <w:pPr>
            <w:pStyle w:val="10"/>
            <w:tabs>
              <w:tab w:val="right" w:leader="dot" w:pos="8210"/>
            </w:tabs>
          </w:pPr>
          <w:r>
            <w:fldChar w:fldCharType="begin"/>
          </w:r>
          <w:r>
            <w:instrText xml:space="preserve"> HYPERLINK \l "_Toc228560804" </w:instrText>
          </w:r>
          <w:r>
            <w:fldChar w:fldCharType="separate"/>
          </w:r>
          <w:r>
            <w:rPr>
              <w:rStyle w:val="27"/>
            </w:rPr>
            <w:t>6.3.3 Ethical Issues</w:t>
          </w:r>
          <w:r>
            <w:tab/>
          </w:r>
          <w:r>
            <w:fldChar w:fldCharType="begin"/>
          </w:r>
          <w:r>
            <w:instrText xml:space="preserve"> PAGEREF _Toc228560804 \h </w:instrText>
          </w:r>
          <w:r>
            <w:fldChar w:fldCharType="separate"/>
          </w:r>
          <w:r>
            <w:t>51</w:t>
          </w:r>
          <w:r>
            <w:fldChar w:fldCharType="end"/>
          </w:r>
          <w:r>
            <w:fldChar w:fldCharType="end"/>
          </w:r>
        </w:p>
        <w:p w14:paraId="6936DDDE">
          <w:pPr>
            <w:pStyle w:val="10"/>
            <w:tabs>
              <w:tab w:val="right" w:leader="dot" w:pos="8210"/>
            </w:tabs>
          </w:pPr>
          <w:r>
            <w:fldChar w:fldCharType="begin"/>
          </w:r>
          <w:r>
            <w:instrText xml:space="preserve"> HYPERLINK \l "_Toc228560805" </w:instrText>
          </w:r>
          <w:r>
            <w:fldChar w:fldCharType="separate"/>
          </w:r>
          <w:r>
            <w:rPr>
              <w:rStyle w:val="27"/>
            </w:rPr>
            <w:t>6.3.4 Professional Issues</w:t>
          </w:r>
          <w:r>
            <w:tab/>
          </w:r>
          <w:r>
            <w:fldChar w:fldCharType="begin"/>
          </w:r>
          <w:r>
            <w:instrText xml:space="preserve"> PAGEREF _Toc228560805 \h </w:instrText>
          </w:r>
          <w:r>
            <w:fldChar w:fldCharType="separate"/>
          </w:r>
          <w:r>
            <w:t>52</w:t>
          </w:r>
          <w:r>
            <w:fldChar w:fldCharType="end"/>
          </w:r>
          <w:r>
            <w:fldChar w:fldCharType="end"/>
          </w:r>
        </w:p>
        <w:p w14:paraId="78EA7DF6">
          <w:pPr>
            <w:pStyle w:val="20"/>
            <w:tabs>
              <w:tab w:val="right" w:leader="dot" w:pos="8210"/>
            </w:tabs>
          </w:pPr>
          <w:r>
            <w:fldChar w:fldCharType="begin"/>
          </w:r>
          <w:r>
            <w:instrText xml:space="preserve"> HYPERLINK \l "_Toc228560806" </w:instrText>
          </w:r>
          <w:r>
            <w:fldChar w:fldCharType="separate"/>
          </w:r>
          <w:r>
            <w:rPr>
              <w:rStyle w:val="27"/>
            </w:rPr>
            <w:t>6.4 Synoptic Reflections</w:t>
          </w:r>
          <w:r>
            <w:tab/>
          </w:r>
          <w:r>
            <w:fldChar w:fldCharType="begin"/>
          </w:r>
          <w:r>
            <w:instrText xml:space="preserve"> PAGEREF _Toc228560806 \h </w:instrText>
          </w:r>
          <w:r>
            <w:fldChar w:fldCharType="separate"/>
          </w:r>
          <w:r>
            <w:t>53</w:t>
          </w:r>
          <w:r>
            <w:fldChar w:fldCharType="end"/>
          </w:r>
          <w:r>
            <w:fldChar w:fldCharType="end"/>
          </w:r>
        </w:p>
        <w:p w14:paraId="56EF5148">
          <w:pPr>
            <w:pStyle w:val="10"/>
            <w:tabs>
              <w:tab w:val="right" w:leader="dot" w:pos="8210"/>
            </w:tabs>
          </w:pPr>
          <w:r>
            <w:fldChar w:fldCharType="begin"/>
          </w:r>
          <w:r>
            <w:instrText xml:space="preserve"> HYPERLINK \l "_Toc228560807" </w:instrText>
          </w:r>
          <w:r>
            <w:fldChar w:fldCharType="separate"/>
          </w:r>
          <w:r>
            <w:rPr>
              <w:rStyle w:val="27"/>
            </w:rPr>
            <w:t>6.4.1 Technical Skills Developed</w:t>
          </w:r>
          <w:r>
            <w:tab/>
          </w:r>
          <w:r>
            <w:fldChar w:fldCharType="begin"/>
          </w:r>
          <w:r>
            <w:instrText xml:space="preserve"> PAGEREF _Toc228560807 \h </w:instrText>
          </w:r>
          <w:r>
            <w:fldChar w:fldCharType="separate"/>
          </w:r>
          <w:r>
            <w:t>53</w:t>
          </w:r>
          <w:r>
            <w:fldChar w:fldCharType="end"/>
          </w:r>
          <w:r>
            <w:fldChar w:fldCharType="end"/>
          </w:r>
        </w:p>
        <w:p w14:paraId="360E2E5E">
          <w:pPr>
            <w:pStyle w:val="10"/>
            <w:tabs>
              <w:tab w:val="right" w:leader="dot" w:pos="8210"/>
            </w:tabs>
          </w:pPr>
          <w:r>
            <w:fldChar w:fldCharType="begin"/>
          </w:r>
          <w:r>
            <w:instrText xml:space="preserve"> HYPERLINK \l "_Toc228560808" </w:instrText>
          </w:r>
          <w:r>
            <w:fldChar w:fldCharType="separate"/>
          </w:r>
          <w:r>
            <w:rPr>
              <w:rStyle w:val="27"/>
            </w:rPr>
            <w:t>6.4.2 Professional Skills Developed</w:t>
          </w:r>
          <w:r>
            <w:tab/>
          </w:r>
          <w:r>
            <w:fldChar w:fldCharType="begin"/>
          </w:r>
          <w:r>
            <w:instrText xml:space="preserve"> PAGEREF _Toc228560808 \h </w:instrText>
          </w:r>
          <w:r>
            <w:fldChar w:fldCharType="separate"/>
          </w:r>
          <w:r>
            <w:t>54</w:t>
          </w:r>
          <w:r>
            <w:fldChar w:fldCharType="end"/>
          </w:r>
          <w:r>
            <w:fldChar w:fldCharType="end"/>
          </w:r>
        </w:p>
        <w:p w14:paraId="5915A59D">
          <w:pPr>
            <w:pStyle w:val="10"/>
            <w:tabs>
              <w:tab w:val="right" w:leader="dot" w:pos="8210"/>
            </w:tabs>
          </w:pPr>
          <w:r>
            <w:fldChar w:fldCharType="begin"/>
          </w:r>
          <w:r>
            <w:instrText xml:space="preserve"> HYPERLINK \l "_Toc228560809" </w:instrText>
          </w:r>
          <w:r>
            <w:fldChar w:fldCharType="separate"/>
          </w:r>
          <w:r>
            <w:rPr>
              <w:rStyle w:val="27"/>
            </w:rPr>
            <w:t>6.4.3 Reflections on the Process</w:t>
          </w:r>
          <w:r>
            <w:tab/>
          </w:r>
          <w:r>
            <w:fldChar w:fldCharType="begin"/>
          </w:r>
          <w:r>
            <w:instrText xml:space="preserve"> PAGEREF _Toc228560809 \h </w:instrText>
          </w:r>
          <w:r>
            <w:fldChar w:fldCharType="separate"/>
          </w:r>
          <w:r>
            <w:t>54</w:t>
          </w:r>
          <w:r>
            <w:fldChar w:fldCharType="end"/>
          </w:r>
          <w:r>
            <w:fldChar w:fldCharType="end"/>
          </w:r>
        </w:p>
        <w:p w14:paraId="2E7F4D3B">
          <w:pPr>
            <w:pStyle w:val="10"/>
            <w:tabs>
              <w:tab w:val="right" w:leader="dot" w:pos="8210"/>
            </w:tabs>
          </w:pPr>
          <w:r>
            <w:fldChar w:fldCharType="begin"/>
          </w:r>
          <w:r>
            <w:instrText xml:space="preserve"> HYPERLINK \l "_Toc228560810" </w:instrText>
          </w:r>
          <w:r>
            <w:fldChar w:fldCharType="separate"/>
          </w:r>
          <w:r>
            <w:rPr>
              <w:rStyle w:val="27"/>
            </w:rPr>
            <w:t>6.4.4 Employment Aspirations</w:t>
          </w:r>
          <w:r>
            <w:tab/>
          </w:r>
          <w:r>
            <w:fldChar w:fldCharType="begin"/>
          </w:r>
          <w:r>
            <w:instrText xml:space="preserve"> PAGEREF _Toc228560810 \h </w:instrText>
          </w:r>
          <w:r>
            <w:fldChar w:fldCharType="separate"/>
          </w:r>
          <w:r>
            <w:t>55</w:t>
          </w:r>
          <w:r>
            <w:fldChar w:fldCharType="end"/>
          </w:r>
          <w:r>
            <w:fldChar w:fldCharType="end"/>
          </w:r>
        </w:p>
        <w:p w14:paraId="64C29810">
          <w:pPr>
            <w:pStyle w:val="15"/>
            <w:tabs>
              <w:tab w:val="right" w:leader="dot" w:pos="8210"/>
            </w:tabs>
          </w:pPr>
          <w:r>
            <w:fldChar w:fldCharType="begin"/>
          </w:r>
          <w:r>
            <w:instrText xml:space="preserve"> HYPERLINK \l "_Toc228560811" </w:instrText>
          </w:r>
          <w:r>
            <w:fldChar w:fldCharType="separate"/>
          </w:r>
          <w:r>
            <w:rPr>
              <w:rStyle w:val="27"/>
            </w:rPr>
            <w:t>References</w:t>
          </w:r>
          <w:r>
            <w:tab/>
          </w:r>
          <w:r>
            <w:fldChar w:fldCharType="begin"/>
          </w:r>
          <w:r>
            <w:instrText xml:space="preserve"> PAGEREF _Toc228560811 \h </w:instrText>
          </w:r>
          <w:r>
            <w:fldChar w:fldCharType="separate"/>
          </w:r>
          <w:r>
            <w:t>56</w:t>
          </w:r>
          <w:r>
            <w:fldChar w:fldCharType="end"/>
          </w:r>
          <w:r>
            <w:fldChar w:fldCharType="end"/>
          </w:r>
        </w:p>
        <w:p w14:paraId="18509088">
          <w:pPr>
            <w:pStyle w:val="15"/>
            <w:tabs>
              <w:tab w:val="right" w:leader="dot" w:pos="8210"/>
            </w:tabs>
          </w:pPr>
          <w:r>
            <w:fldChar w:fldCharType="begin"/>
          </w:r>
          <w:r>
            <w:instrText xml:space="preserve"> HYPERLINK \l "_Toc228560812" </w:instrText>
          </w:r>
          <w:r>
            <w:fldChar w:fldCharType="separate"/>
          </w:r>
          <w:r>
            <w:rPr>
              <w:rStyle w:val="27"/>
            </w:rPr>
            <w:t>Bibliography</w:t>
          </w:r>
          <w:r>
            <w:tab/>
          </w:r>
          <w:r>
            <w:fldChar w:fldCharType="begin"/>
          </w:r>
          <w:r>
            <w:instrText xml:space="preserve"> PAGEREF _Toc228560812 \h </w:instrText>
          </w:r>
          <w:r>
            <w:fldChar w:fldCharType="separate"/>
          </w:r>
          <w:r>
            <w:t>60</w:t>
          </w:r>
          <w:r>
            <w:fldChar w:fldCharType="end"/>
          </w:r>
          <w:r>
            <w:fldChar w:fldCharType="end"/>
          </w:r>
        </w:p>
        <w:p w14:paraId="65C56867">
          <w:pPr>
            <w:pStyle w:val="15"/>
            <w:tabs>
              <w:tab w:val="right" w:leader="dot" w:pos="8210"/>
            </w:tabs>
          </w:pPr>
          <w:r>
            <w:fldChar w:fldCharType="begin"/>
          </w:r>
          <w:r>
            <w:instrText xml:space="preserve"> HYPERLINK \l "_Toc228560813" </w:instrText>
          </w:r>
          <w:r>
            <w:fldChar w:fldCharType="separate"/>
          </w:r>
          <w:r>
            <w:rPr>
              <w:rStyle w:val="27"/>
            </w:rPr>
            <w:t>Appendix A: System Setup and Running Instructions</w:t>
          </w:r>
          <w:r>
            <w:tab/>
          </w:r>
          <w:r>
            <w:fldChar w:fldCharType="begin"/>
          </w:r>
          <w:r>
            <w:instrText xml:space="preserve"> PAGEREF _Toc228560813 \h </w:instrText>
          </w:r>
          <w:r>
            <w:fldChar w:fldCharType="separate"/>
          </w:r>
          <w:r>
            <w:t>61</w:t>
          </w:r>
          <w:r>
            <w:fldChar w:fldCharType="end"/>
          </w:r>
          <w:r>
            <w:fldChar w:fldCharType="end"/>
          </w:r>
        </w:p>
        <w:p w14:paraId="61431DB2">
          <w:pPr>
            <w:pStyle w:val="20"/>
            <w:tabs>
              <w:tab w:val="right" w:leader="dot" w:pos="8210"/>
            </w:tabs>
          </w:pPr>
          <w:r>
            <w:fldChar w:fldCharType="begin"/>
          </w:r>
          <w:r>
            <w:instrText xml:space="preserve"> HYPERLINK \l "_Toc228560814" </w:instrText>
          </w:r>
          <w:r>
            <w:fldChar w:fldCharType="separate"/>
          </w:r>
          <w:r>
            <w:rPr>
              <w:rStyle w:val="27"/>
            </w:rPr>
            <w:t>A.1 Prerequisites</w:t>
          </w:r>
          <w:r>
            <w:tab/>
          </w:r>
          <w:r>
            <w:fldChar w:fldCharType="begin"/>
          </w:r>
          <w:r>
            <w:instrText xml:space="preserve"> PAGEREF _Toc228560814 \h </w:instrText>
          </w:r>
          <w:r>
            <w:fldChar w:fldCharType="separate"/>
          </w:r>
          <w:r>
            <w:t>61</w:t>
          </w:r>
          <w:r>
            <w:fldChar w:fldCharType="end"/>
          </w:r>
          <w:r>
            <w:fldChar w:fldCharType="end"/>
          </w:r>
        </w:p>
        <w:p w14:paraId="66D70D2E">
          <w:pPr>
            <w:pStyle w:val="20"/>
            <w:tabs>
              <w:tab w:val="right" w:leader="dot" w:pos="8210"/>
            </w:tabs>
          </w:pPr>
          <w:r>
            <w:fldChar w:fldCharType="begin"/>
          </w:r>
          <w:r>
            <w:instrText xml:space="preserve"> HYPERLINK \l "_Toc228560815" </w:instrText>
          </w:r>
          <w:r>
            <w:fldChar w:fldCharType="separate"/>
          </w:r>
          <w:r>
            <w:rPr>
              <w:rStyle w:val="27"/>
            </w:rPr>
            <w:t>A.2 Training the Model (Kaggle)</w:t>
          </w:r>
          <w:r>
            <w:tab/>
          </w:r>
          <w:r>
            <w:fldChar w:fldCharType="begin"/>
          </w:r>
          <w:r>
            <w:instrText xml:space="preserve"> PAGEREF _Toc228560815 \h </w:instrText>
          </w:r>
          <w:r>
            <w:fldChar w:fldCharType="separate"/>
          </w:r>
          <w:r>
            <w:t>61</w:t>
          </w:r>
          <w:r>
            <w:fldChar w:fldCharType="end"/>
          </w:r>
          <w:r>
            <w:fldChar w:fldCharType="end"/>
          </w:r>
        </w:p>
        <w:p w14:paraId="63217D8B">
          <w:pPr>
            <w:pStyle w:val="20"/>
            <w:tabs>
              <w:tab w:val="right" w:leader="dot" w:pos="8210"/>
            </w:tabs>
          </w:pPr>
          <w:r>
            <w:fldChar w:fldCharType="begin"/>
          </w:r>
          <w:r>
            <w:instrText xml:space="preserve"> HYPERLINK \l "_Toc228560816" </w:instrText>
          </w:r>
          <w:r>
            <w:fldChar w:fldCharType="separate"/>
          </w:r>
          <w:r>
            <w:rPr>
              <w:rStyle w:val="27"/>
            </w:rPr>
            <w:t>A.3 Running the Application</w:t>
          </w:r>
          <w:r>
            <w:tab/>
          </w:r>
          <w:r>
            <w:fldChar w:fldCharType="begin"/>
          </w:r>
          <w:r>
            <w:instrText xml:space="preserve"> PAGEREF _Toc228560816 \h </w:instrText>
          </w:r>
          <w:r>
            <w:fldChar w:fldCharType="separate"/>
          </w:r>
          <w:r>
            <w:t>61</w:t>
          </w:r>
          <w:r>
            <w:fldChar w:fldCharType="end"/>
          </w:r>
          <w:r>
            <w:fldChar w:fldCharType="end"/>
          </w:r>
        </w:p>
        <w:p w14:paraId="16DA238D">
          <w:pPr>
            <w:pStyle w:val="20"/>
            <w:tabs>
              <w:tab w:val="right" w:leader="dot" w:pos="8210"/>
            </w:tabs>
          </w:pPr>
          <w:r>
            <w:fldChar w:fldCharType="begin"/>
          </w:r>
          <w:r>
            <w:instrText xml:space="preserve"> HYPERLINK \l "_Toc228560817" </w:instrText>
          </w:r>
          <w:r>
            <w:fldChar w:fldCharType="separate"/>
          </w:r>
          <w:r>
            <w:rPr>
              <w:rStyle w:val="27"/>
            </w:rPr>
            <w:t>A.4 API Key Configuration</w:t>
          </w:r>
          <w:r>
            <w:tab/>
          </w:r>
          <w:r>
            <w:fldChar w:fldCharType="begin"/>
          </w:r>
          <w:r>
            <w:instrText xml:space="preserve"> PAGEREF _Toc228560817 \h </w:instrText>
          </w:r>
          <w:r>
            <w:fldChar w:fldCharType="separate"/>
          </w:r>
          <w:r>
            <w:t>62</w:t>
          </w:r>
          <w:r>
            <w:fldChar w:fldCharType="end"/>
          </w:r>
          <w:r>
            <w:fldChar w:fldCharType="end"/>
          </w:r>
        </w:p>
        <w:p w14:paraId="49929AD5">
          <w:pPr>
            <w:pStyle w:val="20"/>
            <w:tabs>
              <w:tab w:val="right" w:leader="dot" w:pos="8210"/>
            </w:tabs>
          </w:pPr>
          <w:r>
            <w:fldChar w:fldCharType="begin"/>
          </w:r>
          <w:r>
            <w:instrText xml:space="preserve"> HYPERLINK \l "_Toc228560818" </w:instrText>
          </w:r>
          <w:r>
            <w:fldChar w:fldCharType="separate"/>
          </w:r>
          <w:r>
            <w:rPr>
              <w:rStyle w:val="27"/>
            </w:rPr>
            <w:t>A.5 Known Issues</w:t>
          </w:r>
          <w:r>
            <w:tab/>
          </w:r>
          <w:r>
            <w:fldChar w:fldCharType="begin"/>
          </w:r>
          <w:r>
            <w:instrText xml:space="preserve"> PAGEREF _Toc228560818 \h </w:instrText>
          </w:r>
          <w:r>
            <w:fldChar w:fldCharType="separate"/>
          </w:r>
          <w:r>
            <w:t>62</w:t>
          </w:r>
          <w:r>
            <w:fldChar w:fldCharType="end"/>
          </w:r>
          <w:r>
            <w:fldChar w:fldCharType="end"/>
          </w:r>
        </w:p>
        <w:p w14:paraId="24A30CB5">
          <w:r>
            <w:rPr>
              <w:b/>
              <w:bCs/>
            </w:rPr>
            <w:fldChar w:fldCharType="end"/>
          </w:r>
        </w:p>
      </w:sdtContent>
    </w:sdt>
    <w:p w14:paraId="5B5727DE">
      <w:pPr>
        <w:tabs>
          <w:tab w:val="right" w:pos="8500"/>
        </w:tabs>
        <w:spacing w:after="60" w:line="480" w:lineRule="auto"/>
        <w:jc w:val="both"/>
      </w:pPr>
    </w:p>
    <w:p w14:paraId="39A14717">
      <w:pPr>
        <w:spacing w:line="480" w:lineRule="auto"/>
        <w:jc w:val="both"/>
      </w:pPr>
      <w:r>
        <w:br w:type="page"/>
      </w:r>
    </w:p>
    <w:p w14:paraId="7B311638">
      <w:pPr>
        <w:pageBreakBefore/>
        <w:spacing w:after="240" w:line="480" w:lineRule="auto"/>
        <w:jc w:val="both"/>
      </w:pPr>
      <w:r>
        <w:rPr>
          <w:b/>
          <w:bCs/>
          <w:sz w:val="28"/>
          <w:szCs w:val="28"/>
        </w:rPr>
        <w:t>List of Figures</w:t>
      </w:r>
    </w:p>
    <w:p w14:paraId="252E4C85">
      <w:pPr>
        <w:spacing w:after="200" w:line="480" w:lineRule="auto"/>
        <w:jc w:val="both"/>
      </w:pPr>
      <w:r>
        <w:t>Figure 1: Aegis High-Level System Architecture</w:t>
      </w:r>
    </w:p>
    <w:p w14:paraId="7C3A4CA0">
      <w:pPr>
        <w:spacing w:after="200" w:line="480" w:lineRule="auto"/>
        <w:jc w:val="both"/>
      </w:pPr>
      <w:r>
        <w:t>Figure 2: SMOTE Synthetic Sample Generation (k=5 neighbours)</w:t>
      </w:r>
    </w:p>
    <w:p w14:paraId="639A8CCF">
      <w:pPr>
        <w:spacing w:after="200" w:line="480" w:lineRule="auto"/>
        <w:jc w:val="both"/>
      </w:pPr>
      <w:r>
        <w:t>Figure 3: Random Forest Decision Boundary on Balanced Training Data</w:t>
      </w:r>
    </w:p>
    <w:p w14:paraId="3B18D69D">
      <w:pPr>
        <w:spacing w:after="200" w:line="480" w:lineRule="auto"/>
        <w:jc w:val="both"/>
      </w:pPr>
      <w:r>
        <w:t>Figure 4: Aegis Dark Mode - Default State</w:t>
      </w:r>
    </w:p>
    <w:p w14:paraId="42EE10B6">
      <w:pPr>
        <w:spacing w:after="200" w:line="480" w:lineRule="auto"/>
        <w:jc w:val="both"/>
      </w:pPr>
      <w:r>
        <w:t>Figure 5: Aegis Light Mode - Legitimate Transaction Result</w:t>
      </w:r>
    </w:p>
    <w:p w14:paraId="4204017D">
      <w:pPr>
        <w:spacing w:after="200" w:line="480" w:lineRule="auto"/>
        <w:jc w:val="both"/>
      </w:pPr>
      <w:r>
        <w:t>Figure 6: Aegis - Fraud Detection Result with Advisor Panel</w:t>
      </w:r>
    </w:p>
    <w:p w14:paraId="2EB9FD6A">
      <w:pPr>
        <w:spacing w:after="200" w:line="480" w:lineRule="auto"/>
        <w:jc w:val="both"/>
      </w:pPr>
      <w:r>
        <w:t>Figure 7: PDF Compliance Report Sample Output</w:t>
      </w:r>
    </w:p>
    <w:p w14:paraId="303B9FA7">
      <w:pPr>
        <w:spacing w:line="480" w:lineRule="auto"/>
        <w:jc w:val="both"/>
      </w:pPr>
      <w:r>
        <w:br w:type="page"/>
      </w:r>
    </w:p>
    <w:p w14:paraId="7A68A2D4">
      <w:pPr>
        <w:pageBreakBefore/>
        <w:spacing w:after="240" w:line="480" w:lineRule="auto"/>
        <w:jc w:val="both"/>
      </w:pPr>
      <w:r>
        <w:rPr>
          <w:b/>
          <w:bCs/>
          <w:sz w:val="28"/>
          <w:szCs w:val="28"/>
        </w:rPr>
        <w:t>List of Tables</w:t>
      </w:r>
    </w:p>
    <w:p w14:paraId="1B3BA511">
      <w:pPr>
        <w:spacing w:after="200" w:line="480" w:lineRule="auto"/>
        <w:jc w:val="both"/>
      </w:pPr>
      <w:r>
        <w:t>Table 1: ULB Dataset Summary Statistics</w:t>
      </w:r>
    </w:p>
    <w:p w14:paraId="5A382F00">
      <w:pPr>
        <w:spacing w:after="200" w:line="480" w:lineRule="auto"/>
        <w:jc w:val="both"/>
      </w:pPr>
      <w:r>
        <w:t>Table 2: Model Performance Metrics on Held-Out Test Set</w:t>
      </w:r>
    </w:p>
    <w:p w14:paraId="38700B30">
      <w:pPr>
        <w:spacing w:after="200" w:line="480" w:lineRule="auto"/>
        <w:jc w:val="both"/>
      </w:pPr>
      <w:r>
        <w:t>Table 3: Confusion Matrix on Test Set (n=56,746)</w:t>
      </w:r>
    </w:p>
    <w:p w14:paraId="3D69F167">
      <w:pPr>
        <w:spacing w:after="200" w:line="480" w:lineRule="auto"/>
        <w:jc w:val="both"/>
      </w:pPr>
      <w:r>
        <w:t>Table 4: Top 10 Feature Importances from Trained Random Forest</w:t>
      </w:r>
    </w:p>
    <w:p w14:paraId="245EC267">
      <w:pPr>
        <w:spacing w:after="200" w:line="480" w:lineRule="auto"/>
        <w:jc w:val="both"/>
      </w:pPr>
      <w:r>
        <w:t>Table 5: Comparison with Related Systems</w:t>
      </w:r>
    </w:p>
    <w:p w14:paraId="6254B5EB">
      <w:pPr>
        <w:spacing w:after="200" w:line="480" w:lineRule="auto"/>
        <w:jc w:val="both"/>
      </w:pPr>
      <w:r>
        <w:t>Table 6: Development Dependencies</w:t>
      </w:r>
    </w:p>
    <w:p w14:paraId="66D3E3AB">
      <w:pPr>
        <w:spacing w:line="480" w:lineRule="auto"/>
        <w:jc w:val="both"/>
      </w:pPr>
      <w:r>
        <w:br w:type="page"/>
      </w:r>
    </w:p>
    <w:p w14:paraId="69D1F527">
      <w:pPr>
        <w:pStyle w:val="2"/>
        <w:spacing w:line="480" w:lineRule="auto"/>
        <w:jc w:val="both"/>
      </w:pPr>
      <w:bookmarkStart w:id="0" w:name="_Toc228560714"/>
      <w:r>
        <w:t>CHAPTER 1</w:t>
      </w:r>
      <w:bookmarkEnd w:id="0"/>
    </w:p>
    <w:p w14:paraId="36B6D7CC">
      <w:pPr>
        <w:pStyle w:val="2"/>
        <w:spacing w:line="480" w:lineRule="auto"/>
        <w:jc w:val="both"/>
      </w:pPr>
      <w:bookmarkStart w:id="1" w:name="_Toc228560715"/>
      <w:r>
        <w:t>Introduction</w:t>
      </w:r>
      <w:bookmarkEnd w:id="1"/>
    </w:p>
    <w:p w14:paraId="1F8185E7">
      <w:pPr>
        <w:pStyle w:val="3"/>
        <w:spacing w:line="480" w:lineRule="auto"/>
      </w:pPr>
      <w:bookmarkStart w:id="2" w:name="_Toc228560716"/>
      <w:r>
        <w:t>1.1 Background and Motivation</w:t>
      </w:r>
      <w:bookmarkEnd w:id="2"/>
    </w:p>
    <w:p w14:paraId="5E62D366">
      <w:pPr>
        <w:spacing w:after="200" w:line="480" w:lineRule="auto"/>
        <w:jc w:val="both"/>
        <w:rPr>
          <w:kern w:val="2"/>
          <w14:ligatures w14:val="standardContextual"/>
        </w:rPr>
      </w:pPr>
      <w:r>
        <w:t>This project was motivated by a real incident of card fraud. Two years ago, over £1,700 was spent using stolen card credentials. Resolving the case took more than two weeks, required repeated calls to customer service, and ultimately resulted in the account being closed and a replacement card being issued. A persistent source of frustration was the absence of explanation: the transactions were not detected in real time, and once the fraud was identified, there was no clear account of what pattern the activity exhibited, why detection failed, or what safeguards would prevent recurrence. The outcome was presented only as a binary verdict: the transactions were not flagged.</w:t>
      </w:r>
    </w:p>
    <w:p w14:paraId="681D6335">
      <w:pPr>
        <w:spacing w:after="200" w:line="480" w:lineRule="auto"/>
        <w:jc w:val="both"/>
        <w:rPr>
          <w:kern w:val="2"/>
          <w14:ligatures w14:val="standardContextual"/>
        </w:rPr>
      </w:pPr>
      <w:r>
        <w:t>That experience motivates the central research question of this dissertation: given the scale of transaction data processed by banks and the availability of modern computing infrastructure, why do detection failures remain common in practice? The literature suggests the limiting factor is not an absence of data, but the limitations of traditional detection architectures. Many institutions continue to deploy rule-based systems</w:t>
      </w:r>
      <w:r>
        <w:rPr>
          <w:lang w:val="en"/>
        </w:rPr>
        <w:t>,</w:t>
      </w:r>
      <w:r>
        <w:t>manually defined thresholds and conditional filters</w:t>
      </w:r>
      <w:r>
        <w:rPr>
          <w:lang w:val="en"/>
        </w:rPr>
        <w:t>,</w:t>
      </w:r>
      <w:r>
        <w:t>that are brittle under adversarial adaptation. Once a fraudster infers a bank’s trigger thresholds (for example, transaction amount or velocity rules), they can often modify behaviour to remain below those thresholds. In addition, rules tuned to historical fraud patterns do not automatically adapt as tactics evolve.</w:t>
      </w:r>
    </w:p>
    <w:p w14:paraId="0EE4A764">
      <w:pPr>
        <w:spacing w:after="200" w:line="480" w:lineRule="auto"/>
        <w:jc w:val="both"/>
        <w:rPr>
          <w:kern w:val="2"/>
          <w14:ligatures w14:val="standardContextual"/>
        </w:rPr>
      </w:pPr>
      <w:r>
        <w:t>Machine learning approaches address these limitations by learning statistical regularities from historical transactions, potentially capturing combinations of signals that are difficult to express as hand-written rules. However, deploying such models introduces a second operational challenge that receives comparatively less attention in undergraduate implementations: explainability. Ensemble methods such as Random Forest and gradient boosting can achieve strong classification performance, but their decision processes are not transparent to end users by default. In a compliance workflow, an analyst who receives a fraud flag must understand why the case has been prioritised, which risk indicators are present, and what actions are recommended. Without an explanation, alerts are harder to triage, justify to stakeholders, and audit.</w:t>
      </w:r>
    </w:p>
    <w:p w14:paraId="265848BA">
      <w:pPr>
        <w:spacing w:after="200" w:line="480" w:lineRule="auto"/>
        <w:jc w:val="both"/>
        <w:rPr>
          <w:kern w:val="2"/>
          <w14:ligatures w14:val="standardContextual"/>
        </w:rPr>
      </w:pPr>
      <w:bookmarkStart w:id="3" w:name="_Toc228560717"/>
      <w:r>
        <w:t>Aegis is designed to address both challenges. It combines a methodologically sound fraud-detection pipeline with an explanation layer that produces structured, plain-English incident reports for non-technical compliance users. The system is delivered as an interactive Streamlit web application that supports real-time scoring, report download, and an advisory interface.</w:t>
      </w:r>
    </w:p>
    <w:p w14:paraId="023B23D1">
      <w:pPr>
        <w:pStyle w:val="3"/>
        <w:spacing w:line="480" w:lineRule="auto"/>
      </w:pPr>
      <w:r>
        <w:t>1.2 Problem Statement</w:t>
      </w:r>
      <w:bookmarkEnd w:id="3"/>
    </w:p>
    <w:p w14:paraId="1A588A9F">
      <w:pPr>
        <w:spacing w:after="200" w:line="480" w:lineRule="auto"/>
        <w:jc w:val="both"/>
        <w:rPr>
          <w:kern w:val="2"/>
          <w14:ligatures w14:val="standardContextual"/>
        </w:rPr>
      </w:pPr>
      <w:r>
        <w:t>This project addresses three linked problems. The first is extreme class imbalance. In the ULB Credit Card Fraud dataset, the fraud rate is 0.172%, meaning there are approximately 578 legitimate transactions for every fraudulent one. A classifier trained naively on this distribution can achieve high accuracy by predicting ‘legitimate’ for most cases while detecting very little actual fraud. Robust evaluation, therefore, requires imbalance-aware methods (such as resampling or cost-sensitive learning) and metrics that reflect minority-class performance. Several published and student-level implementations handle this incorrectly, for example, by applying SMOTE before the train/test split, which introduces data leakage and inflates reported results.</w:t>
      </w:r>
    </w:p>
    <w:p w14:paraId="07089809">
      <w:pPr>
        <w:spacing w:after="200" w:line="480" w:lineRule="auto"/>
        <w:jc w:val="both"/>
        <w:rPr>
          <w:kern w:val="2"/>
          <w14:ligatures w14:val="standardContextual"/>
        </w:rPr>
      </w:pPr>
      <w:r>
        <w:t>The second problem is the anonymised feature constraint. The ULB dataset’s 28 predictive features (V1–V28) are principal components derived from the original transaction data. Because these components have no direct semantic meaning, conventional feature-importance explanations (for example, ‘V14 contributed strongly to the decision’) are difficult to translate into operational action. Producing explanations that remain honest about this limitation while still being useful to analysts requires a different approach from standard SHAP-style narratives.</w:t>
      </w:r>
    </w:p>
    <w:p w14:paraId="3F3D16F3">
      <w:pPr>
        <w:spacing w:after="200" w:line="480" w:lineRule="auto"/>
        <w:jc w:val="both"/>
        <w:rPr>
          <w:kern w:val="2"/>
          <w14:ligatures w14:val="standardContextual"/>
        </w:rPr>
      </w:pPr>
      <w:bookmarkStart w:id="4" w:name="_Toc228560718"/>
      <w:r>
        <w:t>The third problem is end-to-end integration. Many academic demonstrations address model training in isolation, but fewer combine real-time inference, natural-language explanation, downloadable reporting, and an interactive advisory component within a single deployable application. Designing, building, and validating the interfaces between these components</w:t>
      </w:r>
      <w:r>
        <w:rPr>
          <w:lang w:val="en"/>
        </w:rPr>
        <w:t>,</w:t>
      </w:r>
      <w:r>
        <w:t>while managing practical constraints such as dependency issues, PDF rendering limitations, and API variability</w:t>
      </w:r>
      <w:r>
        <w:rPr>
          <w:lang w:val="en"/>
        </w:rPr>
        <w:t>,</w:t>
      </w:r>
      <w:r>
        <w:t>constitutes a substantive engineering challenge in its own right.</w:t>
      </w:r>
    </w:p>
    <w:p w14:paraId="6FC7E7B6">
      <w:pPr>
        <w:pStyle w:val="3"/>
        <w:spacing w:line="480" w:lineRule="auto"/>
      </w:pPr>
      <w:r>
        <w:t>1.3 Aims and Objectives</w:t>
      </w:r>
      <w:bookmarkEnd w:id="4"/>
    </w:p>
    <w:p w14:paraId="0C740BAE">
      <w:pPr>
        <w:spacing w:after="200" w:line="480" w:lineRule="auto"/>
        <w:jc w:val="both"/>
        <w:rPr>
          <w:kern w:val="2"/>
          <w14:ligatures w14:val="standardContextual"/>
        </w:rPr>
      </w:pPr>
      <w:r>
        <w:t>The overall aim of this project is to design, build, and evaluate a real-time credit card fraud detection prototype that combines a machine learning classification pipeline with a natural-language explainability layer, delivered through a Streamlit web application named Aegis.</w:t>
      </w:r>
    </w:p>
    <w:p w14:paraId="1CA0A1E4">
      <w:pPr>
        <w:spacing w:after="200" w:line="480" w:lineRule="auto"/>
        <w:rPr>
          <w:kern w:val="2"/>
          <w14:ligatures w14:val="standardContextual"/>
        </w:rPr>
      </w:pPr>
      <w:bookmarkStart w:id="5" w:name="_Toc228560719"/>
      <w:r>
        <w:t>The specific objectives are:</w:t>
      </w:r>
    </w:p>
    <w:p w14:paraId="6B70BE0E">
      <w:pPr>
        <w:pStyle w:val="30"/>
        <w:numPr>
          <w:ilvl w:val="0"/>
          <w:numId w:val="1"/>
        </w:numPr>
        <w:rPr>
          <w:kern w:val="2"/>
          <w14:ligatures w14:val="standardContextual"/>
        </w:rPr>
      </w:pPr>
      <w:r>
        <w:t>Acquire and preprocess the ULB Credit Card Fraud dataset, applying a stratified train/test split and performing SMOTE resampling on the training partition only to prevent data leakage.</w:t>
      </w:r>
    </w:p>
    <w:p w14:paraId="5F38159F">
      <w:pPr>
        <w:pStyle w:val="30"/>
        <w:numPr>
          <w:ilvl w:val="0"/>
          <w:numId w:val="1"/>
        </w:numPr>
      </w:pPr>
      <w:r>
        <w:t>Train a Random Forest classifier and quantify performance using precision, recall, F1-score, and ROC-AUC on a held-out test set, with Logistic Regression as a baseline comparator.</w:t>
      </w:r>
    </w:p>
    <w:p w14:paraId="05A25C64">
      <w:pPr>
        <w:pStyle w:val="30"/>
        <w:numPr>
          <w:ilvl w:val="0"/>
          <w:numId w:val="1"/>
        </w:numPr>
      </w:pPr>
      <w:r>
        <w:t>Implement a Streamlit web application that supports three transaction input modes and performs real-time inference using the trained model.</w:t>
      </w:r>
    </w:p>
    <w:p w14:paraId="40BF23D2">
      <w:pPr>
        <w:pStyle w:val="30"/>
        <w:numPr>
          <w:ilvl w:val="0"/>
          <w:numId w:val="1"/>
        </w:numPr>
      </w:pPr>
      <w:r>
        <w:t>Design and integrate an LLM-driven report generator that produces structured, plain-English compliance reports for each prediction without referencing PCA feature labels (V1–V28).</w:t>
      </w:r>
    </w:p>
    <w:p w14:paraId="7FCE11AB">
      <w:pPr>
        <w:pStyle w:val="30"/>
        <w:numPr>
          <w:ilvl w:val="0"/>
          <w:numId w:val="1"/>
        </w:numPr>
      </w:pPr>
      <w:r>
        <w:t>Enable PDF export of generated reports using fpdf2 and validate that report output is robust to common Unicode and formatting artefacts.</w:t>
      </w:r>
    </w:p>
    <w:p w14:paraId="1F88B9EB">
      <w:pPr>
        <w:pStyle w:val="30"/>
        <w:numPr>
          <w:ilvl w:val="0"/>
          <w:numId w:val="1"/>
        </w:numPr>
      </w:pPr>
      <w:r>
        <w:t>Integrate an advisory chat module via the OpenRouter API and constrain it to fraud, security, and financial risk topics through system-level prompting.</w:t>
      </w:r>
    </w:p>
    <w:p w14:paraId="5B513C51">
      <w:pPr>
        <w:pStyle w:val="30"/>
        <w:numPr>
          <w:ilvl w:val="0"/>
          <w:numId w:val="1"/>
        </w:numPr>
      </w:pPr>
      <w:r>
        <w:t>Implement a light/dark theme system and evaluate end-to-end usability through repeatable demonstration scenarios.</w:t>
      </w:r>
    </w:p>
    <w:p w14:paraId="087C9B2A">
      <w:pPr>
        <w:pStyle w:val="3"/>
        <w:spacing w:line="480" w:lineRule="auto"/>
      </w:pPr>
      <w:r>
        <w:t>1.4 Scope and Delimitations</w:t>
      </w:r>
      <w:bookmarkEnd w:id="5"/>
    </w:p>
    <w:p w14:paraId="1246DD1B">
      <w:pPr>
        <w:spacing w:after="200" w:line="480" w:lineRule="auto"/>
        <w:jc w:val="both"/>
      </w:pPr>
      <w:r>
        <w:t>Aegis is a proof-of-concept prototype, not a production banking system. It uses a publicly available, anonymised dataset rather than live transaction streams, does not integrate with any payment gateway or banking API, does not persist user data across sessions, and does not include user authentication. These limitations were identified in the original project proposal and are treated as future work rather than omissions. The characteristics of the ULB dataset itself also constrain the project. It covers 48 hours of transactions from 2013, which limits its temporal currency. The PCA anonymisation means individual features cannot be interpreted in domain-specific terms. Both constraints are acknowledged throughout the dissertation and addressed through deliberate methodological choices rather than ignored.</w:t>
      </w:r>
    </w:p>
    <w:p w14:paraId="439D1B9E">
      <w:pPr>
        <w:pStyle w:val="3"/>
        <w:spacing w:line="480" w:lineRule="auto"/>
      </w:pPr>
      <w:bookmarkStart w:id="6" w:name="_Toc228560720"/>
      <w:r>
        <w:t>1.5 Report Structure</w:t>
      </w:r>
      <w:bookmarkEnd w:id="6"/>
    </w:p>
    <w:p w14:paraId="7D3948D2">
      <w:pPr>
        <w:spacing w:after="200" w:line="480" w:lineRule="auto"/>
        <w:jc w:val="both"/>
      </w:pPr>
      <w:r>
        <w:t>Chapter 2 reviews the academic and professional literature on credit card fraud detection, covering the history of rule-based approaches, the case for machine learning ensembles, handling class imbalance, explainable AI frameworks, large language models in analytical contexts, and human-in-the-loop system design. Chapter 3 describes the methodology and the key design decisions. Chapter 4 covers the technical implementation in detail. Chapter 5 presents the evaluation results and discusses their significance. Chapter 6 draws conclusions, outlines future work, addresses legal and ethical considerations, and reflects on the skills developed throughout the project.</w:t>
      </w:r>
    </w:p>
    <w:p w14:paraId="19ABAAFC">
      <w:pPr>
        <w:pStyle w:val="2"/>
        <w:spacing w:line="480" w:lineRule="auto"/>
        <w:jc w:val="both"/>
      </w:pPr>
      <w:bookmarkStart w:id="7" w:name="_Toc228560721"/>
      <w:r>
        <w:t>CHAPTER 2</w:t>
      </w:r>
      <w:bookmarkEnd w:id="7"/>
    </w:p>
    <w:p w14:paraId="69CB416A">
      <w:pPr>
        <w:pStyle w:val="2"/>
        <w:spacing w:line="480" w:lineRule="auto"/>
        <w:jc w:val="both"/>
      </w:pPr>
      <w:bookmarkStart w:id="8" w:name="_Toc228560722"/>
      <w:r>
        <w:t>Context (Literature Review)</w:t>
      </w:r>
      <w:bookmarkEnd w:id="8"/>
    </w:p>
    <w:p w14:paraId="35995E5E">
      <w:pPr>
        <w:pStyle w:val="3"/>
        <w:spacing w:line="480" w:lineRule="auto"/>
      </w:pPr>
      <w:bookmarkStart w:id="9" w:name="_Toc228560723"/>
      <w:r>
        <w:t>2.1 Introduction</w:t>
      </w:r>
      <w:bookmarkEnd w:id="9"/>
    </w:p>
    <w:p w14:paraId="57C61457">
      <w:pPr>
        <w:spacing w:after="200" w:line="480" w:lineRule="auto"/>
        <w:jc w:val="both"/>
      </w:pPr>
      <w:r>
        <w:t>This chapter reviews the literature and wider context relevant to Aegis. It covers the nature and scale of credit card fraud, the trajectory of detection methods from rule-based systems to ensemble machine learning, the class imbalance problem and SMOTE as a response to it, the explainability requirements that bear on financial AI, the emerging role of large language models in structured analytical tasks, and the design principles behind human-in-the-loop systems. The chapter closes by identifying the specific gap this project occupies.</w:t>
      </w:r>
    </w:p>
    <w:p w14:paraId="65071F6D">
      <w:pPr>
        <w:pStyle w:val="3"/>
        <w:spacing w:line="480" w:lineRule="auto"/>
      </w:pPr>
      <w:bookmarkStart w:id="10" w:name="_Toc228560724"/>
      <w:r>
        <w:t>2.2 Credit Card Fraud: Scale and Nature</w:t>
      </w:r>
      <w:bookmarkEnd w:id="10"/>
    </w:p>
    <w:p w14:paraId="0210CE8D">
      <w:pPr>
        <w:spacing w:after="200" w:line="480" w:lineRule="auto"/>
        <w:jc w:val="both"/>
        <w:rPr>
          <w:kern w:val="2"/>
          <w14:ligatures w14:val="standardContextual"/>
        </w:rPr>
      </w:pPr>
      <w:r>
        <w:t>The growth in credit card fraud over the past decade has been driven primarily by the displacement of card-present fraud by its card-not-present equivalent. Chip-and-PIN technology, which became standard across European markets in the mid-2000s, significantly reduced losses at physical point-of-sale terminals by making card cloning substantially harder. The same period, however, also saw rapid growth in online commerce, where transactions typically require only card credentials rather than physical possession of the card. These credentials are commonly obtained through phishing, data breaches, social engineering, and credential stuffing. Once compromised, they can be used to attempt fraudulent transactions at scale with comparatively low effort.</w:t>
      </w:r>
    </w:p>
    <w:p w14:paraId="4AC37503">
      <w:pPr>
        <w:spacing w:after="200" w:line="480" w:lineRule="auto"/>
        <w:jc w:val="both"/>
        <w:rPr>
          <w:kern w:val="2"/>
          <w14:ligatures w14:val="standardContextual"/>
        </w:rPr>
      </w:pPr>
      <w:r>
        <w:t>According to the Nilson Report, payment card fraud losses worldwide were approximately $34 billion in 2022 (Nilson Report, 2023). UK Finance reports that total fraud losses across both authorised and unauthorised categories were £1.17 billion in 2023 (UK Finance, 2024). Depending on the circumstances of each case, losses can be borne by the cardholder, merchant, issuer, or other parties in the payment chain.</w:t>
      </w:r>
    </w:p>
    <w:p w14:paraId="0E3E132F">
      <w:pPr>
        <w:spacing w:after="200" w:line="480" w:lineRule="auto"/>
        <w:jc w:val="both"/>
        <w:rPr>
          <w:kern w:val="2"/>
          <w14:ligatures w14:val="standardContextual"/>
        </w:rPr>
      </w:pPr>
      <w:r>
        <w:t>Bolton and Hand (2002) provide a foundational review of statistical fraud detection that remains analytically relevant. Their central contribution is to frame fraud detection as a rare-event classification problem: the event of interest occurs far less frequently than the baseline. This rarity has two direct implications. First, class imbalance is an unavoidable challenge in supervised learning, since standard optimisation tends to prioritise the majority class. Second, it creates an asymmetric cost structure in which the costs of missing a fraudulent transaction and incorrectly flagging a legitimate one are not equivalent in most operational contexts. Bolton and Hand (2002) also distinguish between supervised approaches, which learn from labelled fraud and legitimate examples, and unsupervised approaches, which detect statistical anomalies without labelled training data. Since the ULB dataset provides Class labels, supervised learning is the appropriate choice here, and it is the approach taken throughout Aegis.</w:t>
      </w:r>
    </w:p>
    <w:p w14:paraId="41BB668E">
      <w:pPr>
        <w:spacing w:after="200" w:line="480" w:lineRule="auto"/>
        <w:jc w:val="both"/>
        <w:rPr>
          <w:kern w:val="2"/>
          <w14:ligatures w14:val="standardContextual"/>
        </w:rPr>
      </w:pPr>
      <w:bookmarkStart w:id="11" w:name="_Toc228560725"/>
      <w:r>
        <w:t>The regulatory environment introduces a further layer of complexity. The second Payment Services Directive (PSD2) and its related Regulatory Technical Standards require payment service providers to apply strong customer authentication in specified contexts and to implement transaction-monitoring mechanisms to identify unauthorised or fraudulent transactions. In parallel, the General Data Protection Regulation (GDPR), including provisions on automated decision-making (notably Article 22) and transparency obligations (Articles 13–15), emphasises the need for meaningful information about automated processing where it significantly affects individuals. Together, these frameworks motivate approaches that combine fraud detection with explanation mechanisms that support human review, rather than relying solely on opaque automated decisions.</w:t>
      </w:r>
    </w:p>
    <w:p w14:paraId="3FD7FE11">
      <w:pPr>
        <w:pStyle w:val="3"/>
        <w:spacing w:line="480" w:lineRule="auto"/>
      </w:pPr>
      <w:r>
        <w:t>2.3 Traditional Rule-Based Detection</w:t>
      </w:r>
      <w:bookmarkEnd w:id="11"/>
    </w:p>
    <w:p w14:paraId="4EBE74F6">
      <w:pPr>
        <w:spacing w:after="200" w:line="480" w:lineRule="auto"/>
        <w:jc w:val="both"/>
      </w:pPr>
      <w:r>
        <w:t>Before machine learning became the dominant paradigm in fraud detection, financial institutions relied on rule-based systems. These encode domain expertise as conditional logic: flag any transaction above a threshold amount; flag any transaction originating from an unfamiliar country; flag more than three transactions within a five-minute window. Rules are written by fraud analysts, grounded in observed patterns, and updated periodically as new tactics emerge.</w:t>
      </w:r>
    </w:p>
    <w:p w14:paraId="0A9FA6AC">
      <w:pPr>
        <w:spacing w:after="200" w:line="480" w:lineRule="auto"/>
        <w:jc w:val="both"/>
        <w:rPr>
          <w:kern w:val="2"/>
          <w14:ligatures w14:val="standardContextual"/>
        </w:rPr>
      </w:pPr>
      <w:r>
        <w:t>Rule-based systems have genuine operational advantages. They are transparent: a compliance officer can read a rule and understand immediately why a transaction was flagged. They are deterministic: identical inputs always produce identical outputs. They can also be modified quickly when a new fraud pattern is identified. These properties explain why rule-based systems remain in widespread use, often as a first-pass filter within hybrid architectures rather than as the sole detection mechanism.</w:t>
      </w:r>
    </w:p>
    <w:p w14:paraId="654E1E71">
      <w:pPr>
        <w:spacing w:after="200" w:line="480" w:lineRule="auto"/>
        <w:jc w:val="both"/>
        <w:rPr>
          <w:kern w:val="2"/>
          <w14:ligatures w14:val="standardContextual"/>
        </w:rPr>
      </w:pPr>
      <w:bookmarkStart w:id="12" w:name="_Toc228560726"/>
      <w:r>
        <w:t>The limitations are equally well documented. Bolton and Hand (2002) observe that rule-based systems can only catch patterns that have already been observed and codified. A fraudster who understands a bank’s thresholds can operate systematically below them, and rules tuned to historic patterns may not generalise when tactics shift. In addition, rules calibrated to an ‘average’ cardholder inevitably generate false positives for users with atypical but legitimate spending profiles (for example, frequent travel or unusually high-value purchases). Maintaining an effective rule set, therefore, requires continuous analyst effort and frequent retuning, both costly and lagging behind the pace of fraud innovation.</w:t>
      </w:r>
    </w:p>
    <w:p w14:paraId="635B779F">
      <w:pPr>
        <w:pStyle w:val="3"/>
        <w:spacing w:line="480" w:lineRule="auto"/>
      </w:pPr>
      <w:r>
        <w:t>2.4 Machine Learning Approaches</w:t>
      </w:r>
      <w:bookmarkEnd w:id="12"/>
    </w:p>
    <w:p w14:paraId="4708F783">
      <w:pPr>
        <w:pStyle w:val="4"/>
        <w:spacing w:line="480" w:lineRule="auto"/>
      </w:pPr>
      <w:bookmarkStart w:id="13" w:name="_Toc228560727"/>
      <w:r>
        <w:t>2.4.1 Random Forest</w:t>
      </w:r>
      <w:bookmarkEnd w:id="13"/>
    </w:p>
    <w:p w14:paraId="19C02653">
      <w:pPr>
        <w:spacing w:after="200" w:line="480" w:lineRule="auto"/>
        <w:jc w:val="both"/>
      </w:pPr>
      <w:r>
        <w:t xml:space="preserve">Breiman (2001) introduced Random Forests as an ensemble method that trains multiple decision trees on randomly selected subsets of the training data, then aggregates their predictions through majority voting or probability averaging. Individual decision trees overfit to noise in their training subsets, but because different trees are trained on different subsets, their errors tend to be uncorrelated. Averaging across uncorrelated errors reduces variance while preserving bias </w:t>
      </w:r>
      <w:r>
        <w:rPr>
          <w:lang w:val="en"/>
        </w:rPr>
        <w:t>,</w:t>
      </w:r>
      <w:r>
        <w:t xml:space="preserve"> producing a classifier that generalises better than any individual tree could.</w:t>
      </w:r>
    </w:p>
    <w:p w14:paraId="1BCC2604">
      <w:pPr>
        <w:spacing w:after="200" w:line="480" w:lineRule="auto"/>
        <w:jc w:val="both"/>
      </w:pPr>
      <w:r>
        <w:t>Each tree selects the optimal split at each node using the Gini impurity criterion:</w:t>
      </w:r>
    </w:p>
    <w:p w14:paraId="34EBE410">
      <w:pPr>
        <w:spacing w:after="200" w:line="480" w:lineRule="auto"/>
        <w:jc w:val="both"/>
      </w:pPr>
      <m:oMathPara>
        <m:oMath>
          <m:r>
            <m:rPr/>
            <w:rPr>
              <w:rFonts w:ascii="Cambria Math" w:hAnsi="Cambria Math"/>
            </w:rPr>
            <m:t> G=</m:t>
          </m:r>
          <m:nary>
            <m:naryPr>
              <m:chr m:val="∑"/>
              <m:ctrlPr>
                <w:rPr>
                  <w:rFonts w:ascii="Cambria Math" w:hAnsi="Cambria Math"/>
                </w:rPr>
              </m:ctrlPr>
            </m:naryPr>
            <m:sub>
              <m:r>
                <m:rPr/>
                <w:rPr>
                  <w:rFonts w:ascii="Cambria Math" w:hAnsi="Cambria Math"/>
                </w:rPr>
                <m:t>i=1</m:t>
              </m:r>
              <m:ctrlPr>
                <w:rPr>
                  <w:rFonts w:ascii="Cambria Math" w:hAnsi="Cambria Math"/>
                  <w:i/>
                </w:rPr>
              </m:ctrlPr>
            </m:sub>
            <m:sup>
              <m:r>
                <m:rPr/>
                <w:rPr>
                  <w:rFonts w:ascii="Cambria Math" w:hAnsi="Cambria Math"/>
                </w:rPr>
                <m:t>C</m:t>
              </m:r>
              <m:ctrlPr>
                <w:rPr>
                  <w:rFonts w:ascii="Cambria Math" w:hAnsi="Cambria Math"/>
                  <w:i/>
                </w:rPr>
              </m:ctrlPr>
            </m:sup>
            <m:e>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i</m:t>
                  </m:r>
                  <m:ctrlPr>
                    <w:rPr>
                      <w:rFonts w:ascii="Cambria Math" w:hAnsi="Cambria Math"/>
                      <w:i/>
                    </w:rPr>
                  </m:ctrlPr>
                </m:sub>
              </m:sSub>
              <m:d>
                <m:dPr>
                  <m:ctrlPr>
                    <w:rPr>
                      <w:rFonts w:ascii="Cambria Math" w:hAnsi="Cambria Math"/>
                      <w:i/>
                    </w:rPr>
                  </m:ctrlPr>
                </m:dPr>
                <m:e>
                  <m:r>
                    <m:rPr/>
                    <w:rPr>
                      <w:rFonts w:ascii="Cambria Math" w:hAnsi="Cambria Math"/>
                    </w:rPr>
                    <m:t>1−</m:t>
                  </m:r>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i</m:t>
                      </m:r>
                      <m:ctrlPr>
                        <w:rPr>
                          <w:rFonts w:ascii="Cambria Math" w:hAnsi="Cambria Math"/>
                          <w:i/>
                        </w:rPr>
                      </m:ctrlPr>
                    </m:sub>
                  </m:sSub>
                  <m:ctrlPr>
                    <w:rPr>
                      <w:rFonts w:ascii="Cambria Math" w:hAnsi="Cambria Math"/>
                      <w:i/>
                    </w:rPr>
                  </m:ctrlPr>
                </m:e>
              </m:d>
              <m:ctrlPr>
                <w:rPr>
                  <w:rFonts w:ascii="Cambria Math" w:hAnsi="Cambria Math"/>
                  <w:i/>
                </w:rPr>
              </m:ctrlPr>
            </m:e>
          </m:nary>
        </m:oMath>
      </m:oMathPara>
    </w:p>
    <w:p w14:paraId="73D3BEFA">
      <w:pPr>
        <w:spacing w:after="200" w:line="480" w:lineRule="auto"/>
        <w:jc w:val="both"/>
        <w:rPr>
          <w:kern w:val="2"/>
          <w14:ligatures w14:val="standardContextual"/>
        </w:rPr>
      </w:pPr>
      <w:r>
        <w:t xml:space="preserve">In standard notation, let </w:t>
      </w:r>
      <w:r>
        <w:rPr>
          <w:i/>
          <w:iCs/>
        </w:rPr>
        <w:t>C</w:t>
      </w:r>
      <w:r>
        <w:t xml:space="preserve"> denote the number of classes (here, legitimate and fraudulent) and let </w:t>
      </w:r>
      <w:r>
        <w:rPr>
          <w:i/>
          <w:iCs/>
        </w:rPr>
        <w:t>p</w:t>
      </w:r>
      <w:r>
        <w:rPr>
          <w:vertAlign w:val="subscript"/>
        </w:rPr>
        <w:t>i</w:t>
      </w:r>
      <w:r>
        <w:t xml:space="preserve"> denote the proportion of samples belonging to class </w:t>
      </w:r>
      <w:r>
        <w:rPr>
          <w:i/>
          <w:iCs/>
        </w:rPr>
        <w:t>i</w:t>
      </w:r>
      <w:r>
        <w:t xml:space="preserve"> at a given node. A node is pure when all samples belong to one class, in which case the impurity is zero. During training, the tree selects the feature and split threshold that minimise the weighted average impurity of the resulting child nodes. Across the forest, the final class prediction is the majority vote across trees, and the predicted fraud probability is the proportion of trees that vote for the fraud class.</w:t>
      </w:r>
    </w:p>
    <w:p w14:paraId="0DC439BF">
      <w:pPr>
        <w:spacing w:after="200" w:line="480" w:lineRule="auto"/>
        <w:jc w:val="both"/>
        <w:rPr>
          <w:kern w:val="2"/>
          <w14:ligatures w14:val="standardContextual"/>
        </w:rPr>
      </w:pPr>
      <w:r>
        <w:t>Several properties make Random Forest particularly suitable for fraud detection. It requires no feature scaling, which matters when features like Amount and Time have very different numeric ranges from the standardised PCA components. It produces probability outputs that can serve as continuous risk scores for analyst prioritisation. It provides feature importance scores derived from the average reduction in Gini impurity across all splits involving each feature. At inference time, it is computationally efficient enough to support real-time scoring.</w:t>
      </w:r>
    </w:p>
    <w:p w14:paraId="0418A7EB">
      <w:pPr>
        <w:spacing w:after="200" w:line="480" w:lineRule="auto"/>
        <w:jc w:val="both"/>
      </w:pPr>
      <w:r>
        <w:t xml:space="preserve">Varmedja et al. (2019) compared several classifiers on a credit card fraud benchmark and found that Random Forest achieved an overall accuracy of 99.96%. Xuan et al. (2018) reported Area Under the ROC Curve values consistently above 0.95 for Random Forest on comparable data. These results require careful interpretation </w:t>
      </w:r>
      <w:r>
        <w:rPr>
          <w:lang w:val="en"/>
        </w:rPr>
        <w:t>,</w:t>
      </w:r>
      <w:r>
        <w:t xml:space="preserve"> accuracy is a misleading metric on imbalanced datasets, as discussed in Section 2.5 </w:t>
      </w:r>
      <w:r>
        <w:rPr>
          <w:lang w:val="en"/>
        </w:rPr>
        <w:t>,</w:t>
      </w:r>
      <w:r>
        <w:t xml:space="preserve"> but the AUC figures provide useful evidence of discriminative ability across all possible decision thresholds.</w:t>
      </w:r>
    </w:p>
    <w:p w14:paraId="40EE83F0">
      <w:pPr>
        <w:pStyle w:val="4"/>
        <w:spacing w:line="480" w:lineRule="auto"/>
      </w:pPr>
      <w:bookmarkStart w:id="14" w:name="_Toc228560728"/>
      <w:r>
        <w:t>2.4.2 Gradient Boosting Methods</w:t>
      </w:r>
      <w:bookmarkEnd w:id="14"/>
    </w:p>
    <w:p w14:paraId="5860B4ED">
      <w:pPr>
        <w:spacing w:after="200" w:line="480" w:lineRule="auto"/>
        <w:jc w:val="both"/>
        <w:rPr>
          <w:kern w:val="2"/>
          <w14:ligatures w14:val="standardContextual"/>
        </w:rPr>
      </w:pPr>
      <w:r>
        <w:t>Gradient boosting methods, including XGBoost, LightGBM, and CatBoost, train trees sequentially rather than in parallel. Each new tree is fitted to the residual errors of the current ensemble, allowing the model to focus progressively on hard-to-classify cases. Gaav et al. (2025) conducted a systematic review of Random Forest and gradient boosting machines with a focus on fraud detection applications. They report that, on standard fraud detection datasets, a well-tuned Random Forest is typically within one to two F1 percentage points of a well-tuned gradient boosting classifier.</w:t>
      </w:r>
    </w:p>
    <w:p w14:paraId="12C171BC">
      <w:pPr>
        <w:spacing w:after="200" w:line="480" w:lineRule="auto"/>
        <w:jc w:val="both"/>
        <w:rPr>
          <w:kern w:val="2"/>
          <w14:ligatures w14:val="standardContextual"/>
        </w:rPr>
      </w:pPr>
      <w:bookmarkStart w:id="15" w:name="_Toc228560729"/>
      <w:r>
        <w:t>This finding informs a design trade-off in Aegis. Given limited development time, effort was prioritised toward the explainability and reporting layer rather than an extensive multi-model comparison, because the expected marginal performance gain from gradient boosting would not justify the additional complexity relative to the project’s primary contribution.</w:t>
      </w:r>
    </w:p>
    <w:p w14:paraId="0BF38D63">
      <w:pPr>
        <w:pStyle w:val="4"/>
        <w:spacing w:line="480" w:lineRule="auto"/>
      </w:pPr>
      <w:r>
        <w:t>2.4.3 Deep Learning Approaches</w:t>
      </w:r>
      <w:bookmarkEnd w:id="15"/>
    </w:p>
    <w:p w14:paraId="627F61A4">
      <w:pPr>
        <w:spacing w:after="200" w:line="480" w:lineRule="auto"/>
        <w:jc w:val="both"/>
        <w:rPr>
          <w:kern w:val="2"/>
          <w14:ligatures w14:val="standardContextual"/>
        </w:rPr>
      </w:pPr>
      <w:bookmarkStart w:id="16" w:name="_Toc228560730"/>
      <w:r>
        <w:t>Recurrent neural networks and autoencoders have been applied to credit card fraud detection. Recurrent architectures are theoretically suited to sequential transaction histories because they can model temporal dependencies across a cardholder’s activity. Autoencoders trained on legitimate transactions can flag cases with high reconstruction error as potential anomalies. In practice, reported gains on widely used benchmark datasets are often modest relative to strong tree ensembles, while interpretability challenges are typically more severe. Yadav (2024) reviews Python-based implementations and finds Random Forest competitive with deep learning on the ULB dataset, while offering simpler deployment and clearer post-hoc interpretation mechanisms.</w:t>
      </w:r>
    </w:p>
    <w:p w14:paraId="70DDE2AA">
      <w:pPr>
        <w:pStyle w:val="3"/>
        <w:spacing w:line="480" w:lineRule="auto"/>
      </w:pPr>
      <w:r>
        <w:t>2.5 Class Imbalance and SMOTE</w:t>
      </w:r>
      <w:bookmarkEnd w:id="16"/>
    </w:p>
    <w:p w14:paraId="0B4D9443">
      <w:pPr>
        <w:pStyle w:val="4"/>
        <w:spacing w:line="480" w:lineRule="auto"/>
      </w:pPr>
      <w:bookmarkStart w:id="17" w:name="_Toc228560731"/>
      <w:r>
        <w:t>2.5.1 The Imbalance Problem</w:t>
      </w:r>
      <w:bookmarkEnd w:id="17"/>
    </w:p>
    <w:p w14:paraId="110755E0">
      <w:pPr>
        <w:spacing w:after="200" w:line="480" w:lineRule="auto"/>
        <w:jc w:val="both"/>
      </w:pPr>
      <w:r>
        <w:t>Class imbalance in the ULB dataset is severe, even by fraud-detection standards. With 492 fraudulent transactions out of 284,807 total, the ratio of legitimate to fraudulent examples is approximately 578:1. A classifier that simply predicts the majority class for every transaction achieves 99.83% accuracy while detecting zero fraud. Accuracy is therefore useless as a primary metric; precision, recall, and F1-score are required instead. Pozzolo et al. (2015) quantify this problem specifically for credit card fraud datasets and establish the evaluation methodology used in this project.</w:t>
      </w:r>
    </w:p>
    <w:p w14:paraId="67A0DE74">
      <w:pPr>
        <w:spacing w:after="200" w:line="480" w:lineRule="auto"/>
        <w:jc w:val="both"/>
      </w:pPr>
      <w:r>
        <w:t>Three broad strategies exist for addressing class imbalance. Undersampling discards the majority-class examples but wastes the information in the large volume of legitimate transaction data. Naive oversampling duplicates minority class examples, adding no new information and risking overfitting to specific fraud instances. Cost-sensitive learning adjusts the loss function to penalise misclassifications of minority classes more heavily, thereby correcting the optimisation objective without directly modifying the data distribution.</w:t>
      </w:r>
    </w:p>
    <w:p w14:paraId="2182FA1C">
      <w:pPr>
        <w:pStyle w:val="4"/>
        <w:spacing w:line="480" w:lineRule="auto"/>
      </w:pPr>
      <w:bookmarkStart w:id="18" w:name="_Toc228560732"/>
      <w:r>
        <w:t>2.5.2 SMOTE Mechanism</w:t>
      </w:r>
      <w:bookmarkEnd w:id="18"/>
    </w:p>
    <w:p w14:paraId="09A3A93E">
      <w:pPr>
        <w:spacing w:after="200" w:line="480" w:lineRule="auto"/>
        <w:jc w:val="both"/>
        <w:rPr>
          <w:kern w:val="2"/>
          <w14:ligatures w14:val="standardContextual"/>
        </w:rPr>
      </w:pPr>
      <w:r>
        <w:t xml:space="preserve">Chawla et al. (2002) introduced the Synthetic Minority Over-sampling Technique (SMOTE) as an approach that generates synthetic minority-class examples through interpolation rather than duplication. For each minority-class sample </w:t>
      </w:r>
      <w:r>
        <w:rPr>
          <w:i/>
          <w:iCs/>
        </w:rPr>
        <w:t>x</w:t>
      </w:r>
      <w:r>
        <w:rPr>
          <w:vertAlign w:val="subscript"/>
        </w:rPr>
        <w:t>i</w:t>
      </w:r>
      <w:r>
        <w:t xml:space="preserve">, the algorithm identifies its </w:t>
      </w:r>
      <w:r>
        <w:rPr>
          <w:i/>
          <w:iCs/>
        </w:rPr>
        <w:t>k</w:t>
      </w:r>
      <w:r>
        <w:t xml:space="preserve"> nearest neighbours in feature space. A synthetic sample </w:t>
      </w:r>
      <w:r>
        <w:rPr>
          <w:i/>
          <w:iCs/>
        </w:rPr>
        <w:t>x</w:t>
      </w:r>
      <w:r>
        <w:rPr>
          <w:vertAlign w:val="subscript"/>
        </w:rPr>
        <w:t>new</w:t>
      </w:r>
      <w:r>
        <w:t xml:space="preserve"> is generated by randomly selecting one of those neighbours </w:t>
      </w:r>
      <w:r>
        <w:rPr>
          <w:i/>
          <w:iCs/>
        </w:rPr>
        <w:t>x</w:t>
      </w:r>
      <w:r>
        <w:rPr>
          <w:vertAlign w:val="subscript"/>
        </w:rPr>
        <w:t>zi</w:t>
      </w:r>
      <w:r>
        <w:t xml:space="preserve"> and interpolating:</w:t>
      </w:r>
    </w:p>
    <w:p w14:paraId="1A4706DA">
      <w:pPr>
        <w:spacing w:after="200" w:line="480" w:lineRule="auto"/>
        <w:jc w:val="both"/>
        <w:rPr>
          <w:kern w:val="2"/>
          <w14:ligatures w14:val="standardContextual"/>
        </w:rPr>
      </w:pPr>
      <w:r>
        <w:rPr>
          <w:i/>
          <w:iCs/>
        </w:rPr>
        <w:t>x</w:t>
      </w:r>
      <w:r>
        <w:rPr>
          <w:vertAlign w:val="subscript"/>
        </w:rPr>
        <w:t>new</w:t>
      </w:r>
      <w:r>
        <w:t xml:space="preserve"> = </w:t>
      </w:r>
      <w:r>
        <w:rPr>
          <w:i/>
          <w:iCs/>
        </w:rPr>
        <w:t>x</w:t>
      </w:r>
      <w:r>
        <w:rPr>
          <w:vertAlign w:val="subscript"/>
        </w:rPr>
        <w:t>i</w:t>
      </w:r>
      <w:r>
        <w:t xml:space="preserve"> + gap × (</w:t>
      </w:r>
      <w:r>
        <w:rPr>
          <w:i/>
          <w:iCs/>
        </w:rPr>
        <w:t>x</w:t>
      </w:r>
      <w:r>
        <w:rPr>
          <w:vertAlign w:val="subscript"/>
        </w:rPr>
        <w:t>zi</w:t>
      </w:r>
      <w:r>
        <w:t xml:space="preserve"> − </w:t>
      </w:r>
      <w:r>
        <w:rPr>
          <w:i/>
          <w:iCs/>
        </w:rPr>
        <w:t>x</w:t>
      </w:r>
      <w:r>
        <w:rPr>
          <w:vertAlign w:val="subscript"/>
        </w:rPr>
        <w:t>i</w:t>
      </w:r>
      <w:r>
        <w:t>)</w:t>
      </w:r>
    </w:p>
    <w:p w14:paraId="35068DE3">
      <w:pPr>
        <w:spacing w:after="200" w:line="480" w:lineRule="auto"/>
        <w:jc w:val="both"/>
        <w:rPr>
          <w:kern w:val="2"/>
          <w14:ligatures w14:val="standardContextual"/>
        </w:rPr>
      </w:pPr>
      <w:bookmarkStart w:id="19" w:name="_Toc228560733"/>
      <w:r>
        <w:t xml:space="preserve">where </w:t>
      </w:r>
      <w:r>
        <w:rPr>
          <w:i/>
          <w:iCs/>
        </w:rPr>
        <w:t>gap</w:t>
      </w:r>
      <w:r>
        <w:t xml:space="preserve"> is drawn uniformly from [0, 1]. The result is a new point on the line segment between </w:t>
      </w:r>
      <w:r>
        <w:rPr>
          <w:i/>
          <w:iCs/>
        </w:rPr>
        <w:t>x</w:t>
      </w:r>
      <w:r>
        <w:rPr>
          <w:vertAlign w:val="subscript"/>
        </w:rPr>
        <w:t>i</w:t>
      </w:r>
      <w:r>
        <w:t xml:space="preserve"> and </w:t>
      </w:r>
      <w:r>
        <w:rPr>
          <w:i/>
          <w:iCs/>
        </w:rPr>
        <w:t>x</w:t>
      </w:r>
      <w:r>
        <w:rPr>
          <w:vertAlign w:val="subscript"/>
        </w:rPr>
        <w:t>zi</w:t>
      </w:r>
      <w:r>
        <w:t>. Applied to the minority class, this produces a smoother, more expansive fraud distribution in feature space, providing a richer training signal without exactly replicating existing examples. Prusti and Rath (2019) validated the SMOTE and Random Forest combination specifically on credit card fraud data and found it consistently outperforms either technique applied in isolation.</w:t>
      </w:r>
    </w:p>
    <w:p w14:paraId="4049AE95">
      <w:pPr>
        <w:pStyle w:val="4"/>
        <w:spacing w:line="480" w:lineRule="auto"/>
      </w:pPr>
      <w:r>
        <w:t>2.5.3 Data Leakage Constraint</w:t>
      </w:r>
      <w:bookmarkEnd w:id="19"/>
    </w:p>
    <w:p w14:paraId="65BB65FD">
      <w:pPr>
        <w:spacing w:after="200" w:line="480" w:lineRule="auto"/>
        <w:jc w:val="both"/>
      </w:pPr>
      <w:r>
        <w:t xml:space="preserve">SMOTE must be applied only to training data, after the train/test split has been performed. The reason is fundamental. SMOTE generates synthetic samples by interpolating between existing data points; if the full dataset is used when fitting SMOTE, synthetic samples derived from test-set transactions can appear in the training data. The model then has implicit knowledge of the test distribution, and any evaluation metrics computed afterwards are optimistically biased relative to performance on genuinely unseen data. Pozzolo et al. (2015) quantify this leakage effect and show it can inflate the reported F1-score by several percentage points. Aegis applies SMOTE exclusively to the training partition after the stratified split </w:t>
      </w:r>
      <w:r>
        <w:rPr>
          <w:lang w:val="en"/>
        </w:rPr>
        <w:t>,</w:t>
      </w:r>
      <w:r>
        <w:t xml:space="preserve"> the correct methodological approach, and a point of explicit differentiation from at least one of the comparable systems examined in Chapter 5.</w:t>
      </w:r>
    </w:p>
    <w:p w14:paraId="61448F46">
      <w:pPr>
        <w:pStyle w:val="3"/>
        <w:spacing w:line="480" w:lineRule="auto"/>
      </w:pPr>
      <w:bookmarkStart w:id="20" w:name="_Toc228560734"/>
      <w:r>
        <w:t>2.6 Explainable Artificial Intelligence</w:t>
      </w:r>
      <w:bookmarkEnd w:id="20"/>
    </w:p>
    <w:p w14:paraId="1E394DA5">
      <w:pPr>
        <w:pStyle w:val="4"/>
        <w:spacing w:line="480" w:lineRule="auto"/>
      </w:pPr>
      <w:bookmarkStart w:id="21" w:name="_Toc228560735"/>
      <w:r>
        <w:t>2.6.1 The Explainability Imperative</w:t>
      </w:r>
      <w:bookmarkEnd w:id="21"/>
    </w:p>
    <w:p w14:paraId="6732F9B5">
      <w:pPr>
        <w:spacing w:after="200" w:line="480" w:lineRule="auto"/>
        <w:jc w:val="both"/>
        <w:rPr>
          <w:kern w:val="2"/>
          <w14:ligatures w14:val="standardContextual"/>
        </w:rPr>
      </w:pPr>
      <w:r>
        <w:t>Arrieta et al. (2020) provide a widely cited taxonomy of explainable AI methods, distinguishing between models that are inherently interpretable and post-hoc techniques applied to otherwise opaque models. In financial services, explainability is not merely a usability preference: it supports compliance review, auditability, and challenge processes when automated outputs affect customers. This places practical constraints on the kinds of models and explanation techniques that can be deployed in high-stakes fraud workflows.</w:t>
      </w:r>
    </w:p>
    <w:p w14:paraId="369AB013">
      <w:pPr>
        <w:pStyle w:val="4"/>
        <w:spacing w:line="480" w:lineRule="auto"/>
      </w:pPr>
      <w:bookmarkStart w:id="22" w:name="_Toc228560736"/>
      <w:r>
        <w:t>2.6.2 SHAP Values</w:t>
      </w:r>
      <w:bookmarkEnd w:id="22"/>
    </w:p>
    <w:p w14:paraId="5FA207BD">
      <w:pPr>
        <w:spacing w:after="200" w:line="480" w:lineRule="auto"/>
        <w:jc w:val="both"/>
      </w:pPr>
      <w:r>
        <w:t>Lundberg and Lee (2017) introduced SHAP (Shapley Additive explanations). This game-theoretic framework assigns each input feature a contribution value that quantifies how much it pushed the model's prediction away from the base rate. SHAP values are model-agnostic, locally accurate, and consistent across different model types. Obeng et al. (2024) apply SHAP to credit card fraud detection and find that SHAP-based explanations improve analyst trust and decision speed compared to unexplained model outputs.</w:t>
      </w:r>
    </w:p>
    <w:p w14:paraId="24D03124">
      <w:pPr>
        <w:spacing w:after="200" w:line="480" w:lineRule="auto"/>
        <w:jc w:val="both"/>
      </w:pPr>
      <w:r>
        <w:t>Despite these strengths, SHAP has a specific limitation in the ULB context. On features labelled V1 through V28, a value of the form 'V14 contributed −0.82 to this prediction' is mathematically precise but operationally useless. A compliance officer cannot determine what V14 represents, what transaction behaviour produced the negative contribution, or what action to take. The PCA anonymisation that protects cardholder privacy simultaneously undermines the utility of SHAP-based explanations for this dataset.</w:t>
      </w:r>
    </w:p>
    <w:p w14:paraId="61F9EC25">
      <w:pPr>
        <w:pStyle w:val="4"/>
        <w:spacing w:line="480" w:lineRule="auto"/>
      </w:pPr>
      <w:bookmarkStart w:id="23" w:name="_Toc228560737"/>
      <w:r>
        <w:t>2.6.3 Alternative Approaches</w:t>
      </w:r>
      <w:bookmarkEnd w:id="23"/>
    </w:p>
    <w:p w14:paraId="0E085A0A">
      <w:pPr>
        <w:spacing w:after="200" w:line="480" w:lineRule="auto"/>
        <w:jc w:val="both"/>
      </w:pPr>
      <w:r>
        <w:t xml:space="preserve">Several workarounds exist for generating explanations from anonymous features. One option is to restrict the explanation to the interpretable features </w:t>
      </w:r>
      <w:r>
        <w:rPr>
          <w:lang w:val="en"/>
        </w:rPr>
        <w:t>,</w:t>
      </w:r>
      <w:r>
        <w:t xml:space="preserve"> Time and Amount in the ULB case. This is honest, but informationally incomplete: the PCA components carry most of the predictive signal. Another approach is to provide statistical descriptions of feature deviation, conveying how unusual a transaction's PCA values are relative to the broader population without claiming to name the specific behaviour they represent. This is the approach taken in Aegis's behavioural context translation layer.</w:t>
      </w:r>
    </w:p>
    <w:p w14:paraId="35BDE44B">
      <w:pPr>
        <w:spacing w:after="200" w:line="480" w:lineRule="auto"/>
        <w:jc w:val="both"/>
        <w:rPr>
          <w:kern w:val="2"/>
          <w14:ligatures w14:val="standardContextual"/>
        </w:rPr>
      </w:pPr>
      <w:bookmarkStart w:id="24" w:name="_Toc228560738"/>
      <w:r>
        <w:t>Amirineni (2024) argues that explainability should be embedded directly into predictive analytics systems rather than treated as an optional downstream add-on. When explanation is integral to the workflow, it is generated consistently for each prediction and formatted for the intended audience from the outset. Aegis follows this principle: the compliance report is produced as part of the prediction pipeline. It is designed explicitly for non-technical users who must still make accountable decisions based on the model output.</w:t>
      </w:r>
    </w:p>
    <w:p w14:paraId="79AB3937">
      <w:pPr>
        <w:pStyle w:val="3"/>
        <w:spacing w:line="480" w:lineRule="auto"/>
      </w:pPr>
      <w:r>
        <w:t>2.7 Large Language Models in Analytical Contexts</w:t>
      </w:r>
      <w:bookmarkEnd w:id="24"/>
    </w:p>
    <w:p w14:paraId="62144F25">
      <w:pPr>
        <w:spacing w:after="200" w:line="480" w:lineRule="auto"/>
        <w:jc w:val="both"/>
        <w:rPr>
          <w:kern w:val="2"/>
          <w14:ligatures w14:val="standardContextual"/>
        </w:rPr>
      </w:pPr>
      <w:r>
        <w:t>Meta AI (2024) describes Llama 3 as an advance in openly available large language models, with improved instruction-following and structured-output capabilities. The Llama-3.1-8b-instant variant used in Aegis via the Groq API is selected to keep inference latency low enough for interactive use. In practice, generating a short, structured report is fast enough to fit within a compliance workflow in which an analyst requests reports on demand rather than at bulk-transaction scale.</w:t>
      </w:r>
    </w:p>
    <w:p w14:paraId="79F83C42">
      <w:pPr>
        <w:spacing w:after="200" w:line="480" w:lineRule="auto"/>
        <w:jc w:val="both"/>
      </w:pPr>
      <w:r>
        <w:t xml:space="preserve">Wei et al. (2022) demonstrated that chain-of-thought prompting </w:t>
      </w:r>
      <w:r>
        <w:rPr>
          <w:lang w:val="en"/>
        </w:rPr>
        <w:t>,</w:t>
      </w:r>
      <w:r>
        <w:t xml:space="preserve"> structuring the prompt to elicit sequential reasoning </w:t>
      </w:r>
      <w:r>
        <w:rPr>
          <w:lang w:val="en"/>
        </w:rPr>
        <w:t>,</w:t>
      </w:r>
      <w:r>
        <w:t xml:space="preserve"> substantially improves LLM performance on complex analytical tasks. Aegis's report generation prompt specifies five sequential sections that the model must complete in order, guiding it through a structured reasoning process rather than requesting a single unstructured output.</w:t>
      </w:r>
    </w:p>
    <w:p w14:paraId="213981DC">
      <w:pPr>
        <w:spacing w:after="200" w:line="480" w:lineRule="auto"/>
        <w:jc w:val="both"/>
        <w:rPr>
          <w:kern w:val="2"/>
          <w14:ligatures w14:val="standardContextual"/>
        </w:rPr>
      </w:pPr>
      <w:bookmarkStart w:id="25" w:name="_Toc228560739"/>
      <w:r>
        <w:t>Zhao et al. (2023) survey the development of large language models and note their emerging use in structured analytical tasks across domains such as law, medicine, and finance. One recurring pattern is to use an LLM to translate technical outputs into audience-appropriate narratives under explicit formatting constraints. For example, decision-support tools may render risk scores into clinician-facing summaries, and legal research systems may provide plain-language case briefs. Aegis applies a similar translation pattern to fraud detection by converting model outputs into a structured report intended for compliance users, while explicitly avoiding claims of semantic interpretation for the anonymous PCA features.</w:t>
      </w:r>
    </w:p>
    <w:p w14:paraId="41F0AF2E">
      <w:pPr>
        <w:pStyle w:val="3"/>
        <w:spacing w:line="480" w:lineRule="auto"/>
      </w:pPr>
      <w:r>
        <w:t>2.8 Human-in-the-Loop Systems</w:t>
      </w:r>
      <w:bookmarkEnd w:id="25"/>
    </w:p>
    <w:p w14:paraId="0E9D8C50">
      <w:pPr>
        <w:spacing w:after="200" w:line="480" w:lineRule="auto"/>
        <w:jc w:val="both"/>
      </w:pPr>
      <w:r>
        <w:t>Islam et al. (2025) examine human-in-the-loop approaches to AI fraud detection and find that systems incorporating analyst feedback achieve better long-term performance than static deployed models. Their central finding is that the gap between model and analyst performance narrows over time when feedback mechanisms are in place, as the model learns from cases where the analyst's assessment diverged from the automated prediction. The PDF report generated by Aegis represents a natural feedback artefact: an analyst who reviews and annotates a report is providing implicit signal about prediction quality. The current prototype does not implement a feedback loop, but the architecture is designed to support this extension.</w:t>
      </w:r>
    </w:p>
    <w:p w14:paraId="6538E7AE">
      <w:pPr>
        <w:spacing w:after="200" w:line="480" w:lineRule="auto"/>
        <w:jc w:val="both"/>
      </w:pPr>
      <w:r>
        <w:t xml:space="preserve">Wu et al. (2022) survey human-in-the-loop machine learning more broadly and distinguish between model-centric approaches, which treat human input as peripheral, and data-centric approaches, which treat human expertise as a primary improvement signal. They argue that data-centric approaches produce more robust systems in high-stakes domains </w:t>
      </w:r>
      <w:r>
        <w:rPr>
          <w:lang w:val="en"/>
        </w:rPr>
        <w:t>,</w:t>
      </w:r>
      <w:r>
        <w:t xml:space="preserve"> a finding that lends theoretical support to the analyst-facing design priorities in Aegis.</w:t>
      </w:r>
    </w:p>
    <w:p w14:paraId="531CE3BD">
      <w:pPr>
        <w:pStyle w:val="3"/>
        <w:spacing w:line="480" w:lineRule="auto"/>
      </w:pPr>
      <w:bookmarkStart w:id="26" w:name="_Toc228560740"/>
      <w:r>
        <w:t>2.9 Research Gap</w:t>
      </w:r>
      <w:bookmarkEnd w:id="26"/>
    </w:p>
    <w:p w14:paraId="3DF6C49F">
      <w:pPr>
        <w:spacing w:after="200" w:line="480" w:lineRule="auto"/>
        <w:jc w:val="both"/>
        <w:rPr>
          <w:kern w:val="2"/>
          <w14:ligatures w14:val="standardContextual"/>
        </w:rPr>
      </w:pPr>
      <w:r>
        <w:t>The literature establishes several points that directly inform this project: Random Forest is a well-validated classifier for the ULB benchmark; SMOTE, when applied after a stratified train/test split, is an effective strategy for severe class imbalance; and explainability is an operational requirement in high-stakes financial decision support. At the same time, standard XAI techniques such as SHAP offer limited operational value when the underlying predictors are anonymous PCA components, because they cannot be translated into actionable domain explanations. Large language models provide a plausible route to readable, structured narratives, but their use as a controlled translation layer for anonymous-feature fraud models is not yet well represented in the academic literature.</w:t>
      </w:r>
    </w:p>
    <w:p w14:paraId="37B73184">
      <w:pPr>
        <w:spacing w:after="200" w:line="480" w:lineRule="auto"/>
        <w:jc w:val="both"/>
        <w:rPr>
          <w:kern w:val="2"/>
          <w14:ligatures w14:val="standardContextual"/>
        </w:rPr>
      </w:pPr>
      <w:bookmarkStart w:id="27" w:name="_Toc228560741"/>
      <w:r>
        <w:t>This dissertation addresses that gap by integrating three elements within a single prototype: (1) a methodologically correct fraud detection pipeline on the ULB benchmark, (2) a behavioural context translation layer that produces honest, statistically grounded statements about anomaly in anonymous features, and (3) LLM-generated natural-language compliance reporting delivered through a deployable web interface. Comparable academic implementations typically address model training alone, or provide explanations that do not account for the anonymised feature constraint.</w:t>
      </w:r>
    </w:p>
    <w:p w14:paraId="2FBF7B7D">
      <w:pPr>
        <w:pStyle w:val="2"/>
        <w:spacing w:line="480" w:lineRule="auto"/>
      </w:pPr>
      <w:r>
        <w:t>CHAPTER 3</w:t>
      </w:r>
      <w:bookmarkEnd w:id="27"/>
    </w:p>
    <w:p w14:paraId="5FF129DF">
      <w:pPr>
        <w:pStyle w:val="3"/>
        <w:spacing w:line="480" w:lineRule="auto"/>
      </w:pPr>
      <w:bookmarkStart w:id="28" w:name="_Toc228560742"/>
      <w:r>
        <w:t>New Ideas (Methodology and Design)</w:t>
      </w:r>
      <w:bookmarkEnd w:id="28"/>
    </w:p>
    <w:p w14:paraId="41E04A72">
      <w:pPr>
        <w:pStyle w:val="3"/>
        <w:spacing w:line="480" w:lineRule="auto"/>
      </w:pPr>
      <w:bookmarkStart w:id="29" w:name="_Toc228560743"/>
      <w:r>
        <w:t>3.1 Introduction</w:t>
      </w:r>
      <w:bookmarkEnd w:id="29"/>
    </w:p>
    <w:p w14:paraId="5494C99C">
      <w:pPr>
        <w:spacing w:after="200" w:line="480" w:lineRule="auto"/>
        <w:jc w:val="both"/>
      </w:pPr>
      <w:r>
        <w:t xml:space="preserve">This chapter describes the design decisions behind Aegis. Where the original project proposal included techniques that were ultimately not implemented </w:t>
      </w:r>
      <w:r>
        <w:rPr>
          <w:lang w:val="en"/>
        </w:rPr>
        <w:t>,</w:t>
      </w:r>
      <w:r>
        <w:t xml:space="preserve"> Isolation Forest, and LSTM networks </w:t>
      </w:r>
      <w:r>
        <w:rPr>
          <w:lang w:val="en"/>
        </w:rPr>
        <w:t>,</w:t>
      </w:r>
      <w:r>
        <w:t xml:space="preserve"> those decisions are explained directly rather than quietly omitted. The methodology follows a structured approach: requirements are established from the literature review and testing done, alternatives are considered, and the selected design is justified against both academic evidence and practical constraints.</w:t>
      </w:r>
    </w:p>
    <w:p w14:paraId="6B074979">
      <w:pPr>
        <w:pStyle w:val="3"/>
        <w:spacing w:line="480" w:lineRule="auto"/>
      </w:pPr>
      <w:bookmarkStart w:id="30" w:name="_Toc228560744"/>
      <w:r>
        <w:t>3.2 Dataset Selection</w:t>
      </w:r>
      <w:bookmarkEnd w:id="30"/>
    </w:p>
    <w:p w14:paraId="119AA511">
      <w:pPr>
        <w:pStyle w:val="4"/>
        <w:spacing w:line="480" w:lineRule="auto"/>
      </w:pPr>
      <w:bookmarkStart w:id="31" w:name="_Toc228560745"/>
      <w:r>
        <w:t>3.2.1 The ULB Credit Card Fraud Dataset</w:t>
      </w:r>
      <w:bookmarkEnd w:id="31"/>
    </w:p>
    <w:p w14:paraId="4A915BFF">
      <w:pPr>
        <w:spacing w:after="200" w:line="480" w:lineRule="auto"/>
        <w:jc w:val="both"/>
      </w:pPr>
      <w:r>
        <w:t xml:space="preserve">The ULB Credit Card Fraud dataset, published by the Machine Learning Group at Université Libre de Bruxelles and available through Kaggle, contains 284,807 credit card transactions made by European cardholders over 48 hours in September 2013 (Pozzolo et al., 2015). Of these, 492 are fraudulent, giving a fraud rate of 0.172%. The dataset provides two directly interpretable features </w:t>
      </w:r>
      <w:r>
        <w:rPr>
          <w:lang w:val="en"/>
        </w:rPr>
        <w:t>,</w:t>
      </w:r>
      <w:r>
        <w:t xml:space="preserve"> Time, measured in seconds elapsed since the first transaction, and Amount, in euros </w:t>
      </w:r>
      <w:r>
        <w:rPr>
          <w:lang w:val="en"/>
        </w:rPr>
        <w:t>,</w:t>
      </w:r>
      <w:r>
        <w:t xml:space="preserve"> alongside 28 PCA-transformed features labelled V1 through V28. The target variable, Class, is binary: 0 for legitimate and 1 for fraudulent.</w:t>
      </w:r>
    </w:p>
    <w:tbl>
      <w:tblPr>
        <w:tblStyle w:val="24"/>
        <w:tblW w:w="8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772"/>
        <w:gridCol w:w="4728"/>
      </w:tblGrid>
      <w:tr w14:paraId="3B272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shd w:val="clear" w:color="auto" w:fill="1F3864"/>
            <w:tcMar>
              <w:top w:w="60" w:type="dxa"/>
              <w:left w:w="100" w:type="dxa"/>
              <w:bottom w:w="60" w:type="dxa"/>
              <w:right w:w="100" w:type="dxa"/>
            </w:tcMar>
          </w:tcPr>
          <w:p w14:paraId="45832BC4">
            <w:pPr>
              <w:spacing w:line="480" w:lineRule="auto"/>
              <w:jc w:val="both"/>
            </w:pPr>
            <w:r>
              <w:rPr>
                <w:b/>
                <w:bCs/>
                <w:color w:val="FFFFFF"/>
              </w:rPr>
              <w:t>Attribute</w:t>
            </w:r>
          </w:p>
        </w:tc>
        <w:tc>
          <w:tcPr>
            <w:tcW w:w="0" w:type="auto"/>
            <w:shd w:val="clear" w:color="auto" w:fill="1F3864"/>
            <w:tcMar>
              <w:top w:w="60" w:type="dxa"/>
              <w:left w:w="100" w:type="dxa"/>
              <w:bottom w:w="60" w:type="dxa"/>
              <w:right w:w="100" w:type="dxa"/>
            </w:tcMar>
          </w:tcPr>
          <w:p w14:paraId="5432C7C8">
            <w:pPr>
              <w:spacing w:line="480" w:lineRule="auto"/>
              <w:jc w:val="both"/>
            </w:pPr>
            <w:r>
              <w:rPr>
                <w:b/>
                <w:bCs/>
                <w:color w:val="FFFFFF"/>
              </w:rPr>
              <w:t>Value</w:t>
            </w:r>
          </w:p>
        </w:tc>
      </w:tr>
      <w:tr w14:paraId="434C8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shd w:val="clear" w:color="auto" w:fill="EBF3FB"/>
            <w:tcMar>
              <w:top w:w="60" w:type="dxa"/>
              <w:left w:w="100" w:type="dxa"/>
              <w:bottom w:w="60" w:type="dxa"/>
              <w:right w:w="100" w:type="dxa"/>
            </w:tcMar>
          </w:tcPr>
          <w:p w14:paraId="68C58A3C">
            <w:pPr>
              <w:spacing w:line="480" w:lineRule="auto"/>
              <w:jc w:val="both"/>
            </w:pPr>
            <w:r>
              <w:t>Total transactions</w:t>
            </w:r>
          </w:p>
        </w:tc>
        <w:tc>
          <w:tcPr>
            <w:tcW w:w="0" w:type="auto"/>
            <w:shd w:val="clear" w:color="auto" w:fill="EBF3FB"/>
            <w:tcMar>
              <w:top w:w="60" w:type="dxa"/>
              <w:left w:w="100" w:type="dxa"/>
              <w:bottom w:w="60" w:type="dxa"/>
              <w:right w:w="100" w:type="dxa"/>
            </w:tcMar>
          </w:tcPr>
          <w:p w14:paraId="7D550FD0">
            <w:pPr>
              <w:spacing w:line="480" w:lineRule="auto"/>
              <w:jc w:val="both"/>
            </w:pPr>
            <w:r>
              <w:t>284,807</w:t>
            </w:r>
          </w:p>
        </w:tc>
      </w:tr>
      <w:tr w14:paraId="778A8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shd w:val="clear" w:color="auto" w:fill="FFFFFF"/>
            <w:tcMar>
              <w:top w:w="60" w:type="dxa"/>
              <w:left w:w="100" w:type="dxa"/>
              <w:bottom w:w="60" w:type="dxa"/>
              <w:right w:w="100" w:type="dxa"/>
            </w:tcMar>
          </w:tcPr>
          <w:p w14:paraId="6AE154A3">
            <w:pPr>
              <w:spacing w:line="480" w:lineRule="auto"/>
              <w:jc w:val="both"/>
            </w:pPr>
            <w:r>
              <w:t>Fraudulent transactions</w:t>
            </w:r>
          </w:p>
        </w:tc>
        <w:tc>
          <w:tcPr>
            <w:tcW w:w="0" w:type="auto"/>
            <w:shd w:val="clear" w:color="auto" w:fill="FFFFFF"/>
            <w:tcMar>
              <w:top w:w="60" w:type="dxa"/>
              <w:left w:w="100" w:type="dxa"/>
              <w:bottom w:w="60" w:type="dxa"/>
              <w:right w:w="100" w:type="dxa"/>
            </w:tcMar>
          </w:tcPr>
          <w:p w14:paraId="6178EF8B">
            <w:pPr>
              <w:spacing w:line="480" w:lineRule="auto"/>
              <w:jc w:val="both"/>
            </w:pPr>
            <w:r>
              <w:t>492</w:t>
            </w:r>
          </w:p>
        </w:tc>
      </w:tr>
      <w:tr w14:paraId="28FCC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shd w:val="clear" w:color="auto" w:fill="EBF3FB"/>
            <w:tcMar>
              <w:top w:w="60" w:type="dxa"/>
              <w:left w:w="100" w:type="dxa"/>
              <w:bottom w:w="60" w:type="dxa"/>
              <w:right w:w="100" w:type="dxa"/>
            </w:tcMar>
          </w:tcPr>
          <w:p w14:paraId="1900815D">
            <w:pPr>
              <w:spacing w:line="480" w:lineRule="auto"/>
              <w:jc w:val="both"/>
            </w:pPr>
            <w:r>
              <w:t>Fraud rate</w:t>
            </w:r>
          </w:p>
        </w:tc>
        <w:tc>
          <w:tcPr>
            <w:tcW w:w="0" w:type="auto"/>
            <w:shd w:val="clear" w:color="auto" w:fill="EBF3FB"/>
            <w:tcMar>
              <w:top w:w="60" w:type="dxa"/>
              <w:left w:w="100" w:type="dxa"/>
              <w:bottom w:w="60" w:type="dxa"/>
              <w:right w:w="100" w:type="dxa"/>
            </w:tcMar>
          </w:tcPr>
          <w:p w14:paraId="436F898D">
            <w:pPr>
              <w:spacing w:line="480" w:lineRule="auto"/>
              <w:jc w:val="both"/>
            </w:pPr>
            <w:r>
              <w:t>0.172%</w:t>
            </w:r>
          </w:p>
        </w:tc>
      </w:tr>
      <w:tr w14:paraId="32BF4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shd w:val="clear" w:color="auto" w:fill="FFFFFF"/>
            <w:tcMar>
              <w:top w:w="60" w:type="dxa"/>
              <w:left w:w="100" w:type="dxa"/>
              <w:bottom w:w="60" w:type="dxa"/>
              <w:right w:w="100" w:type="dxa"/>
            </w:tcMar>
          </w:tcPr>
          <w:p w14:paraId="052A02ED">
            <w:pPr>
              <w:spacing w:line="480" w:lineRule="auto"/>
              <w:jc w:val="both"/>
            </w:pPr>
            <w:r>
              <w:t>Interpretable features</w:t>
            </w:r>
          </w:p>
        </w:tc>
        <w:tc>
          <w:tcPr>
            <w:tcW w:w="0" w:type="auto"/>
            <w:shd w:val="clear" w:color="auto" w:fill="FFFFFF"/>
            <w:tcMar>
              <w:top w:w="60" w:type="dxa"/>
              <w:left w:w="100" w:type="dxa"/>
              <w:bottom w:w="60" w:type="dxa"/>
              <w:right w:w="100" w:type="dxa"/>
            </w:tcMar>
          </w:tcPr>
          <w:p w14:paraId="37BEEE0D">
            <w:pPr>
              <w:spacing w:line="480" w:lineRule="auto"/>
              <w:jc w:val="both"/>
            </w:pPr>
            <w:r>
              <w:t>Time, Amount</w:t>
            </w:r>
          </w:p>
        </w:tc>
      </w:tr>
      <w:tr w14:paraId="02C22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shd w:val="clear" w:color="auto" w:fill="EBF3FB"/>
            <w:tcMar>
              <w:top w:w="60" w:type="dxa"/>
              <w:left w:w="100" w:type="dxa"/>
              <w:bottom w:w="60" w:type="dxa"/>
              <w:right w:w="100" w:type="dxa"/>
            </w:tcMar>
          </w:tcPr>
          <w:p w14:paraId="6FD94F6E">
            <w:pPr>
              <w:spacing w:line="480" w:lineRule="auto"/>
              <w:jc w:val="both"/>
            </w:pPr>
            <w:r>
              <w:t>PCA features</w:t>
            </w:r>
          </w:p>
        </w:tc>
        <w:tc>
          <w:tcPr>
            <w:tcW w:w="0" w:type="auto"/>
            <w:shd w:val="clear" w:color="auto" w:fill="EBF3FB"/>
            <w:tcMar>
              <w:top w:w="60" w:type="dxa"/>
              <w:left w:w="100" w:type="dxa"/>
              <w:bottom w:w="60" w:type="dxa"/>
              <w:right w:w="100" w:type="dxa"/>
            </w:tcMar>
          </w:tcPr>
          <w:p w14:paraId="7EC911F0">
            <w:pPr>
              <w:spacing w:line="480" w:lineRule="auto"/>
              <w:jc w:val="both"/>
            </w:pPr>
            <w:r>
              <w:t>V1 - V28</w:t>
            </w:r>
          </w:p>
        </w:tc>
      </w:tr>
      <w:tr w14:paraId="57586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shd w:val="clear" w:color="auto" w:fill="FFFFFF"/>
            <w:tcMar>
              <w:top w:w="60" w:type="dxa"/>
              <w:left w:w="100" w:type="dxa"/>
              <w:bottom w:w="60" w:type="dxa"/>
              <w:right w:w="100" w:type="dxa"/>
            </w:tcMar>
          </w:tcPr>
          <w:p w14:paraId="6CB0256F">
            <w:pPr>
              <w:spacing w:line="480" w:lineRule="auto"/>
              <w:jc w:val="both"/>
            </w:pPr>
            <w:r>
              <w:t>Target variable</w:t>
            </w:r>
          </w:p>
        </w:tc>
        <w:tc>
          <w:tcPr>
            <w:tcW w:w="0" w:type="auto"/>
            <w:shd w:val="clear" w:color="auto" w:fill="FFFFFF"/>
            <w:tcMar>
              <w:top w:w="60" w:type="dxa"/>
              <w:left w:w="100" w:type="dxa"/>
              <w:bottom w:w="60" w:type="dxa"/>
              <w:right w:w="100" w:type="dxa"/>
            </w:tcMar>
          </w:tcPr>
          <w:p w14:paraId="3C99121B">
            <w:pPr>
              <w:spacing w:line="480" w:lineRule="auto"/>
              <w:jc w:val="both"/>
            </w:pPr>
            <w:r>
              <w:t>Class (0=legitimate, 1=fraud)</w:t>
            </w:r>
          </w:p>
        </w:tc>
      </w:tr>
      <w:tr w14:paraId="06691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shd w:val="clear" w:color="auto" w:fill="EBF3FB"/>
            <w:tcMar>
              <w:top w:w="60" w:type="dxa"/>
              <w:left w:w="100" w:type="dxa"/>
              <w:bottom w:w="60" w:type="dxa"/>
              <w:right w:w="100" w:type="dxa"/>
            </w:tcMar>
          </w:tcPr>
          <w:p w14:paraId="7664091D">
            <w:pPr>
              <w:spacing w:line="480" w:lineRule="auto"/>
              <w:jc w:val="both"/>
            </w:pPr>
            <w:r>
              <w:t>Time span</w:t>
            </w:r>
          </w:p>
        </w:tc>
        <w:tc>
          <w:tcPr>
            <w:tcW w:w="0" w:type="auto"/>
            <w:shd w:val="clear" w:color="auto" w:fill="EBF3FB"/>
            <w:tcMar>
              <w:top w:w="60" w:type="dxa"/>
              <w:left w:w="100" w:type="dxa"/>
              <w:bottom w:w="60" w:type="dxa"/>
              <w:right w:w="100" w:type="dxa"/>
            </w:tcMar>
          </w:tcPr>
          <w:p w14:paraId="76BE87B5">
            <w:pPr>
              <w:spacing w:line="480" w:lineRule="auto"/>
              <w:jc w:val="both"/>
            </w:pPr>
            <w:r>
              <w:t>48 hours, September 2013</w:t>
            </w:r>
          </w:p>
        </w:tc>
      </w:tr>
    </w:tbl>
    <w:p w14:paraId="081B335D">
      <w:pPr>
        <w:spacing w:line="480" w:lineRule="auto"/>
        <w:jc w:val="both"/>
      </w:pPr>
    </w:p>
    <w:p w14:paraId="168E2671">
      <w:pPr>
        <w:spacing w:after="200" w:line="480" w:lineRule="auto"/>
        <w:jc w:val="both"/>
      </w:pPr>
      <w:r>
        <w:t>Table 1: ULB Dataset Summary Statistics</w:t>
      </w:r>
    </w:p>
    <w:p w14:paraId="6665849B">
      <w:pPr>
        <w:spacing w:after="200" w:line="480" w:lineRule="auto"/>
        <w:jc w:val="both"/>
      </w:pPr>
      <w:r>
        <w:t xml:space="preserve">Training was performed in a Kaggle notebook environment, where the dataset is automatically mounted at /kaggle/input/. All training outputs </w:t>
      </w:r>
      <w:r>
        <w:rPr>
          <w:lang w:val="en"/>
        </w:rPr>
        <w:t>,</w:t>
      </w:r>
      <w:r>
        <w:t xml:space="preserve"> fraud_model.pkl, feature_importance.png, and confusion_matrix.png </w:t>
      </w:r>
      <w:r>
        <w:rPr>
          <w:lang w:val="en"/>
        </w:rPr>
        <w:t>,</w:t>
      </w:r>
      <w:r>
        <w:t xml:space="preserve"> were saved to /kaggle/working/ and downloaded from the output panel. The notebook used scikit-learn 1.6.1 and imbalanced-learn 0.12.0.</w:t>
      </w:r>
    </w:p>
    <w:p w14:paraId="5F9D1A0E">
      <w:pPr>
        <w:pStyle w:val="3"/>
        <w:spacing w:line="480" w:lineRule="auto"/>
      </w:pPr>
      <w:bookmarkStart w:id="32" w:name="_Toc228560746"/>
      <w:r>
        <w:t>3.2.2 Justification for ULB Over Alternatives</w:t>
      </w:r>
      <w:bookmarkEnd w:id="32"/>
    </w:p>
    <w:p w14:paraId="28FD6C92">
      <w:pPr>
        <w:spacing w:after="200" w:line="480" w:lineRule="auto"/>
        <w:jc w:val="both"/>
      </w:pPr>
      <w:r>
        <w:t xml:space="preserve">The fraudTrain.csv dataset, used in at least one comparable system examined in Chapter 5, contains raw, interpretable features, including geographic coordinates, merchant category, cardholder age, and a Unix timestamp. It was rejected for two reasons. The ULB dataset is the dominant academic benchmark for credit card fraud detection, making it possible to contextualise Aegis's performance against published results </w:t>
      </w:r>
      <w:r>
        <w:rPr>
          <w:lang w:val="en"/>
        </w:rPr>
        <w:t>,</w:t>
      </w:r>
      <w:r>
        <w:t xml:space="preserve"> using a different dataset would make direct comparison impossible. The anonymised PCA features are also precisely what motivates Aegis's explainability contribution. A dataset with interpretable raw features would yield straightforward SHAP explanations without requiring an LLM, eliminating the novel contribution.</w:t>
      </w:r>
    </w:p>
    <w:p w14:paraId="1D3ADC95">
      <w:pPr>
        <w:pStyle w:val="2"/>
        <w:spacing w:line="480" w:lineRule="auto"/>
      </w:pPr>
      <w:bookmarkStart w:id="33" w:name="_Toc228560747"/>
      <w:r>
        <w:t>3.3 Class Imbalance Strategy</w:t>
      </w:r>
      <w:bookmarkEnd w:id="33"/>
    </w:p>
    <w:p w14:paraId="762CF4CD">
      <w:pPr>
        <w:pStyle w:val="3"/>
        <w:spacing w:line="480" w:lineRule="auto"/>
      </w:pPr>
      <w:bookmarkStart w:id="34" w:name="_Toc228560748"/>
      <w:r>
        <w:t>3.3.1 SMOTE Configuration</w:t>
      </w:r>
      <w:bookmarkEnd w:id="34"/>
    </w:p>
    <w:p w14:paraId="48E49607">
      <w:pPr>
        <w:spacing w:after="200" w:line="480" w:lineRule="auto"/>
        <w:jc w:val="both"/>
      </w:pPr>
      <w:r>
        <w:t>SMOTE was selected over undersampling and naive oversampling for the reasons described in Section 2.5. The implementation uses k_neighbors=5 and random_state=42. After resampling, the balanced training set contains 226,954 legitimate and 226,954 synthetic and genuine fraud examples. SMOTE is fitted and applied only on the training partition, after the stratified split. The formula is:</w:t>
      </w:r>
    </w:p>
    <w:p w14:paraId="4F667416">
      <w:pPr>
        <w:spacing w:after="200" w:line="480" w:lineRule="auto"/>
        <w:jc w:val="both"/>
        <w:rPr>
          <w:kern w:val="2"/>
          <w14:ligatures w14:val="standardContextual"/>
        </w:rPr>
      </w:pPr>
      <w:r>
        <w:rPr>
          <w:i/>
          <w:iCs/>
        </w:rPr>
        <w:t>x</w:t>
      </w:r>
      <w:r>
        <w:rPr>
          <w:vertAlign w:val="subscript"/>
        </w:rPr>
        <w:t>new</w:t>
      </w:r>
      <w:r>
        <w:t xml:space="preserve"> = </w:t>
      </w:r>
      <w:r>
        <w:rPr>
          <w:i/>
          <w:iCs/>
        </w:rPr>
        <w:t>x</w:t>
      </w:r>
      <w:r>
        <w:rPr>
          <w:vertAlign w:val="subscript"/>
        </w:rPr>
        <w:t>i</w:t>
      </w:r>
      <w:r>
        <w:t xml:space="preserve"> + gap × (</w:t>
      </w:r>
      <w:r>
        <w:rPr>
          <w:i/>
          <w:iCs/>
        </w:rPr>
        <w:t>x</w:t>
      </w:r>
      <w:r>
        <w:rPr>
          <w:vertAlign w:val="subscript"/>
        </w:rPr>
        <w:t>zi</w:t>
      </w:r>
      <w:r>
        <w:t xml:space="preserve"> − </w:t>
      </w:r>
      <w:r>
        <w:rPr>
          <w:i/>
          <w:iCs/>
        </w:rPr>
        <w:t>x</w:t>
      </w:r>
      <w:r>
        <w:rPr>
          <w:vertAlign w:val="subscript"/>
        </w:rPr>
        <w:t>i</w:t>
      </w:r>
      <w:r>
        <w:t xml:space="preserve">), where </w:t>
      </w:r>
      <w:r>
        <w:rPr>
          <w:i/>
          <w:iCs/>
        </w:rPr>
        <w:t>gap</w:t>
      </w:r>
      <w:r>
        <w:t xml:space="preserve"> </w:t>
      </w:r>
      <w:r>
        <w:rPr>
          <w:rFonts w:ascii="Cambria Math" w:hAnsi="Cambria Math" w:cs="Cambria Math"/>
        </w:rPr>
        <w:t>∼</w:t>
      </w:r>
      <w:r>
        <w:t xml:space="preserve"> Uniform(0, 1)</w:t>
      </w:r>
    </w:p>
    <w:p w14:paraId="6E15FA2D">
      <w:pPr>
        <w:spacing w:after="200" w:line="480" w:lineRule="auto"/>
        <w:jc w:val="both"/>
        <w:rPr>
          <w:kern w:val="2"/>
          <w14:ligatures w14:val="standardContextual"/>
        </w:rPr>
      </w:pPr>
      <w:bookmarkStart w:id="35" w:name="_Toc228560749"/>
      <w:r>
        <w:t xml:space="preserve">where </w:t>
      </w:r>
      <w:r>
        <w:rPr>
          <w:i/>
          <w:iCs/>
        </w:rPr>
        <w:t>x</w:t>
      </w:r>
      <w:r>
        <w:rPr>
          <w:vertAlign w:val="subscript"/>
        </w:rPr>
        <w:t>i</w:t>
      </w:r>
      <w:r>
        <w:t xml:space="preserve"> is the minority-class sample, </w:t>
      </w:r>
      <w:r>
        <w:rPr>
          <w:i/>
          <w:iCs/>
        </w:rPr>
        <w:t>x</w:t>
      </w:r>
      <w:r>
        <w:rPr>
          <w:vertAlign w:val="subscript"/>
        </w:rPr>
        <w:t>zi</w:t>
      </w:r>
      <w:r>
        <w:t xml:space="preserve"> is one of its </w:t>
      </w:r>
      <w:r>
        <w:rPr>
          <w:i/>
          <w:iCs/>
        </w:rPr>
        <w:t>k</w:t>
      </w:r>
      <w:r>
        <w:t xml:space="preserve">-nearest neighbours selected uniformly at random, and </w:t>
      </w:r>
      <w:r>
        <w:rPr>
          <w:i/>
          <w:iCs/>
        </w:rPr>
        <w:t>gap</w:t>
      </w:r>
      <w:r>
        <w:t xml:space="preserve"> is drawn from the uniform distribution over [0, 1]. The synthetic sample lies on the line segment between </w:t>
      </w:r>
      <w:r>
        <w:rPr>
          <w:i/>
          <w:iCs/>
        </w:rPr>
        <w:t>x</w:t>
      </w:r>
      <w:r>
        <w:rPr>
          <w:vertAlign w:val="subscript"/>
        </w:rPr>
        <w:t>i</w:t>
      </w:r>
      <w:r>
        <w:t xml:space="preserve"> and </w:t>
      </w:r>
      <w:r>
        <w:rPr>
          <w:i/>
          <w:iCs/>
        </w:rPr>
        <w:t>x</w:t>
      </w:r>
      <w:r>
        <w:rPr>
          <w:vertAlign w:val="subscript"/>
        </w:rPr>
        <w:t>zi</w:t>
      </w:r>
      <w:r>
        <w:t>.</w:t>
      </w:r>
    </w:p>
    <w:p w14:paraId="4084D714">
      <w:pPr>
        <w:pStyle w:val="4"/>
        <w:spacing w:line="480" w:lineRule="auto"/>
      </w:pPr>
      <w:r>
        <w:t>3.3.2 Cost-Sensitive Learning</w:t>
      </w:r>
      <w:bookmarkEnd w:id="35"/>
    </w:p>
    <w:p w14:paraId="433BDE27">
      <w:pPr>
        <w:spacing w:after="200" w:line="480" w:lineRule="auto"/>
        <w:jc w:val="both"/>
      </w:pPr>
      <w:r>
        <w:t>The Random Forest classifier is also configured with class_weight='balanced', which adjusts the internal loss function to weight minority class misclassifications more heavily. This provides a second layer of imbalance correction in addition to resampling.</w:t>
      </w:r>
    </w:p>
    <w:p w14:paraId="6AC6475F">
      <w:pPr>
        <w:pStyle w:val="4"/>
        <w:spacing w:line="480" w:lineRule="auto"/>
      </w:pPr>
      <w:bookmarkStart w:id="36" w:name="_Toc228560750"/>
      <w:r>
        <w:t>3.3.3 Evaluation Metrics</w:t>
      </w:r>
      <w:bookmarkEnd w:id="36"/>
    </w:p>
    <w:p w14:paraId="1CCE3758">
      <w:pPr>
        <w:spacing w:after="200" w:line="480" w:lineRule="auto"/>
        <w:jc w:val="both"/>
      </w:pPr>
      <w:r>
        <w:t>The evaluation framework uses four primary metrics. Precision measures the fraction of flagged transactions that are genuine fraud:</w:t>
      </w:r>
    </w:p>
    <w:p w14:paraId="5FADAF56">
      <w:pPr>
        <w:spacing w:after="200" w:line="480" w:lineRule="auto"/>
        <w:jc w:val="both"/>
      </w:pPr>
      <m:oMathPara>
        <m:oMath>
          <m:r>
            <m:rPr/>
            <w:rPr>
              <w:rFonts w:ascii="Cambria Math" w:hAnsi="Cambria Math"/>
            </w:rPr>
            <m:t>\textbfPrecision=</m:t>
          </m:r>
          <m:f>
            <m:fPr>
              <m:ctrlPr>
                <w:rPr>
                  <w:rFonts w:ascii="Cambria Math" w:hAnsi="Cambria Math"/>
                </w:rPr>
              </m:ctrlPr>
            </m:fPr>
            <m:num>
              <m:r>
                <m:rPr/>
                <w:rPr>
                  <w:rFonts w:ascii="Cambria Math" w:hAnsi="Cambria Math"/>
                </w:rPr>
                <m:t>TP</m:t>
              </m:r>
              <m:ctrlPr>
                <w:rPr>
                  <w:rFonts w:ascii="Cambria Math" w:hAnsi="Cambria Math"/>
                  <w:i/>
                </w:rPr>
              </m:ctrlPr>
            </m:num>
            <m:den>
              <m:r>
                <m:rPr/>
                <w:rPr>
                  <w:rFonts w:ascii="Cambria Math" w:hAnsi="Cambria Math"/>
                </w:rPr>
                <m:t>TP+FP</m:t>
              </m:r>
              <m:ctrlPr>
                <w:rPr>
                  <w:rFonts w:ascii="Cambria Math" w:hAnsi="Cambria Math"/>
                  <w:i/>
                </w:rPr>
              </m:ctrlPr>
            </m:den>
          </m:f>
        </m:oMath>
      </m:oMathPara>
    </w:p>
    <w:p w14:paraId="70468DF6">
      <w:pPr>
        <w:spacing w:after="200" w:line="480" w:lineRule="auto"/>
        <w:jc w:val="both"/>
        <w:rPr>
          <w:kern w:val="2"/>
          <w14:ligatures w14:val="standardContextual"/>
        </w:rPr>
      </w:pPr>
    </w:p>
    <w:p w14:paraId="2F518931">
      <w:pPr>
        <w:spacing w:after="200" w:line="480" w:lineRule="auto"/>
        <w:jc w:val="both"/>
      </w:pPr>
      <w:r>
        <w:t>Recall measures the fraction of genuine fraud cases correctly flagged:</w:t>
      </w:r>
    </w:p>
    <w:p w14:paraId="4C4CA91F">
      <w:pPr>
        <w:spacing w:after="200" w:line="480" w:lineRule="auto"/>
        <w:jc w:val="both"/>
      </w:pPr>
      <m:oMathPara>
        <m:oMath>
          <m:r>
            <m:rPr>
              <m:nor/>
              <m:sty m:val="p"/>
            </m:rPr>
            <w:rPr>
              <w:rFonts w:ascii="Cambria Math" w:hAnsi="Cambria Math"/>
            </w:rPr>
            <m:t>Recall</m:t>
          </m:r>
          <m:r>
            <m:rPr/>
            <w:rPr>
              <w:rFonts w:ascii="Cambria Math" w:hAnsi="Cambria Math"/>
            </w:rPr>
            <m:t>=</m:t>
          </m:r>
          <m:f>
            <m:fPr>
              <m:ctrlPr>
                <w:rPr>
                  <w:rFonts w:ascii="Cambria Math" w:hAnsi="Cambria Math"/>
                </w:rPr>
              </m:ctrlPr>
            </m:fPr>
            <m:num>
              <m:r>
                <m:rPr/>
                <w:rPr>
                  <w:rFonts w:ascii="Cambria Math" w:hAnsi="Cambria Math"/>
                </w:rPr>
                <m:t>TP</m:t>
              </m:r>
              <m:ctrlPr>
                <w:rPr>
                  <w:rFonts w:ascii="Cambria Math" w:hAnsi="Cambria Math"/>
                  <w:i/>
                </w:rPr>
              </m:ctrlPr>
            </m:num>
            <m:den>
              <m:r>
                <m:rPr/>
                <w:rPr>
                  <w:rFonts w:ascii="Cambria Math" w:hAnsi="Cambria Math"/>
                </w:rPr>
                <m:t>TP+FN</m:t>
              </m:r>
              <m:ctrlPr>
                <w:rPr>
                  <w:rFonts w:ascii="Cambria Math" w:hAnsi="Cambria Math"/>
                  <w:i/>
                </w:rPr>
              </m:ctrlPr>
            </m:den>
          </m:f>
        </m:oMath>
      </m:oMathPara>
    </w:p>
    <w:p w14:paraId="3A6C4B97">
      <w:pPr>
        <w:spacing w:after="200" w:line="480" w:lineRule="auto"/>
        <w:jc w:val="both"/>
      </w:pPr>
      <w:r>
        <w:t>F1-score is the harmonic mean of the two:</w:t>
      </w:r>
    </w:p>
    <w:p w14:paraId="4BD811C9">
      <w:pPr>
        <w:spacing w:after="200" w:line="480" w:lineRule="auto"/>
        <w:jc w:val="both"/>
      </w:pPr>
      <m:oMathPara>
        <m:oMath>
          <m:r>
            <m:rPr>
              <m:nor/>
              <m:sty m:val="p"/>
            </m:rPr>
            <w:rPr>
              <w:rFonts w:ascii="Cambria Math" w:hAnsi="Cambria Math"/>
            </w:rPr>
            <m:t>F1</m:t>
          </m:r>
          <m:r>
            <m:rPr/>
            <w:rPr>
              <w:rFonts w:ascii="Cambria Math" w:hAnsi="Cambria Math"/>
            </w:rPr>
            <m:t>=</m:t>
          </m:r>
          <m:f>
            <m:fPr>
              <m:ctrlPr>
                <w:rPr>
                  <w:rFonts w:ascii="Cambria Math" w:hAnsi="Cambria Math"/>
                </w:rPr>
              </m:ctrlPr>
            </m:fPr>
            <m:num>
              <m:r>
                <m:rPr/>
                <w:rPr>
                  <w:rFonts w:ascii="Cambria Math" w:hAnsi="Cambria Math"/>
                </w:rPr>
                <m:t>2</m:t>
              </m:r>
              <m:r>
                <m:rPr>
                  <m:sty m:val="p"/>
                </m:rPr>
                <w:rPr>
                  <w:rFonts w:ascii="Cambria Math" w:hAnsi="Cambria Math"/>
                </w:rPr>
                <m:t>×</m:t>
              </m:r>
              <m:d>
                <m:dPr>
                  <m:ctrlPr>
                    <w:rPr>
                      <w:rFonts w:ascii="Cambria Math" w:hAnsi="Cambria Math"/>
                      <w:i/>
                    </w:rPr>
                  </m:ctrlPr>
                </m:dPr>
                <m:e>
                  <m:r>
                    <m:rPr>
                      <m:nor/>
                      <m:sty m:val="p"/>
                    </m:rPr>
                    <w:rPr>
                      <w:rFonts w:ascii="Cambria Math" w:hAnsi="Cambria Math"/>
                    </w:rPr>
                    <m:t>Precision</m:t>
                  </m:r>
                  <m:r>
                    <m:rPr>
                      <m:sty m:val="p"/>
                    </m:rPr>
                    <w:rPr>
                      <w:rFonts w:ascii="Cambria Math" w:hAnsi="Cambria Math"/>
                    </w:rPr>
                    <m:t>×</m:t>
                  </m:r>
                  <m:r>
                    <m:rPr>
                      <m:nor/>
                      <m:sty m:val="p"/>
                    </m:rPr>
                    <w:rPr>
                      <w:rFonts w:ascii="Cambria Math" w:hAnsi="Cambria Math"/>
                    </w:rPr>
                    <m:t>Recall</m:t>
                  </m:r>
                  <m:ctrlPr>
                    <w:rPr>
                      <w:rFonts w:ascii="Cambria Math" w:hAnsi="Cambria Math"/>
                      <w:i/>
                    </w:rPr>
                  </m:ctrlPr>
                </m:e>
              </m:d>
              <m:ctrlPr>
                <w:rPr>
                  <w:rFonts w:ascii="Cambria Math" w:hAnsi="Cambria Math"/>
                  <w:i/>
                </w:rPr>
              </m:ctrlPr>
            </m:num>
            <m:den>
              <m:r>
                <m:rPr>
                  <m:nor/>
                  <m:sty m:val="p"/>
                </m:rPr>
                <w:rPr>
                  <w:rFonts w:ascii="Cambria Math" w:hAnsi="Cambria Math"/>
                </w:rPr>
                <m:t>Precision</m:t>
              </m:r>
              <m:r>
                <m:rPr/>
                <w:rPr>
                  <w:rFonts w:ascii="Cambria Math" w:hAnsi="Cambria Math"/>
                </w:rPr>
                <m:t>+</m:t>
              </m:r>
              <m:r>
                <m:rPr>
                  <m:nor/>
                  <m:sty m:val="p"/>
                </m:rPr>
                <w:rPr>
                  <w:rFonts w:ascii="Cambria Math" w:hAnsi="Cambria Math"/>
                </w:rPr>
                <m:t>Recall</m:t>
              </m:r>
              <m:ctrlPr>
                <w:rPr>
                  <w:rFonts w:ascii="Cambria Math" w:hAnsi="Cambria Math"/>
                  <w:i/>
                </w:rPr>
              </m:ctrlPr>
            </m:den>
          </m:f>
        </m:oMath>
      </m:oMathPara>
    </w:p>
    <w:p w14:paraId="1FFA9928">
      <w:pPr>
        <w:spacing w:after="200" w:line="480" w:lineRule="auto"/>
        <w:jc w:val="both"/>
        <w:rPr>
          <w:kern w:val="2"/>
          <w14:ligatures w14:val="standardContextual"/>
        </w:rPr>
      </w:pPr>
      <w:bookmarkStart w:id="37" w:name="_Toc228560751"/>
      <w:r>
        <w:t>ROC-AUC summarises discriminative ability across all possible decision thresholds by measuring how well the model ranks fraudulent transactions above legitimate ones. Accuracy is not used as a primary metric because, as Dal Pozzolo et al. (2015) show, it can be misleading under extreme class imbalance: a trivial classifier that always predicts the majority class achieves very high accuracy while detecting no fraud.</w:t>
      </w:r>
    </w:p>
    <w:p w14:paraId="252C8691">
      <w:pPr>
        <w:pStyle w:val="3"/>
        <w:spacing w:line="480" w:lineRule="auto"/>
      </w:pPr>
      <w:r>
        <w:t>3.4 Model Selection</w:t>
      </w:r>
      <w:bookmarkEnd w:id="37"/>
    </w:p>
    <w:p w14:paraId="38332C1D">
      <w:pPr>
        <w:pStyle w:val="4"/>
        <w:spacing w:line="480" w:lineRule="auto"/>
      </w:pPr>
      <w:bookmarkStart w:id="38" w:name="_Toc228560752"/>
      <w:r>
        <w:t>3.4.1 Random Forest Configuration</w:t>
      </w:r>
      <w:bookmarkEnd w:id="38"/>
    </w:p>
    <w:p w14:paraId="3DF34A73">
      <w:pPr>
        <w:spacing w:after="200" w:line="480" w:lineRule="auto"/>
        <w:jc w:val="both"/>
      </w:pPr>
      <w:r>
        <w:t xml:space="preserve">Random Forest was selected based on the literature reviewed in Chapter 2 </w:t>
      </w:r>
      <w:r>
        <w:rPr>
          <w:lang w:val="en"/>
        </w:rPr>
        <w:t>,</w:t>
      </w:r>
      <w:r>
        <w:t xml:space="preserve"> the consistent empirical performance reported by Varmedja et al. (2019), Xuan et al. (2018), and Gaav et al. (2025) </w:t>
      </w:r>
      <w:r>
        <w:rPr>
          <w:lang w:val="en"/>
        </w:rPr>
        <w:t>,</w:t>
      </w:r>
      <w:r>
        <w:t xml:space="preserve"> and confirmed through a direct benchmark against XGBoost. In that comparison, Random Forest achieved an ROC-AUC of 99.98% and an F1-score of 85.6% without SMOTE, compared with XGBoost's ROC-AUC of 98.7% and F1-score of 84%. The final configuration is n_estimators=200, min_samples_split=5, min_samples_leaf=2, max_features='sqrt', class_weight='balanced', oob_score=True, n_jobs=-1, random_state=42. The min_samples parameters prevent overfitting to synthetic SMOTE examples. Setting oob_score=True enables out-of-bag validation as an additional internal check.</w:t>
      </w:r>
    </w:p>
    <w:p w14:paraId="61D79117">
      <w:pPr>
        <w:spacing w:after="200" w:line="480" w:lineRule="auto"/>
        <w:jc w:val="both"/>
      </w:pPr>
      <w:r>
        <w:t>The Gini impurity criterion used for node splitting is:</w:t>
      </w:r>
    </w:p>
    <w:p w14:paraId="76F7419E">
      <w:pPr>
        <w:spacing w:after="200" w:line="480" w:lineRule="auto"/>
        <w:jc w:val="both"/>
      </w:pPr>
      <m:oMathPara>
        <m:oMath>
          <m:r>
            <m:rPr/>
            <w:rPr>
              <w:rFonts w:ascii="Cambria Math" w:hAnsi="Cambria Math"/>
            </w:rPr>
            <m:t>G=</m:t>
          </m:r>
          <m:nary>
            <m:naryPr>
              <m:chr m:val="∑"/>
              <m:ctrlPr>
                <w:rPr>
                  <w:rFonts w:ascii="Cambria Math" w:hAnsi="Cambria Math"/>
                </w:rPr>
              </m:ctrlPr>
            </m:naryPr>
            <m:sub>
              <m:r>
                <m:rPr/>
                <w:rPr>
                  <w:rFonts w:ascii="Cambria Math" w:hAnsi="Cambria Math"/>
                </w:rPr>
                <m:t>i=1</m:t>
              </m:r>
              <m:ctrlPr>
                <w:rPr>
                  <w:rFonts w:ascii="Cambria Math" w:hAnsi="Cambria Math"/>
                  <w:i/>
                </w:rPr>
              </m:ctrlPr>
            </m:sub>
            <m:sup>
              <m:r>
                <m:rPr/>
                <w:rPr>
                  <w:rFonts w:ascii="Cambria Math" w:hAnsi="Cambria Math"/>
                </w:rPr>
                <m:t>C</m:t>
              </m:r>
              <m:ctrlPr>
                <w:rPr>
                  <w:rFonts w:ascii="Cambria Math" w:hAnsi="Cambria Math"/>
                  <w:i/>
                </w:rPr>
              </m:ctrlPr>
            </m:sup>
            <m:e>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i</m:t>
                  </m:r>
                  <m:ctrlPr>
                    <w:rPr>
                      <w:rFonts w:ascii="Cambria Math" w:hAnsi="Cambria Math"/>
                      <w:i/>
                    </w:rPr>
                  </m:ctrlPr>
                </m:sub>
              </m:sSub>
              <m:ctrlPr>
                <w:rPr>
                  <w:rFonts w:ascii="Cambria Math" w:hAnsi="Cambria Math"/>
                  <w:i/>
                </w:rPr>
              </m:ctrlPr>
            </m:e>
          </m:nary>
          <m:r>
            <m:rPr/>
            <w:rPr>
              <w:rFonts w:ascii="Cambria Math" w:hAnsi="Cambria Math"/>
            </w:rPr>
            <m:t> </m:t>
          </m:r>
          <m:d>
            <m:dPr>
              <m:ctrlPr>
                <w:rPr>
                  <w:rFonts w:ascii="Cambria Math" w:hAnsi="Cambria Math"/>
                  <w:i/>
                </w:rPr>
              </m:ctrlPr>
            </m:dPr>
            <m:e>
              <m:r>
                <m:rPr/>
                <w:rPr>
                  <w:rFonts w:ascii="Cambria Math" w:hAnsi="Cambria Math"/>
                </w:rPr>
                <m:t>1−</m:t>
              </m:r>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i</m:t>
                  </m:r>
                  <m:ctrlPr>
                    <w:rPr>
                      <w:rFonts w:ascii="Cambria Math" w:hAnsi="Cambria Math"/>
                      <w:i/>
                    </w:rPr>
                  </m:ctrlPr>
                </m:sub>
              </m:sSub>
              <m:ctrlPr>
                <w:rPr>
                  <w:rFonts w:ascii="Cambria Math" w:hAnsi="Cambria Math"/>
                  <w:i/>
                </w:rPr>
              </m:ctrlPr>
            </m:e>
          </m:d>
        </m:oMath>
      </m:oMathPara>
    </w:p>
    <w:p w14:paraId="65073F21">
      <w:pPr>
        <w:spacing w:after="200" w:line="480" w:lineRule="auto"/>
        <w:jc w:val="both"/>
        <w:rPr>
          <w:kern w:val="2"/>
          <w14:ligatures w14:val="standardContextual"/>
        </w:rPr>
      </w:pPr>
      <w:bookmarkStart w:id="39" w:name="_Toc228560753"/>
      <w:r>
        <w:t xml:space="preserve">where </w:t>
      </w:r>
      <w:r>
        <w:rPr>
          <w:i/>
          <w:iCs/>
        </w:rPr>
        <w:t>C</w:t>
      </w:r>
      <w:r>
        <w:t xml:space="preserve"> is the number of classes and </w:t>
      </w:r>
      <w:r>
        <w:rPr>
          <w:i/>
          <w:iCs/>
        </w:rPr>
        <w:t>p</w:t>
      </w:r>
      <w:r>
        <w:rPr>
          <w:vertAlign w:val="subscript"/>
        </w:rPr>
        <w:t>i</w:t>
      </w:r>
      <w:r>
        <w:t xml:space="preserve"> is the proportion of samples belonging to class </w:t>
      </w:r>
      <w:r>
        <w:rPr>
          <w:i/>
          <w:iCs/>
        </w:rPr>
        <w:t>i</w:t>
      </w:r>
      <w:r>
        <w:t xml:space="preserve"> at the node. The algorithm selects the feature and threshold that minimise the weighted average Gini impurity of the resulting child nodes.</w:t>
      </w:r>
    </w:p>
    <w:p w14:paraId="33F1542F">
      <w:pPr>
        <w:pStyle w:val="4"/>
        <w:spacing w:line="480" w:lineRule="auto"/>
      </w:pPr>
      <w:r>
        <w:t>3.4.2 Logistic Regression Baseline</w:t>
      </w:r>
      <w:bookmarkEnd w:id="39"/>
    </w:p>
    <w:p w14:paraId="4C3758F4">
      <w:pPr>
        <w:spacing w:after="200" w:line="480" w:lineRule="auto"/>
        <w:jc w:val="both"/>
      </w:pPr>
      <w:r>
        <w:t>A Logistic Regression classifier serves as a baseline to quantify the performance gain from the ensemble approach. It is trained on StandardScaler-transformed features with max_iter=2000. The scaler is fitted on the training data and applied separately to the test set. Scaling is necessary because the LBFGS solver fails to converge when features have substantially different numeric ranges, producing Convergence Warning and misleadingly low metrics.</w:t>
      </w:r>
    </w:p>
    <w:p w14:paraId="025C663B">
      <w:pPr>
        <w:pStyle w:val="4"/>
        <w:spacing w:line="480" w:lineRule="auto"/>
      </w:pPr>
      <w:bookmarkStart w:id="40" w:name="_Toc228560754"/>
      <w:r>
        <w:t>3.4.3 Models Not Implemented</w:t>
      </w:r>
      <w:bookmarkEnd w:id="40"/>
    </w:p>
    <w:p w14:paraId="2DCA93E4">
      <w:pPr>
        <w:spacing w:after="200" w:line="480" w:lineRule="auto"/>
        <w:jc w:val="both"/>
      </w:pPr>
      <w:r>
        <w:t xml:space="preserve">Isolation Forest and LSTM networks were included in the original project proposal. Neither was implemented. Gaav et al. (2025) found marginal performance differences between Random Forest and gradient boosting on standard fraud detection benchmarks </w:t>
      </w:r>
      <w:r>
        <w:rPr>
          <w:lang w:val="en"/>
        </w:rPr>
        <w:t>,</w:t>
      </w:r>
      <w:r>
        <w:t xml:space="preserve"> typically one to two F1 percentage points </w:t>
      </w:r>
      <w:r>
        <w:rPr>
          <w:lang w:val="en"/>
        </w:rPr>
        <w:t>,</w:t>
      </w:r>
      <w:r>
        <w:t xml:space="preserve"> and available development time was directed toward the LLM explainability layer, which is the primary novel contribution. This decision is acknowledged in Chapter 5 when comparing Aegis against related systems.</w:t>
      </w:r>
    </w:p>
    <w:p w14:paraId="4F985CFC">
      <w:pPr>
        <w:pStyle w:val="3"/>
        <w:spacing w:line="480" w:lineRule="auto"/>
      </w:pPr>
      <w:bookmarkStart w:id="41" w:name="_Toc228560755"/>
      <w:r>
        <w:t>3.5 System Architecture</w:t>
      </w:r>
      <w:bookmarkEnd w:id="41"/>
    </w:p>
    <w:p w14:paraId="7BDABB89">
      <w:pPr>
        <w:spacing w:after="200" w:line="480" w:lineRule="auto"/>
        <w:jc w:val="both"/>
      </w:pPr>
      <w:r>
        <w:t xml:space="preserve">Aegis consists of three integrated components: the training pipeline (train_model.py, executed in Kaggle), the web application (app.py, executed with Streamlit), and two API integrations </w:t>
      </w:r>
      <w:r>
        <w:rPr>
          <w:lang w:val="en"/>
        </w:rPr>
        <w:t>,</w:t>
      </w:r>
      <w:r>
        <w:t xml:space="preserve"> Groq for report generation and OpenRouter for the advisory chat. The training pipeline produces fraud_model.pkl, which the web application loads at startup via @st.cache_resource. Transaction input enters through the interface, is passed to the model for prediction, and the result feeds the report generation module. The advisor module operates independently via the navigation bar.</w:t>
      </w:r>
    </w:p>
    <w:p w14:paraId="1D1CBADD">
      <w:pPr>
        <w:spacing w:after="200" w:line="480" w:lineRule="auto"/>
        <w:jc w:val="both"/>
      </w:pPr>
      <w:r>
        <w:t>The model is saved as a dictionary bundle containing the Random Forest Classifier object, the list of feature columns, a metrics dictionary holding the four evaluation metrics, a feature importances dictionary, and a training timestamp. Packaging the metrics within the bundle ensures the web application always displays values that correspond to the loaded model rather than potentially outdated, hard-coded constants.</w:t>
      </w:r>
    </w:p>
    <w:p w14:paraId="723982A1">
      <w:pPr>
        <w:pStyle w:val="3"/>
        <w:spacing w:line="480" w:lineRule="auto"/>
      </w:pPr>
      <w:bookmarkStart w:id="42" w:name="_Toc228560756"/>
      <w:r>
        <w:t>3.6 Explainability Design</w:t>
      </w:r>
      <w:bookmarkEnd w:id="42"/>
    </w:p>
    <w:p w14:paraId="23554C3B">
      <w:pPr>
        <w:pStyle w:val="4"/>
        <w:spacing w:line="480" w:lineRule="auto"/>
      </w:pPr>
      <w:bookmarkStart w:id="43" w:name="_Toc228560757"/>
      <w:r>
        <w:t>3.6.1 Why SHAP Was Rejected</w:t>
      </w:r>
      <w:bookmarkEnd w:id="43"/>
    </w:p>
    <w:p w14:paraId="1A5A4316">
      <w:pPr>
        <w:spacing w:after="200" w:line="480" w:lineRule="auto"/>
        <w:jc w:val="both"/>
      </w:pPr>
      <w:r>
        <w:t>SHAP was considered and rejected as the primary explainability approach. On the ULB dataset, SHAP values for V1 through V28 produce outputs of the form 'V14 contributed −0.82 to this prediction.' Mathematically valid; operationally useless for a compliance officer. As argued in Section 2.6.2, the anonymisation that protects cardholder privacy simultaneously prevents meaningful interpretation of SHAP output for this specific dataset.</w:t>
      </w:r>
    </w:p>
    <w:p w14:paraId="13CC59B1">
      <w:pPr>
        <w:pStyle w:val="4"/>
        <w:spacing w:line="480" w:lineRule="auto"/>
      </w:pPr>
      <w:bookmarkStart w:id="44" w:name="_Toc228560758"/>
      <w:r>
        <w:t>3.6.2 Behavioural Context Translation</w:t>
      </w:r>
      <w:bookmarkEnd w:id="44"/>
    </w:p>
    <w:p w14:paraId="738915C2">
      <w:pPr>
        <w:spacing w:after="200" w:line="480" w:lineRule="auto"/>
        <w:jc w:val="both"/>
        <w:rPr>
          <w:kern w:val="2"/>
          <w14:ligatures w14:val="standardContextual"/>
        </w:rPr>
      </w:pPr>
      <w:bookmarkStart w:id="45" w:name="_Toc228560759"/>
      <w:r>
        <w:t>The behavioural context translation layer converts raw prediction signals into fraud-domain language before constructing the LLM prompt. Transaction amount is categorised: under EUR 1.00 is described as potential card-testing behaviour (a common pattern in which a stolen card is verified before larger purchases); EUR 1.00–10.00 as unusually small; above EUR 1,000.00 as significantly above the population mean; otherwise as within a normal spending range. The time offset is converted to an approximate hour of the day, with transactions between midnight and 6 am considered potentially higher risk because they occur outside typical daytime spending patterns. The PCA anomaly count measures how many of the top five features by model importance have absolute values exceeding two or three standard deviations from zero, yielding statements such as 'three of the top predictive signals show notable deviation from the legitimate transaction baseline.'</w:t>
      </w:r>
    </w:p>
    <w:p w14:paraId="1E76D265">
      <w:pPr>
        <w:pStyle w:val="4"/>
        <w:spacing w:line="480" w:lineRule="auto"/>
      </w:pPr>
      <w:r>
        <w:t>3.6.3 LLM Prompt Design</w:t>
      </w:r>
      <w:bookmarkEnd w:id="45"/>
    </w:p>
    <w:p w14:paraId="4F7224AA">
      <w:pPr>
        <w:spacing w:after="200" w:line="480" w:lineRule="auto"/>
        <w:jc w:val="both"/>
      </w:pPr>
      <w:r>
        <w:t xml:space="preserve">The report generation prompt supplies the translated behavioural context, the prediction verdict, the fraud probability, and the risk band. It specifies five required sections </w:t>
      </w:r>
      <w:r>
        <w:rPr>
          <w:lang w:val="en"/>
        </w:rPr>
        <w:t>,</w:t>
      </w:r>
      <w:r>
        <w:t xml:space="preserve"> Executive Summary, Transaction Analysis, Behavioural Risk Indicators, Risk Assessment, and Recommended Actions </w:t>
      </w:r>
      <w:r>
        <w:rPr>
          <w:lang w:val="en"/>
        </w:rPr>
        <w:t>,</w:t>
      </w:r>
      <w:r>
        <w:t xml:space="preserve"> and explicitly prohibits any reference to V-column names. The model is instructed to write for a compliance officer rather than a data scientist. This structure follows the chain-of-thought methodology described by Wei et al. (2022).</w:t>
      </w:r>
    </w:p>
    <w:p w14:paraId="68F55B88">
      <w:pPr>
        <w:pStyle w:val="3"/>
        <w:spacing w:line="480" w:lineRule="auto"/>
      </w:pPr>
      <w:bookmarkStart w:id="46" w:name="_Toc228560760"/>
      <w:r>
        <w:t>3.7 Web Interface Design</w:t>
      </w:r>
      <w:bookmarkEnd w:id="46"/>
    </w:p>
    <w:p w14:paraId="27C55F14">
      <w:pPr>
        <w:spacing w:after="200" w:line="480" w:lineRule="auto"/>
        <w:jc w:val="both"/>
      </w:pPr>
      <w:r>
        <w:t xml:space="preserve">Three design principles guided the Aegis interface. First, it presents as a consumer product rather than a developer tool: no model names, API details, or technical metrics are visible in the main interface. Second, the detection is designed to feel genuine </w:t>
      </w:r>
      <w:r>
        <w:rPr>
          <w:lang w:val="en"/>
        </w:rPr>
        <w:t>,</w:t>
      </w:r>
      <w:r>
        <w:t xml:space="preserve"> the two sample transaction buttons are labelled 'Sample Transaction A' and 'Sample Transaction B' rather than 'Fraud' and 'Legitimate', so the model's verdict carries the weight of an actual determination rather than confirming a label the button already communicated. Third, a Custom Transaction button generates V1–V28 randomly from a standard normal distribution, reflecting the statistical distribution of PCA components, while presenting editable Time and Amount fields. This enables genuinely open-ended prediction demonstrations not confined to two pre-defined examples.</w:t>
      </w:r>
    </w:p>
    <w:p w14:paraId="59DD409B">
      <w:pPr>
        <w:pStyle w:val="3"/>
        <w:spacing w:line="480" w:lineRule="auto"/>
      </w:pPr>
      <w:bookmarkStart w:id="47" w:name="_Toc228560761"/>
      <w:r>
        <w:t>3.8 Evaluation Strategy</w:t>
      </w:r>
      <w:bookmarkEnd w:id="47"/>
    </w:p>
    <w:p w14:paraId="3CDDD272">
      <w:pPr>
        <w:spacing w:after="200" w:line="480" w:lineRule="auto"/>
        <w:jc w:val="both"/>
        <w:rPr>
          <w:kern w:val="2"/>
          <w14:ligatures w14:val="standardContextual"/>
        </w:rPr>
      </w:pPr>
      <w:bookmarkStart w:id="48" w:name="_Toc228560762"/>
      <w:r>
        <w:t>The system is evaluated on a held-out test set comprising 20% of the original dataset, stratified to preserve the 0.172% fraud rate. Primary metrics are F1-score, precision, recall, and ROC-AUC. Five-fold stratified cross-validation on the SMOTE-balanced training data provides a stability estimate. A confusion matrix documents the specific outcome counts, and feature importances from the trained model identify the top predictive components. Comparison with two related systems provides external validation. LLM-generated reports are evaluated qualitatively by running multiple generations on representative fraud and legitimate cases, checking for factual consistency with the input context, readability for a non-technical audience, and compliance with the no-V-column-names constraint.</w:t>
      </w:r>
    </w:p>
    <w:p w14:paraId="79D4FF32">
      <w:pPr>
        <w:pStyle w:val="2"/>
        <w:spacing w:line="480" w:lineRule="auto"/>
      </w:pPr>
      <w:r>
        <w:t>CHAPTER 4</w:t>
      </w:r>
      <w:bookmarkEnd w:id="48"/>
    </w:p>
    <w:p w14:paraId="7B4F25B5">
      <w:pPr>
        <w:pStyle w:val="2"/>
        <w:spacing w:line="480" w:lineRule="auto"/>
      </w:pPr>
      <w:bookmarkStart w:id="49" w:name="_Toc228560763"/>
      <w:r>
        <w:t>Implementation</w:t>
      </w:r>
      <w:bookmarkEnd w:id="49"/>
    </w:p>
    <w:p w14:paraId="26669D65">
      <w:pPr>
        <w:pStyle w:val="4"/>
        <w:spacing w:line="480" w:lineRule="auto"/>
      </w:pPr>
      <w:bookmarkStart w:id="50" w:name="_Toc228560764"/>
      <w:r>
        <w:t>4.1 Introduction</w:t>
      </w:r>
      <w:bookmarkEnd w:id="50"/>
    </w:p>
    <w:p w14:paraId="26D7C7F6">
      <w:pPr>
        <w:spacing w:after="200" w:line="480" w:lineRule="auto"/>
        <w:jc w:val="both"/>
      </w:pPr>
      <w:r>
        <w:t>This chapter describes the technical implementation of Aegis in detail, covering the development environment, the Kaggle training pipeline, the Streamlit web application, the Groq-based report-generation module, the OpenRouter fraud-advisory module, the fpdf2 PDF export function, and the light/dark theme system.</w:t>
      </w:r>
    </w:p>
    <w:tbl>
      <w:tblPr>
        <w:tblStyle w:val="24"/>
        <w:tblW w:w="8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41"/>
        <w:gridCol w:w="2153"/>
        <w:gridCol w:w="1553"/>
        <w:gridCol w:w="3153"/>
      </w:tblGrid>
      <w:tr w14:paraId="05D48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shd w:val="clear" w:color="auto" w:fill="1F3864"/>
            <w:tcMar>
              <w:top w:w="60" w:type="dxa"/>
              <w:left w:w="100" w:type="dxa"/>
              <w:bottom w:w="60" w:type="dxa"/>
              <w:right w:w="100" w:type="dxa"/>
            </w:tcMar>
          </w:tcPr>
          <w:p w14:paraId="3F1EE3F0">
            <w:pPr>
              <w:spacing w:line="480" w:lineRule="auto"/>
              <w:jc w:val="both"/>
            </w:pPr>
            <w:r>
              <w:rPr>
                <w:b/>
                <w:bCs/>
                <w:color w:val="FFFFFF"/>
              </w:rPr>
              <w:t>Component</w:t>
            </w:r>
          </w:p>
        </w:tc>
        <w:tc>
          <w:tcPr>
            <w:tcW w:w="0" w:type="auto"/>
            <w:shd w:val="clear" w:color="auto" w:fill="1F3864"/>
            <w:tcMar>
              <w:top w:w="60" w:type="dxa"/>
              <w:left w:w="100" w:type="dxa"/>
              <w:bottom w:w="60" w:type="dxa"/>
              <w:right w:w="100" w:type="dxa"/>
            </w:tcMar>
          </w:tcPr>
          <w:p w14:paraId="1F1B312D">
            <w:pPr>
              <w:spacing w:line="480" w:lineRule="auto"/>
              <w:jc w:val="both"/>
            </w:pPr>
            <w:r>
              <w:rPr>
                <w:b/>
                <w:bCs/>
                <w:color w:val="FFFFFF"/>
              </w:rPr>
              <w:t>Library</w:t>
            </w:r>
          </w:p>
        </w:tc>
        <w:tc>
          <w:tcPr>
            <w:tcW w:w="0" w:type="auto"/>
            <w:shd w:val="clear" w:color="auto" w:fill="1F3864"/>
            <w:tcMar>
              <w:top w:w="60" w:type="dxa"/>
              <w:left w:w="100" w:type="dxa"/>
              <w:bottom w:w="60" w:type="dxa"/>
              <w:right w:w="100" w:type="dxa"/>
            </w:tcMar>
          </w:tcPr>
          <w:p w14:paraId="713A4DA8">
            <w:pPr>
              <w:spacing w:line="480" w:lineRule="auto"/>
              <w:jc w:val="both"/>
            </w:pPr>
            <w:r>
              <w:rPr>
                <w:b/>
                <w:bCs/>
                <w:color w:val="FFFFFF"/>
              </w:rPr>
              <w:t>Version</w:t>
            </w:r>
          </w:p>
        </w:tc>
        <w:tc>
          <w:tcPr>
            <w:tcW w:w="0" w:type="auto"/>
            <w:shd w:val="clear" w:color="auto" w:fill="1F3864"/>
            <w:tcMar>
              <w:top w:w="60" w:type="dxa"/>
              <w:left w:w="100" w:type="dxa"/>
              <w:bottom w:w="60" w:type="dxa"/>
              <w:right w:w="100" w:type="dxa"/>
            </w:tcMar>
          </w:tcPr>
          <w:p w14:paraId="64C21CB7">
            <w:pPr>
              <w:spacing w:line="480" w:lineRule="auto"/>
              <w:jc w:val="both"/>
            </w:pPr>
            <w:r>
              <w:rPr>
                <w:b/>
                <w:bCs/>
                <w:color w:val="FFFFFF"/>
              </w:rPr>
              <w:t>Purpose</w:t>
            </w:r>
          </w:p>
        </w:tc>
      </w:tr>
      <w:tr w14:paraId="5FBA3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shd w:val="clear" w:color="auto" w:fill="EBF3FB"/>
            <w:tcMar>
              <w:top w:w="60" w:type="dxa"/>
              <w:left w:w="100" w:type="dxa"/>
              <w:bottom w:w="60" w:type="dxa"/>
              <w:right w:w="100" w:type="dxa"/>
            </w:tcMar>
          </w:tcPr>
          <w:p w14:paraId="465455DE">
            <w:pPr>
              <w:spacing w:line="480" w:lineRule="auto"/>
              <w:jc w:val="both"/>
            </w:pPr>
            <w:r>
              <w:t>Training</w:t>
            </w:r>
          </w:p>
        </w:tc>
        <w:tc>
          <w:tcPr>
            <w:tcW w:w="0" w:type="auto"/>
            <w:shd w:val="clear" w:color="auto" w:fill="EBF3FB"/>
            <w:tcMar>
              <w:top w:w="60" w:type="dxa"/>
              <w:left w:w="100" w:type="dxa"/>
              <w:bottom w:w="60" w:type="dxa"/>
              <w:right w:w="100" w:type="dxa"/>
            </w:tcMar>
          </w:tcPr>
          <w:p w14:paraId="2C6F1106">
            <w:pPr>
              <w:spacing w:line="480" w:lineRule="auto"/>
              <w:jc w:val="both"/>
            </w:pPr>
            <w:r>
              <w:t>scikit-learn</w:t>
            </w:r>
          </w:p>
        </w:tc>
        <w:tc>
          <w:tcPr>
            <w:tcW w:w="0" w:type="auto"/>
            <w:shd w:val="clear" w:color="auto" w:fill="EBF3FB"/>
            <w:tcMar>
              <w:top w:w="60" w:type="dxa"/>
              <w:left w:w="100" w:type="dxa"/>
              <w:bottom w:w="60" w:type="dxa"/>
              <w:right w:w="100" w:type="dxa"/>
            </w:tcMar>
          </w:tcPr>
          <w:p w14:paraId="3BECD1D2">
            <w:pPr>
              <w:spacing w:line="480" w:lineRule="auto"/>
              <w:jc w:val="both"/>
            </w:pPr>
            <w:r>
              <w:t>1.6.1</w:t>
            </w:r>
          </w:p>
        </w:tc>
        <w:tc>
          <w:tcPr>
            <w:tcW w:w="0" w:type="auto"/>
            <w:shd w:val="clear" w:color="auto" w:fill="EBF3FB"/>
            <w:tcMar>
              <w:top w:w="60" w:type="dxa"/>
              <w:left w:w="100" w:type="dxa"/>
              <w:bottom w:w="60" w:type="dxa"/>
              <w:right w:w="100" w:type="dxa"/>
            </w:tcMar>
          </w:tcPr>
          <w:p w14:paraId="073A3970">
            <w:pPr>
              <w:spacing w:line="480" w:lineRule="auto"/>
              <w:jc w:val="both"/>
            </w:pPr>
            <w:r>
              <w:t>RF, LR, evaluation metrics</w:t>
            </w:r>
          </w:p>
        </w:tc>
      </w:tr>
      <w:tr w14:paraId="41C9F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shd w:val="clear" w:color="auto" w:fill="FFFFFF"/>
            <w:tcMar>
              <w:top w:w="60" w:type="dxa"/>
              <w:left w:w="100" w:type="dxa"/>
              <w:bottom w:w="60" w:type="dxa"/>
              <w:right w:w="100" w:type="dxa"/>
            </w:tcMar>
          </w:tcPr>
          <w:p w14:paraId="04E30B19">
            <w:pPr>
              <w:spacing w:line="480" w:lineRule="auto"/>
              <w:jc w:val="both"/>
            </w:pPr>
            <w:r>
              <w:t>Training</w:t>
            </w:r>
          </w:p>
        </w:tc>
        <w:tc>
          <w:tcPr>
            <w:tcW w:w="0" w:type="auto"/>
            <w:shd w:val="clear" w:color="auto" w:fill="FFFFFF"/>
            <w:tcMar>
              <w:top w:w="60" w:type="dxa"/>
              <w:left w:w="100" w:type="dxa"/>
              <w:bottom w:w="60" w:type="dxa"/>
              <w:right w:w="100" w:type="dxa"/>
            </w:tcMar>
          </w:tcPr>
          <w:p w14:paraId="152D6FD6">
            <w:pPr>
              <w:spacing w:line="480" w:lineRule="auto"/>
              <w:jc w:val="both"/>
            </w:pPr>
            <w:r>
              <w:t>imbalanced-learn</w:t>
            </w:r>
          </w:p>
        </w:tc>
        <w:tc>
          <w:tcPr>
            <w:tcW w:w="0" w:type="auto"/>
            <w:shd w:val="clear" w:color="auto" w:fill="FFFFFF"/>
            <w:tcMar>
              <w:top w:w="60" w:type="dxa"/>
              <w:left w:w="100" w:type="dxa"/>
              <w:bottom w:w="60" w:type="dxa"/>
              <w:right w:w="100" w:type="dxa"/>
            </w:tcMar>
          </w:tcPr>
          <w:p w14:paraId="0B282F99">
            <w:pPr>
              <w:spacing w:line="480" w:lineRule="auto"/>
              <w:jc w:val="both"/>
            </w:pPr>
            <w:r>
              <w:t>0.12.0</w:t>
            </w:r>
          </w:p>
        </w:tc>
        <w:tc>
          <w:tcPr>
            <w:tcW w:w="0" w:type="auto"/>
            <w:shd w:val="clear" w:color="auto" w:fill="FFFFFF"/>
            <w:tcMar>
              <w:top w:w="60" w:type="dxa"/>
              <w:left w:w="100" w:type="dxa"/>
              <w:bottom w:w="60" w:type="dxa"/>
              <w:right w:w="100" w:type="dxa"/>
            </w:tcMar>
          </w:tcPr>
          <w:p w14:paraId="1FB6C5AB">
            <w:pPr>
              <w:spacing w:line="480" w:lineRule="auto"/>
              <w:jc w:val="both"/>
            </w:pPr>
            <w:r>
              <w:t>SMOTE implementation</w:t>
            </w:r>
          </w:p>
        </w:tc>
      </w:tr>
      <w:tr w14:paraId="21149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shd w:val="clear" w:color="auto" w:fill="EBF3FB"/>
            <w:tcMar>
              <w:top w:w="60" w:type="dxa"/>
              <w:left w:w="100" w:type="dxa"/>
              <w:bottom w:w="60" w:type="dxa"/>
              <w:right w:w="100" w:type="dxa"/>
            </w:tcMar>
          </w:tcPr>
          <w:p w14:paraId="7C0B33F4">
            <w:pPr>
              <w:spacing w:line="480" w:lineRule="auto"/>
              <w:jc w:val="both"/>
            </w:pPr>
            <w:r>
              <w:t>Training</w:t>
            </w:r>
          </w:p>
        </w:tc>
        <w:tc>
          <w:tcPr>
            <w:tcW w:w="0" w:type="auto"/>
            <w:shd w:val="clear" w:color="auto" w:fill="EBF3FB"/>
            <w:tcMar>
              <w:top w:w="60" w:type="dxa"/>
              <w:left w:w="100" w:type="dxa"/>
              <w:bottom w:w="60" w:type="dxa"/>
              <w:right w:w="100" w:type="dxa"/>
            </w:tcMar>
          </w:tcPr>
          <w:p w14:paraId="54D5178B">
            <w:pPr>
              <w:spacing w:line="480" w:lineRule="auto"/>
              <w:jc w:val="both"/>
            </w:pPr>
            <w:r>
              <w:t>pandas/numpy</w:t>
            </w:r>
          </w:p>
        </w:tc>
        <w:tc>
          <w:tcPr>
            <w:tcW w:w="0" w:type="auto"/>
            <w:shd w:val="clear" w:color="auto" w:fill="EBF3FB"/>
            <w:tcMar>
              <w:top w:w="60" w:type="dxa"/>
              <w:left w:w="100" w:type="dxa"/>
              <w:bottom w:w="60" w:type="dxa"/>
              <w:right w:w="100" w:type="dxa"/>
            </w:tcMar>
          </w:tcPr>
          <w:p w14:paraId="0DF50BBC">
            <w:pPr>
              <w:spacing w:line="480" w:lineRule="auto"/>
              <w:jc w:val="both"/>
            </w:pPr>
            <w:r>
              <w:t>2.0+/1.26+</w:t>
            </w:r>
          </w:p>
        </w:tc>
        <w:tc>
          <w:tcPr>
            <w:tcW w:w="0" w:type="auto"/>
            <w:shd w:val="clear" w:color="auto" w:fill="EBF3FB"/>
            <w:tcMar>
              <w:top w:w="60" w:type="dxa"/>
              <w:left w:w="100" w:type="dxa"/>
              <w:bottom w:w="60" w:type="dxa"/>
              <w:right w:w="100" w:type="dxa"/>
            </w:tcMar>
          </w:tcPr>
          <w:p w14:paraId="0CCFF5C7">
            <w:pPr>
              <w:spacing w:line="480" w:lineRule="auto"/>
              <w:jc w:val="both"/>
            </w:pPr>
            <w:r>
              <w:t>Data handling</w:t>
            </w:r>
          </w:p>
        </w:tc>
      </w:tr>
      <w:tr w14:paraId="6FE11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shd w:val="clear" w:color="auto" w:fill="FFFFFF"/>
            <w:tcMar>
              <w:top w:w="60" w:type="dxa"/>
              <w:left w:w="100" w:type="dxa"/>
              <w:bottom w:w="60" w:type="dxa"/>
              <w:right w:w="100" w:type="dxa"/>
            </w:tcMar>
          </w:tcPr>
          <w:p w14:paraId="2EADA0C5">
            <w:pPr>
              <w:spacing w:line="480" w:lineRule="auto"/>
              <w:jc w:val="both"/>
            </w:pPr>
            <w:r>
              <w:t>Training</w:t>
            </w:r>
          </w:p>
        </w:tc>
        <w:tc>
          <w:tcPr>
            <w:tcW w:w="0" w:type="auto"/>
            <w:shd w:val="clear" w:color="auto" w:fill="FFFFFF"/>
            <w:tcMar>
              <w:top w:w="60" w:type="dxa"/>
              <w:left w:w="100" w:type="dxa"/>
              <w:bottom w:w="60" w:type="dxa"/>
              <w:right w:w="100" w:type="dxa"/>
            </w:tcMar>
          </w:tcPr>
          <w:p w14:paraId="55FD73B7">
            <w:pPr>
              <w:spacing w:line="480" w:lineRule="auto"/>
              <w:jc w:val="both"/>
            </w:pPr>
            <w:r>
              <w:t>matplotlib</w:t>
            </w:r>
          </w:p>
        </w:tc>
        <w:tc>
          <w:tcPr>
            <w:tcW w:w="0" w:type="auto"/>
            <w:shd w:val="clear" w:color="auto" w:fill="FFFFFF"/>
            <w:tcMar>
              <w:top w:w="60" w:type="dxa"/>
              <w:left w:w="100" w:type="dxa"/>
              <w:bottom w:w="60" w:type="dxa"/>
              <w:right w:w="100" w:type="dxa"/>
            </w:tcMar>
          </w:tcPr>
          <w:p w14:paraId="774D1EA0">
            <w:pPr>
              <w:spacing w:line="480" w:lineRule="auto"/>
              <w:jc w:val="both"/>
            </w:pPr>
            <w:r>
              <w:t>3.8+</w:t>
            </w:r>
          </w:p>
        </w:tc>
        <w:tc>
          <w:tcPr>
            <w:tcW w:w="0" w:type="auto"/>
            <w:shd w:val="clear" w:color="auto" w:fill="FFFFFF"/>
            <w:tcMar>
              <w:top w:w="60" w:type="dxa"/>
              <w:left w:w="100" w:type="dxa"/>
              <w:bottom w:w="60" w:type="dxa"/>
              <w:right w:w="100" w:type="dxa"/>
            </w:tcMar>
          </w:tcPr>
          <w:p w14:paraId="649CD696">
            <w:pPr>
              <w:spacing w:line="480" w:lineRule="auto"/>
              <w:jc w:val="both"/>
            </w:pPr>
            <w:r>
              <w:t>Evaluation charts</w:t>
            </w:r>
          </w:p>
        </w:tc>
      </w:tr>
      <w:tr w14:paraId="38EF9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shd w:val="clear" w:color="auto" w:fill="EBF3FB"/>
            <w:tcMar>
              <w:top w:w="60" w:type="dxa"/>
              <w:left w:w="100" w:type="dxa"/>
              <w:bottom w:w="60" w:type="dxa"/>
              <w:right w:w="100" w:type="dxa"/>
            </w:tcMar>
          </w:tcPr>
          <w:p w14:paraId="298BCCEA">
            <w:pPr>
              <w:spacing w:line="480" w:lineRule="auto"/>
              <w:jc w:val="both"/>
            </w:pPr>
            <w:r>
              <w:t>Web App</w:t>
            </w:r>
          </w:p>
        </w:tc>
        <w:tc>
          <w:tcPr>
            <w:tcW w:w="0" w:type="auto"/>
            <w:shd w:val="clear" w:color="auto" w:fill="EBF3FB"/>
            <w:tcMar>
              <w:top w:w="60" w:type="dxa"/>
              <w:left w:w="100" w:type="dxa"/>
              <w:bottom w:w="60" w:type="dxa"/>
              <w:right w:w="100" w:type="dxa"/>
            </w:tcMar>
          </w:tcPr>
          <w:p w14:paraId="7340ECC5">
            <w:pPr>
              <w:spacing w:line="480" w:lineRule="auto"/>
              <w:jc w:val="both"/>
            </w:pPr>
            <w:r>
              <w:t>streamlit</w:t>
            </w:r>
          </w:p>
        </w:tc>
        <w:tc>
          <w:tcPr>
            <w:tcW w:w="0" w:type="auto"/>
            <w:shd w:val="clear" w:color="auto" w:fill="EBF3FB"/>
            <w:tcMar>
              <w:top w:w="60" w:type="dxa"/>
              <w:left w:w="100" w:type="dxa"/>
              <w:bottom w:w="60" w:type="dxa"/>
              <w:right w:w="100" w:type="dxa"/>
            </w:tcMar>
          </w:tcPr>
          <w:p w14:paraId="1CC83183">
            <w:pPr>
              <w:spacing w:line="480" w:lineRule="auto"/>
              <w:jc w:val="both"/>
            </w:pPr>
            <w:r>
              <w:t>1.32+</w:t>
            </w:r>
          </w:p>
        </w:tc>
        <w:tc>
          <w:tcPr>
            <w:tcW w:w="0" w:type="auto"/>
            <w:shd w:val="clear" w:color="auto" w:fill="EBF3FB"/>
            <w:tcMar>
              <w:top w:w="60" w:type="dxa"/>
              <w:left w:w="100" w:type="dxa"/>
              <w:bottom w:w="60" w:type="dxa"/>
              <w:right w:w="100" w:type="dxa"/>
            </w:tcMar>
          </w:tcPr>
          <w:p w14:paraId="47203074">
            <w:pPr>
              <w:spacing w:line="480" w:lineRule="auto"/>
              <w:jc w:val="both"/>
            </w:pPr>
            <w:r>
              <w:t>Web interface framework</w:t>
            </w:r>
          </w:p>
        </w:tc>
      </w:tr>
      <w:tr w14:paraId="48094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shd w:val="clear" w:color="auto" w:fill="FFFFFF"/>
            <w:tcMar>
              <w:top w:w="60" w:type="dxa"/>
              <w:left w:w="100" w:type="dxa"/>
              <w:bottom w:w="60" w:type="dxa"/>
              <w:right w:w="100" w:type="dxa"/>
            </w:tcMar>
          </w:tcPr>
          <w:p w14:paraId="5BB4443A">
            <w:pPr>
              <w:spacing w:line="480" w:lineRule="auto"/>
              <w:jc w:val="both"/>
            </w:pPr>
            <w:r>
              <w:t>Web App</w:t>
            </w:r>
          </w:p>
        </w:tc>
        <w:tc>
          <w:tcPr>
            <w:tcW w:w="0" w:type="auto"/>
            <w:shd w:val="clear" w:color="auto" w:fill="FFFFFF"/>
            <w:tcMar>
              <w:top w:w="60" w:type="dxa"/>
              <w:left w:w="100" w:type="dxa"/>
              <w:bottom w:w="60" w:type="dxa"/>
              <w:right w:w="100" w:type="dxa"/>
            </w:tcMar>
          </w:tcPr>
          <w:p w14:paraId="2DAA54DD">
            <w:pPr>
              <w:spacing w:line="480" w:lineRule="auto"/>
              <w:jc w:val="both"/>
            </w:pPr>
            <w:r>
              <w:t>joblib</w:t>
            </w:r>
          </w:p>
        </w:tc>
        <w:tc>
          <w:tcPr>
            <w:tcW w:w="0" w:type="auto"/>
            <w:shd w:val="clear" w:color="auto" w:fill="FFFFFF"/>
            <w:tcMar>
              <w:top w:w="60" w:type="dxa"/>
              <w:left w:w="100" w:type="dxa"/>
              <w:bottom w:w="60" w:type="dxa"/>
              <w:right w:w="100" w:type="dxa"/>
            </w:tcMar>
          </w:tcPr>
          <w:p w14:paraId="7A867C6C">
            <w:pPr>
              <w:spacing w:line="480" w:lineRule="auto"/>
              <w:jc w:val="both"/>
            </w:pPr>
            <w:r>
              <w:t>1.3+</w:t>
            </w:r>
          </w:p>
        </w:tc>
        <w:tc>
          <w:tcPr>
            <w:tcW w:w="0" w:type="auto"/>
            <w:shd w:val="clear" w:color="auto" w:fill="FFFFFF"/>
            <w:tcMar>
              <w:top w:w="60" w:type="dxa"/>
              <w:left w:w="100" w:type="dxa"/>
              <w:bottom w:w="60" w:type="dxa"/>
              <w:right w:w="100" w:type="dxa"/>
            </w:tcMar>
          </w:tcPr>
          <w:p w14:paraId="146028C8">
            <w:pPr>
              <w:spacing w:line="480" w:lineRule="auto"/>
              <w:jc w:val="both"/>
            </w:pPr>
            <w:r>
              <w:t>Model bundle serialisation</w:t>
            </w:r>
          </w:p>
        </w:tc>
      </w:tr>
      <w:tr w14:paraId="54517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shd w:val="clear" w:color="auto" w:fill="EBF3FB"/>
            <w:tcMar>
              <w:top w:w="60" w:type="dxa"/>
              <w:left w:w="100" w:type="dxa"/>
              <w:bottom w:w="60" w:type="dxa"/>
              <w:right w:w="100" w:type="dxa"/>
            </w:tcMar>
          </w:tcPr>
          <w:p w14:paraId="275DA8C8">
            <w:pPr>
              <w:spacing w:line="480" w:lineRule="auto"/>
              <w:jc w:val="both"/>
            </w:pPr>
            <w:r>
              <w:t>Reports</w:t>
            </w:r>
          </w:p>
        </w:tc>
        <w:tc>
          <w:tcPr>
            <w:tcW w:w="0" w:type="auto"/>
            <w:shd w:val="clear" w:color="auto" w:fill="EBF3FB"/>
            <w:tcMar>
              <w:top w:w="60" w:type="dxa"/>
              <w:left w:w="100" w:type="dxa"/>
              <w:bottom w:w="60" w:type="dxa"/>
              <w:right w:w="100" w:type="dxa"/>
            </w:tcMar>
          </w:tcPr>
          <w:p w14:paraId="4F20B614">
            <w:pPr>
              <w:spacing w:line="480" w:lineRule="auto"/>
              <w:jc w:val="both"/>
            </w:pPr>
            <w:r>
              <w:t>groq</w:t>
            </w:r>
          </w:p>
        </w:tc>
        <w:tc>
          <w:tcPr>
            <w:tcW w:w="0" w:type="auto"/>
            <w:shd w:val="clear" w:color="auto" w:fill="EBF3FB"/>
            <w:tcMar>
              <w:top w:w="60" w:type="dxa"/>
              <w:left w:w="100" w:type="dxa"/>
              <w:bottom w:w="60" w:type="dxa"/>
              <w:right w:w="100" w:type="dxa"/>
            </w:tcMar>
          </w:tcPr>
          <w:p w14:paraId="34F60AA9">
            <w:pPr>
              <w:spacing w:line="480" w:lineRule="auto"/>
              <w:jc w:val="both"/>
            </w:pPr>
            <w:r>
              <w:t>0.5+</w:t>
            </w:r>
          </w:p>
        </w:tc>
        <w:tc>
          <w:tcPr>
            <w:tcW w:w="0" w:type="auto"/>
            <w:shd w:val="clear" w:color="auto" w:fill="EBF3FB"/>
            <w:tcMar>
              <w:top w:w="60" w:type="dxa"/>
              <w:left w:w="100" w:type="dxa"/>
              <w:bottom w:w="60" w:type="dxa"/>
              <w:right w:w="100" w:type="dxa"/>
            </w:tcMar>
          </w:tcPr>
          <w:p w14:paraId="5E03D6BA">
            <w:pPr>
              <w:spacing w:line="480" w:lineRule="auto"/>
              <w:jc w:val="both"/>
            </w:pPr>
            <w:r>
              <w:t>Llama-3 API access</w:t>
            </w:r>
          </w:p>
        </w:tc>
      </w:tr>
      <w:tr w14:paraId="00DA1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shd w:val="clear" w:color="auto" w:fill="FFFFFF"/>
            <w:tcMar>
              <w:top w:w="60" w:type="dxa"/>
              <w:left w:w="100" w:type="dxa"/>
              <w:bottom w:w="60" w:type="dxa"/>
              <w:right w:w="100" w:type="dxa"/>
            </w:tcMar>
          </w:tcPr>
          <w:p w14:paraId="5416EC0C">
            <w:pPr>
              <w:spacing w:line="480" w:lineRule="auto"/>
              <w:jc w:val="both"/>
            </w:pPr>
            <w:r>
              <w:t>Reports</w:t>
            </w:r>
          </w:p>
        </w:tc>
        <w:tc>
          <w:tcPr>
            <w:tcW w:w="0" w:type="auto"/>
            <w:shd w:val="clear" w:color="auto" w:fill="FFFFFF"/>
            <w:tcMar>
              <w:top w:w="60" w:type="dxa"/>
              <w:left w:w="100" w:type="dxa"/>
              <w:bottom w:w="60" w:type="dxa"/>
              <w:right w:w="100" w:type="dxa"/>
            </w:tcMar>
          </w:tcPr>
          <w:p w14:paraId="0E6A7C0D">
            <w:pPr>
              <w:spacing w:line="480" w:lineRule="auto"/>
              <w:jc w:val="both"/>
            </w:pPr>
            <w:r>
              <w:t>fpdf2</w:t>
            </w:r>
          </w:p>
        </w:tc>
        <w:tc>
          <w:tcPr>
            <w:tcW w:w="0" w:type="auto"/>
            <w:shd w:val="clear" w:color="auto" w:fill="FFFFFF"/>
            <w:tcMar>
              <w:top w:w="60" w:type="dxa"/>
              <w:left w:w="100" w:type="dxa"/>
              <w:bottom w:w="60" w:type="dxa"/>
              <w:right w:w="100" w:type="dxa"/>
            </w:tcMar>
          </w:tcPr>
          <w:p w14:paraId="2625C395">
            <w:pPr>
              <w:spacing w:line="480" w:lineRule="auto"/>
              <w:jc w:val="both"/>
            </w:pPr>
            <w:r>
              <w:t>2.7+</w:t>
            </w:r>
          </w:p>
        </w:tc>
        <w:tc>
          <w:tcPr>
            <w:tcW w:w="0" w:type="auto"/>
            <w:shd w:val="clear" w:color="auto" w:fill="FFFFFF"/>
            <w:tcMar>
              <w:top w:w="60" w:type="dxa"/>
              <w:left w:w="100" w:type="dxa"/>
              <w:bottom w:w="60" w:type="dxa"/>
              <w:right w:w="100" w:type="dxa"/>
            </w:tcMar>
          </w:tcPr>
          <w:p w14:paraId="11CD0233">
            <w:pPr>
              <w:spacing w:line="480" w:lineRule="auto"/>
              <w:jc w:val="both"/>
            </w:pPr>
            <w:r>
              <w:t>PDF generation</w:t>
            </w:r>
          </w:p>
        </w:tc>
      </w:tr>
      <w:tr w14:paraId="4FCF8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shd w:val="clear" w:color="auto" w:fill="EBF3FB"/>
            <w:tcMar>
              <w:top w:w="60" w:type="dxa"/>
              <w:left w:w="100" w:type="dxa"/>
              <w:bottom w:w="60" w:type="dxa"/>
              <w:right w:w="100" w:type="dxa"/>
            </w:tcMar>
          </w:tcPr>
          <w:p w14:paraId="49533DA3">
            <w:pPr>
              <w:spacing w:line="480" w:lineRule="auto"/>
              <w:jc w:val="both"/>
            </w:pPr>
            <w:r>
              <w:t>Advisor</w:t>
            </w:r>
          </w:p>
        </w:tc>
        <w:tc>
          <w:tcPr>
            <w:tcW w:w="0" w:type="auto"/>
            <w:shd w:val="clear" w:color="auto" w:fill="EBF3FB"/>
            <w:tcMar>
              <w:top w:w="60" w:type="dxa"/>
              <w:left w:w="100" w:type="dxa"/>
              <w:bottom w:w="60" w:type="dxa"/>
              <w:right w:w="100" w:type="dxa"/>
            </w:tcMar>
          </w:tcPr>
          <w:p w14:paraId="19707CF2">
            <w:pPr>
              <w:spacing w:line="480" w:lineRule="auto"/>
              <w:jc w:val="both"/>
            </w:pPr>
            <w:r>
              <w:t>requests</w:t>
            </w:r>
          </w:p>
        </w:tc>
        <w:tc>
          <w:tcPr>
            <w:tcW w:w="0" w:type="auto"/>
            <w:shd w:val="clear" w:color="auto" w:fill="EBF3FB"/>
            <w:tcMar>
              <w:top w:w="60" w:type="dxa"/>
              <w:left w:w="100" w:type="dxa"/>
              <w:bottom w:w="60" w:type="dxa"/>
              <w:right w:w="100" w:type="dxa"/>
            </w:tcMar>
          </w:tcPr>
          <w:p w14:paraId="0B760FFB">
            <w:pPr>
              <w:spacing w:line="480" w:lineRule="auto"/>
              <w:jc w:val="both"/>
            </w:pPr>
            <w:r>
              <w:t>stdlib</w:t>
            </w:r>
          </w:p>
        </w:tc>
        <w:tc>
          <w:tcPr>
            <w:tcW w:w="0" w:type="auto"/>
            <w:shd w:val="clear" w:color="auto" w:fill="EBF3FB"/>
            <w:tcMar>
              <w:top w:w="60" w:type="dxa"/>
              <w:left w:w="100" w:type="dxa"/>
              <w:bottom w:w="60" w:type="dxa"/>
              <w:right w:w="100" w:type="dxa"/>
            </w:tcMar>
          </w:tcPr>
          <w:p w14:paraId="4B4FCF46">
            <w:pPr>
              <w:spacing w:line="480" w:lineRule="auto"/>
              <w:jc w:val="both"/>
            </w:pPr>
            <w:r>
              <w:t>OpenRouter HTTP calls</w:t>
            </w:r>
          </w:p>
        </w:tc>
      </w:tr>
    </w:tbl>
    <w:p w14:paraId="67A20E9E">
      <w:pPr>
        <w:spacing w:line="480" w:lineRule="auto"/>
        <w:jc w:val="both"/>
      </w:pPr>
    </w:p>
    <w:p w14:paraId="4F17A554">
      <w:pPr>
        <w:spacing w:after="200" w:line="480" w:lineRule="auto"/>
        <w:jc w:val="both"/>
      </w:pPr>
      <w:r>
        <w:t>Table 6: Development Dependencies</w:t>
      </w:r>
    </w:p>
    <w:p w14:paraId="592E70DD">
      <w:pPr>
        <w:pStyle w:val="3"/>
        <w:spacing w:line="480" w:lineRule="auto"/>
      </w:pPr>
      <w:bookmarkStart w:id="51" w:name="_Toc228560765"/>
      <w:r>
        <w:t>4.2 Development Environment</w:t>
      </w:r>
      <w:bookmarkEnd w:id="51"/>
    </w:p>
    <w:p w14:paraId="24568964">
      <w:pPr>
        <w:spacing w:after="200" w:line="480" w:lineRule="auto"/>
        <w:jc w:val="both"/>
        <w:rPr>
          <w:kern w:val="2"/>
          <w14:ligatures w14:val="standardContextual"/>
        </w:rPr>
      </w:pPr>
      <w:r>
        <w:t xml:space="preserve">Training was conducted in a Kaggle notebook that provides a Python 3.12 environment with scikit-learn 1.6.1 and imbalanced-learn 0.12.0 preinstalled. A practical challenge arose early: Kaggle mounts datasets at variable subdirectory paths depending on how they are attached. The training script resolves this by using </w:t>
      </w:r>
      <w:r>
        <w:rPr>
          <w:rFonts w:ascii="Courier New" w:hAnsi="Courier New" w:cs="Courier New"/>
        </w:rPr>
        <w:t>os.walk</w:t>
      </w:r>
      <w:r>
        <w:t xml:space="preserve"> to traverse the entire </w:t>
      </w:r>
      <w:r>
        <w:rPr>
          <w:rFonts w:ascii="Courier New" w:hAnsi="Courier New" w:cs="Courier New"/>
        </w:rPr>
        <w:t>/kaggle/input/</w:t>
      </w:r>
      <w:r>
        <w:t xml:space="preserve"> tree and locate </w:t>
      </w:r>
      <w:r>
        <w:rPr>
          <w:rFonts w:ascii="Courier New" w:hAnsi="Courier New" w:cs="Courier New"/>
        </w:rPr>
        <w:t>creditcard.csv</w:t>
      </w:r>
      <w:r>
        <w:t xml:space="preserve"> regardless of its specific subdirectory. If the file is not found, the script prints all files visible under </w:t>
      </w:r>
      <w:r>
        <w:rPr>
          <w:rFonts w:ascii="Courier New" w:hAnsi="Courier New" w:cs="Courier New"/>
        </w:rPr>
        <w:t>/kaggle/input/</w:t>
      </w:r>
      <w:r>
        <w:t xml:space="preserve"> to assist with diagnosis.</w:t>
      </w:r>
    </w:p>
    <w:p w14:paraId="3C1C3FDD">
      <w:pPr>
        <w:spacing w:after="200" w:line="480" w:lineRule="auto"/>
        <w:jc w:val="both"/>
        <w:rPr>
          <w:kern w:val="2"/>
          <w14:ligatures w14:val="standardContextual"/>
        </w:rPr>
      </w:pPr>
      <w:bookmarkStart w:id="52" w:name="_Toc228560766"/>
      <w:r>
        <w:t xml:space="preserve">The Streamlit application was developed locally on Windows 11 using Python 3.11 in a virtual environment. Development required several platform-specific mitigations. First, dependency management: the </w:t>
      </w:r>
      <w:r>
        <w:rPr>
          <w:rFonts w:ascii="Courier New" w:hAnsi="Courier New" w:cs="Courier New"/>
        </w:rPr>
        <w:t>OpenAI</w:t>
      </w:r>
      <w:r>
        <w:t xml:space="preserve"> package failed to install reliably under the local Windows configuration due to file-system permission restrictions, so the OpenRouter integration was implemented directly using </w:t>
      </w:r>
      <w:r>
        <w:rPr>
          <w:rFonts w:ascii="Courier New" w:hAnsi="Courier New" w:cs="Courier New"/>
        </w:rPr>
        <w:t>requests</w:t>
      </w:r>
      <w:r>
        <w:t xml:space="preserve">, removing the dependency entirely. Second, document generation constraints: </w:t>
      </w:r>
      <w:r>
        <w:rPr>
          <w:rFonts w:ascii="Courier New" w:hAnsi="Courier New" w:cs="Courier New"/>
        </w:rPr>
        <w:t>fpdf2</w:t>
      </w:r>
      <w:r>
        <w:t xml:space="preserve"> cannot render characters outside the Latin-1 range when using its default Helvetica font, so a </w:t>
      </w:r>
      <w:r>
        <w:rPr>
          <w:rFonts w:ascii="Courier New" w:hAnsi="Courier New" w:cs="Courier New"/>
        </w:rPr>
        <w:t>clean_text</w:t>
      </w:r>
      <w:r>
        <w:t xml:space="preserve"> sanitisation function was introduced to normalise punctuation and drop unsupported characters before PDF creation. Third, execution constraints: Streamlit was launched using </w:t>
      </w:r>
      <w:r>
        <w:rPr>
          <w:rFonts w:ascii="Courier New" w:hAnsi="Courier New" w:cs="Courier New"/>
        </w:rPr>
        <w:t>python -m streamlit run app.py</w:t>
      </w:r>
      <w:r>
        <w:t xml:space="preserve"> rather than </w:t>
      </w:r>
      <w:r>
        <w:rPr>
          <w:rFonts w:ascii="Courier New" w:hAnsi="Courier New" w:cs="Courier New"/>
        </w:rPr>
        <w:t>streamlit run app.py</w:t>
      </w:r>
      <w:r>
        <w:t xml:space="preserve">, because direct invocation via </w:t>
      </w:r>
      <w:r>
        <w:rPr>
          <w:rFonts w:ascii="Courier New" w:hAnsi="Courier New" w:cs="Courier New"/>
        </w:rPr>
        <w:t>streamlit.exe</w:t>
      </w:r>
      <w:r>
        <w:t xml:space="preserve"> triggered Windows permission errors on the development machine. These mitigations were incorporated into the final implementation and documented in Appendix A.</w:t>
      </w:r>
    </w:p>
    <w:p w14:paraId="7CDA1459">
      <w:pPr>
        <w:pStyle w:val="3"/>
        <w:spacing w:line="480" w:lineRule="auto"/>
      </w:pPr>
      <w:r>
        <w:t>4.3 Training Pipeline</w:t>
      </w:r>
      <w:bookmarkEnd w:id="52"/>
    </w:p>
    <w:p w14:paraId="554B8C5F">
      <w:pPr>
        <w:pStyle w:val="3"/>
        <w:spacing w:line="480" w:lineRule="auto"/>
      </w:pPr>
      <w:bookmarkStart w:id="53" w:name="_Toc228560767"/>
      <w:r>
        <w:t>4.3.1 Data Loading and Validation</w:t>
      </w:r>
      <w:bookmarkEnd w:id="53"/>
    </w:p>
    <w:p w14:paraId="44462CC7">
      <w:pPr>
        <w:spacing w:after="200" w:line="480" w:lineRule="auto"/>
        <w:jc w:val="both"/>
        <w:rPr>
          <w:kern w:val="2"/>
          <w14:ligatures w14:val="standardContextual"/>
        </w:rPr>
      </w:pPr>
      <w:bookmarkStart w:id="54" w:name="_Toc228560768"/>
      <w:r>
        <w:t xml:space="preserve">The pipeline locates </w:t>
      </w:r>
      <w:r>
        <w:rPr>
          <w:rFonts w:ascii="Courier New" w:hAnsi="Courier New" w:cs="Courier New"/>
        </w:rPr>
        <w:t>creditcard.csv</w:t>
      </w:r>
      <w:r>
        <w:t xml:space="preserve"> using </w:t>
      </w:r>
      <w:r>
        <w:rPr>
          <w:rFonts w:ascii="Courier New" w:hAnsi="Courier New" w:cs="Courier New"/>
        </w:rPr>
        <w:t>os.walk</w:t>
      </w:r>
      <w:r>
        <w:t xml:space="preserve">, loads it with </w:t>
      </w:r>
      <w:r>
        <w:rPr>
          <w:rFonts w:ascii="Courier New" w:hAnsi="Courier New" w:cs="Courier New"/>
        </w:rPr>
        <w:t>pandas</w:t>
      </w:r>
      <w:r>
        <w:t xml:space="preserve">, and validates the schema by checking that all 31 expected columns are present. It checks for null values </w:t>
      </w:r>
      <w:r>
        <w:rPr>
          <w:lang w:val="en"/>
        </w:rPr>
        <w:t>,</w:t>
      </w:r>
      <w:r>
        <w:t xml:space="preserve"> none were found in the ULB dataset </w:t>
      </w:r>
      <w:r>
        <w:rPr>
          <w:lang w:val="en"/>
        </w:rPr>
        <w:t>,</w:t>
      </w:r>
      <w:r>
        <w:t xml:space="preserve"> and removes duplicate rows, of which 1,081 were found and removed. The cleaned dataset, with 283,726 rows, is used for all subsequent steps, and each validation result is logged to the console.</w:t>
      </w:r>
    </w:p>
    <w:p w14:paraId="2E8899D9">
      <w:pPr>
        <w:pStyle w:val="4"/>
        <w:spacing w:line="480" w:lineRule="auto"/>
      </w:pPr>
      <w:r>
        <w:t>4.3.2 Stratified Train/Test Split and SMOTE</w:t>
      </w:r>
      <w:bookmarkEnd w:id="54"/>
    </w:p>
    <w:p w14:paraId="527F76B4">
      <w:pPr>
        <w:spacing w:after="200" w:line="480" w:lineRule="auto"/>
        <w:ind w:left="0" w:leftChars="0"/>
        <w:jc w:val="both"/>
        <w:rPr>
          <w:kern w:val="2"/>
          <w14:ligatures w14:val="standardContextual"/>
        </w:rPr>
      </w:pPr>
      <w:bookmarkStart w:id="55" w:name="_Toc228560769"/>
      <w:r>
        <w:t>Features (Time, Amount, V1–V28) and the target variable (Class) are separated. An</w:t>
      </w:r>
      <w:r>
        <w:rPr>
          <w:lang w:val="en"/>
          <w:woUserID w:val="1"/>
        </w:rPr>
        <w:t xml:space="preserve"> </w:t>
      </w:r>
      <w:r>
        <w:t xml:space="preserve">80/20 stratified split is performed using </w:t>
      </w:r>
      <w:r>
        <w:rPr>
          <w:rFonts w:ascii="Courier New" w:hAnsi="Courier New" w:cs="Courier New"/>
        </w:rPr>
        <w:t>sklearn.model_selection.train_test_split</w:t>
      </w:r>
      <w:r>
        <w:t xml:space="preserve"> with </w:t>
      </w:r>
      <w:r>
        <w:rPr>
          <w:rFonts w:ascii="Courier New" w:hAnsi="Courier New" w:cs="Courier New"/>
        </w:rPr>
        <w:t>stratify=y</w:t>
      </w:r>
      <w:r>
        <w:t xml:space="preserve">, ensuring both the training set (226,980 rows, 391 fraud cases) and the test set (56,746 rows, 95 fraud cases) reflect the same fraud rate. SMOTE is then applied to the training set only, using </w:t>
      </w:r>
      <w:r>
        <w:rPr>
          <w:rFonts w:ascii="Courier New" w:hAnsi="Courier New" w:cs="Courier New"/>
        </w:rPr>
        <w:t>k_neighbors=5</w:t>
      </w:r>
      <w:r>
        <w:t>, producing a balanced training set of 453,908 rows.</w:t>
      </w:r>
    </w:p>
    <w:p w14:paraId="3DB43736">
      <w:pPr>
        <w:pStyle w:val="4"/>
        <w:spacing w:line="480" w:lineRule="auto"/>
      </w:pPr>
      <w:r>
        <w:t>4.3.3 Logistic Regression Baseline</w:t>
      </w:r>
      <w:bookmarkEnd w:id="55"/>
    </w:p>
    <w:p w14:paraId="24BA9B73">
      <w:pPr>
        <w:spacing w:line="480" w:lineRule="auto"/>
        <w:jc w:val="both"/>
        <w:rPr>
          <w:kern w:val="2"/>
          <w14:ligatures w14:val="standardContextual"/>
        </w:rPr>
      </w:pPr>
      <w:bookmarkStart w:id="56" w:name="_Toc228560770"/>
      <w:r>
        <w:t xml:space="preserve">A </w:t>
      </w:r>
      <w:r>
        <w:rPr>
          <w:rFonts w:ascii="Courier New" w:hAnsi="Courier New" w:cs="Courier New"/>
        </w:rPr>
        <w:t>StandardScaler</w:t>
      </w:r>
      <w:r>
        <w:t xml:space="preserve"> is fitted on the SMOTE-balanced training features and used to transform both training and test sets for Logistic Regression evaluation. The scaler is never fitted on the test set, preserving the separation between training and evaluation data. Logistic Regression is trained with </w:t>
      </w:r>
      <w:r>
        <w:rPr>
          <w:rFonts w:ascii="Courier New" w:hAnsi="Courier New" w:cs="Courier New"/>
        </w:rPr>
        <w:t>max_iter=2000</w:t>
      </w:r>
      <w:r>
        <w:t xml:space="preserve"> </w:t>
      </w:r>
      <w:r>
        <w:rPr>
          <w:lang w:val="en"/>
        </w:rPr>
        <w:t>,</w:t>
      </w:r>
      <w:bookmarkStart w:id="105" w:name="_GoBack"/>
      <w:bookmarkEnd w:id="105"/>
      <w:r>
        <w:t xml:space="preserve"> without the increased iteration limit, the solver hits its default ceiling before converging on the complex balanced dataset, producing a </w:t>
      </w:r>
      <w:r>
        <w:rPr>
          <w:rFonts w:ascii="Courier New" w:hAnsi="Courier New" w:cs="Courier New"/>
        </w:rPr>
        <w:t>ConvergenceWarning</w:t>
      </w:r>
      <w:r>
        <w:t xml:space="preserve"> and misleadingly low performance metrics.</w:t>
      </w:r>
    </w:p>
    <w:p w14:paraId="156C183F">
      <w:pPr>
        <w:pStyle w:val="4"/>
        <w:spacing w:line="480" w:lineRule="auto"/>
      </w:pPr>
      <w:r>
        <w:t>4.3.4 Random Forest Training</w:t>
      </w:r>
      <w:bookmarkEnd w:id="56"/>
    </w:p>
    <w:p w14:paraId="1C6ABC65">
      <w:pPr>
        <w:spacing w:after="200" w:line="480" w:lineRule="auto"/>
        <w:jc w:val="both"/>
        <w:rPr>
          <w:kern w:val="2"/>
          <w14:ligatures w14:val="standardContextual"/>
        </w:rPr>
      </w:pPr>
      <w:bookmarkStart w:id="57" w:name="_Toc228560771"/>
      <w:r>
        <w:t>The Random Forest is trained on the unscaled SMOTE-balanced training data. Scaling is unnecessary for tree-based models because they split on feature thresholds rather than computing distances or dot products. Training takes approximately 90–120 seconds in the Kaggle notebook environment. The out-of-bag (OOB) score provides an additional internal validation estimate that can be compared with held-out test performance, offering a lightweight check that the model is not severely overfitting to the resampled training data.</w:t>
      </w:r>
    </w:p>
    <w:p w14:paraId="47253EA4">
      <w:pPr>
        <w:pStyle w:val="4"/>
        <w:spacing w:line="480" w:lineRule="auto"/>
      </w:pPr>
      <w:r>
        <w:t>4.3.5 Evaluation and Serialisation</w:t>
      </w:r>
      <w:bookmarkEnd w:id="57"/>
    </w:p>
    <w:p w14:paraId="7AE0F74F">
      <w:pPr>
        <w:spacing w:after="200" w:line="480" w:lineRule="auto"/>
        <w:jc w:val="both"/>
      </w:pPr>
      <w:r>
        <w:t>After training, the four primary metrics are computed on the held-out test set. Five-fold stratified cross-validation is run on the balanced training data. Feature importances are extracted and plotted as a horizontal bar chart, and a confusion matrix is generated and saved. The model bundle is serialised using joblib.dump to /kaggle/working/fraud_model.pkl as a dictionary containing the model object, the feature column list, the metrics dictionary, the feature importances dictionary, and a training timestamp.</w:t>
      </w:r>
    </w:p>
    <w:p w14:paraId="237C9AD2">
      <w:pPr>
        <w:pStyle w:val="3"/>
        <w:spacing w:line="480" w:lineRule="auto"/>
      </w:pPr>
      <w:bookmarkStart w:id="58" w:name="_Toc228560772"/>
      <w:r>
        <w:t>4.4 Web Application</w:t>
      </w:r>
      <w:bookmarkEnd w:id="58"/>
    </w:p>
    <w:p w14:paraId="7E4C2D59">
      <w:pPr>
        <w:pStyle w:val="4"/>
        <w:spacing w:line="480" w:lineRule="auto"/>
      </w:pPr>
      <w:bookmarkStart w:id="59" w:name="_Toc228560773"/>
      <w:r>
        <w:t>4.4.1 Application Startup</w:t>
      </w:r>
      <w:bookmarkEnd w:id="59"/>
    </w:p>
    <w:p w14:paraId="398B53A2">
      <w:pPr>
        <w:spacing w:after="200" w:line="480" w:lineRule="auto"/>
        <w:jc w:val="both"/>
        <w:rPr>
          <w:kern w:val="2"/>
          <w14:ligatures w14:val="standardContextual"/>
        </w:rPr>
      </w:pPr>
      <w:bookmarkStart w:id="60" w:name="_Toc228560774"/>
      <w:r>
        <w:t xml:space="preserve">The application begins with </w:t>
      </w:r>
      <w:r>
        <w:rPr>
          <w:rFonts w:ascii="Courier New" w:hAnsi="Courier New" w:cs="Courier New"/>
        </w:rPr>
        <w:t>st.set_page_config</w:t>
      </w:r>
      <w:r>
        <w:t xml:space="preserve">, which must be called before all other Streamlit calls. Session state defaults are initialised for </w:t>
      </w:r>
      <w:r>
        <w:rPr>
          <w:rFonts w:ascii="Courier New" w:hAnsi="Courier New" w:cs="Courier New"/>
        </w:rPr>
        <w:t>dark_mode</w:t>
      </w:r>
      <w:r>
        <w:t xml:space="preserve">, </w:t>
      </w:r>
      <w:r>
        <w:rPr>
          <w:rFonts w:ascii="Courier New" w:hAnsi="Courier New" w:cs="Courier New"/>
        </w:rPr>
        <w:t>transaction</w:t>
      </w:r>
      <w:r>
        <w:t xml:space="preserve">, </w:t>
      </w:r>
      <w:r>
        <w:rPr>
          <w:rFonts w:ascii="Courier New" w:hAnsi="Courier New" w:cs="Courier New"/>
        </w:rPr>
        <w:t>result</w:t>
      </w:r>
      <w:r>
        <w:t xml:space="preserve">, </w:t>
      </w:r>
      <w:r>
        <w:rPr>
          <w:rFonts w:ascii="Courier New" w:hAnsi="Courier New" w:cs="Courier New"/>
        </w:rPr>
        <w:t>report_text</w:t>
      </w:r>
      <w:r>
        <w:t xml:space="preserve">, </w:t>
      </w:r>
      <w:r>
        <w:rPr>
          <w:rFonts w:ascii="Courier New" w:hAnsi="Courier New" w:cs="Courier New"/>
        </w:rPr>
        <w:t>sample_type</w:t>
      </w:r>
      <w:r>
        <w:t xml:space="preserve">, </w:t>
      </w:r>
      <w:r>
        <w:rPr>
          <w:rFonts w:ascii="Courier New" w:hAnsi="Courier New" w:cs="Courier New"/>
        </w:rPr>
        <w:t>advisor_open</w:t>
      </w:r>
      <w:r>
        <w:t xml:space="preserve">, and </w:t>
      </w:r>
      <w:r>
        <w:rPr>
          <w:rFonts w:ascii="Courier New" w:hAnsi="Courier New" w:cs="Courier New"/>
        </w:rPr>
        <w:t>advisor_msgs</w:t>
      </w:r>
      <w:r>
        <w:t xml:space="preserve">. The colour palette is computed from the </w:t>
      </w:r>
      <w:r>
        <w:rPr>
          <w:rFonts w:ascii="Courier New" w:hAnsi="Courier New" w:cs="Courier New"/>
        </w:rPr>
        <w:t>dark_mode</w:t>
      </w:r>
      <w:r>
        <w:t xml:space="preserve"> flag using ternary expressions across 18 colour tokens. Global CSS is injected via </w:t>
      </w:r>
      <w:r>
        <w:rPr>
          <w:rFonts w:ascii="Courier New" w:hAnsi="Courier New" w:cs="Courier New"/>
        </w:rPr>
        <w:t>st.markdown</w:t>
      </w:r>
      <w:r>
        <w:t xml:space="preserve"> with </w:t>
      </w:r>
      <w:r>
        <w:rPr>
          <w:rFonts w:ascii="Courier New" w:hAnsi="Courier New" w:cs="Courier New"/>
        </w:rPr>
        <w:t>unsafe_allow_html=True</w:t>
      </w:r>
      <w:r>
        <w:t xml:space="preserve">, overriding Streamlit's default component styles through selectors including </w:t>
      </w:r>
      <w:r>
        <w:rPr>
          <w:rFonts w:ascii="Courier New" w:hAnsi="Courier New" w:cs="Courier New"/>
        </w:rPr>
        <w:t>.stButton &gt; button</w:t>
      </w:r>
      <w:r>
        <w:t xml:space="preserve">, </w:t>
      </w:r>
      <w:r>
        <w:rPr>
          <w:rFonts w:ascii="Courier New" w:hAnsi="Courier New" w:cs="Courier New"/>
        </w:rPr>
        <w:t>.stNumberInput &gt; div &gt; div &gt; input</w:t>
      </w:r>
      <w:r>
        <w:t xml:space="preserve">, </w:t>
      </w:r>
      <w:r>
        <w:rPr>
          <w:rFonts w:ascii="Courier New" w:hAnsi="Courier New" w:cs="Courier New"/>
        </w:rPr>
        <w:t>.stTextInput &gt; div &gt; div &gt; input</w:t>
      </w:r>
      <w:r>
        <w:t xml:space="preserve">, </w:t>
      </w:r>
      <w:r>
        <w:rPr>
          <w:rFonts w:ascii="Courier New" w:hAnsi="Courier New" w:cs="Courier New"/>
        </w:rPr>
        <w:t>.stDownloadButton &gt; button</w:t>
      </w:r>
      <w:r>
        <w:t xml:space="preserve">, and </w:t>
      </w:r>
      <w:r>
        <w:rPr>
          <w:rFonts w:ascii="Courier New" w:hAnsi="Courier New" w:cs="Courier New"/>
        </w:rPr>
        <w:t>.stFormSubmitButton &gt; button</w:t>
      </w:r>
      <w:r>
        <w:t>.</w:t>
      </w:r>
    </w:p>
    <w:p w14:paraId="5403A92C">
      <w:pPr>
        <w:pStyle w:val="4"/>
        <w:spacing w:line="480" w:lineRule="auto"/>
      </w:pPr>
      <w:r>
        <w:t>4.4.2 Transaction Loading</w:t>
      </w:r>
      <w:bookmarkEnd w:id="60"/>
    </w:p>
    <w:p w14:paraId="57897466">
      <w:pPr>
        <w:spacing w:after="200" w:line="480" w:lineRule="auto"/>
        <w:jc w:val="both"/>
        <w:rPr>
          <w:kern w:val="2"/>
          <w14:ligatures w14:val="standardContextual"/>
        </w:rPr>
      </w:pPr>
      <w:bookmarkStart w:id="61" w:name="_Toc228560775"/>
      <w:r>
        <w:t xml:space="preserve">Three transaction loading modes are implemented. Sample Transaction A loads </w:t>
      </w:r>
      <w:r>
        <w:rPr>
          <w:rFonts w:ascii="Courier New" w:hAnsi="Courier New" w:cs="Courier New"/>
        </w:rPr>
        <w:t>FRAUD_SAMPLE</w:t>
      </w:r>
      <w:r>
        <w:t xml:space="preserve"> </w:t>
      </w:r>
      <w:r>
        <w:rPr>
          <w:lang w:val="en"/>
        </w:rPr>
        <w:t>,</w:t>
      </w:r>
      <w:r>
        <w:t xml:space="preserve"> a real ULB fraudulent transaction with </w:t>
      </w:r>
      <w:r>
        <w:rPr>
          <w:rFonts w:ascii="Courier New" w:hAnsi="Courier New" w:cs="Courier New"/>
        </w:rPr>
        <w:t>Time=406.0</w:t>
      </w:r>
      <w:r>
        <w:t xml:space="preserve"> and </w:t>
      </w:r>
      <w:r>
        <w:rPr>
          <w:rFonts w:ascii="Courier New" w:hAnsi="Courier New" w:cs="Courier New"/>
        </w:rPr>
        <w:t>Amount=2.69</w:t>
      </w:r>
      <w:r>
        <w:t xml:space="preserve"> </w:t>
      </w:r>
      <w:r>
        <w:rPr>
          <w:lang w:val="en"/>
        </w:rPr>
        <w:t>,</w:t>
      </w:r>
      <w:r>
        <w:t xml:space="preserve"> with all 30 features populated silently. Sample Transaction B loads </w:t>
      </w:r>
      <w:r>
        <w:rPr>
          <w:rFonts w:ascii="Courier New" w:hAnsi="Courier New" w:cs="Courier New"/>
        </w:rPr>
        <w:t>LEGIT_SAMPLE</w:t>
      </w:r>
      <w:r>
        <w:t xml:space="preserve">, a real legitimate transaction with </w:t>
      </w:r>
      <w:r>
        <w:rPr>
          <w:rFonts w:ascii="Courier New" w:hAnsi="Courier New" w:cs="Courier New"/>
        </w:rPr>
        <w:t>Time=28800.0</w:t>
      </w:r>
      <w:r>
        <w:t xml:space="preserve"> and </w:t>
      </w:r>
      <w:r>
        <w:rPr>
          <w:rFonts w:ascii="Courier New" w:hAnsi="Courier New" w:cs="Courier New"/>
        </w:rPr>
        <w:t>Amount=149.62</w:t>
      </w:r>
      <w:r>
        <w:t xml:space="preserve">. Custom Transaction calls </w:t>
      </w:r>
      <w:r>
        <w:rPr>
          <w:rFonts w:ascii="Courier New" w:hAnsi="Courier New" w:cs="Courier New"/>
        </w:rPr>
        <w:t>randomize_pca_features()</w:t>
      </w:r>
      <w:r>
        <w:t xml:space="preserve">, which generates V1 through V28 from </w:t>
      </w:r>
      <w:r>
        <w:rPr>
          <w:rFonts w:ascii="Courier New" w:hAnsi="Courier New" w:cs="Courier New"/>
        </w:rPr>
        <w:t>numpy.random.normal(0, 1)</w:t>
      </w:r>
      <w:r>
        <w:t xml:space="preserve"> and sets Time and Amount to user-editable defaults of 0 and 100. The status chip below the inputs uses a neutral accent colour for all three modes, deliberately avoiding any pre-announcement of the expected verdict.</w:t>
      </w:r>
    </w:p>
    <w:p w14:paraId="162E4840">
      <w:pPr>
        <w:pStyle w:val="4"/>
        <w:spacing w:line="480" w:lineRule="auto"/>
      </w:pPr>
      <w:r>
        <w:t>4.4.3 Prediction</w:t>
      </w:r>
      <w:bookmarkEnd w:id="61"/>
    </w:p>
    <w:p w14:paraId="27A8A532">
      <w:pPr>
        <w:spacing w:after="200" w:line="480" w:lineRule="auto"/>
        <w:jc w:val="both"/>
        <w:rPr>
          <w:kern w:val="2"/>
          <w14:ligatures w14:val="standardContextual"/>
        </w:rPr>
      </w:pPr>
      <w:bookmarkStart w:id="62" w:name="_Toc228560776"/>
      <w:r>
        <w:t xml:space="preserve">When Run Analysis is pressed, the session state transaction is converted to a DataFrame ordered to match </w:t>
      </w:r>
      <w:r>
        <w:rPr>
          <w:rFonts w:ascii="Courier New" w:hAnsi="Courier New" w:cs="Courier New"/>
        </w:rPr>
        <w:t>FEATURE_COLS</w:t>
      </w:r>
      <w:r>
        <w:t xml:space="preserve">. </w:t>
      </w:r>
      <w:r>
        <w:rPr>
          <w:rFonts w:ascii="Courier New" w:hAnsi="Courier New" w:cs="Courier New"/>
        </w:rPr>
        <w:t>model.predict()</w:t>
      </w:r>
      <w:r>
        <w:t xml:space="preserve"> returns the class prediction; </w:t>
      </w:r>
      <w:r>
        <w:rPr>
          <w:rFonts w:ascii="Courier New" w:hAnsi="Courier New" w:cs="Courier New"/>
        </w:rPr>
        <w:t>model.predict_proba()</w:t>
      </w:r>
      <w:r>
        <w:t xml:space="preserve"> returns the class probabilities. The fraud probability is taken from </w:t>
      </w:r>
      <w:r>
        <w:rPr>
          <w:rFonts w:ascii="Courier New" w:hAnsi="Courier New" w:cs="Courier New"/>
        </w:rPr>
        <w:t>proba_arr[1]</w:t>
      </w:r>
      <w:r>
        <w:t xml:space="preserve"> regardless of which class was predicted, and the confidence score from </w:t>
      </w:r>
      <w:r>
        <w:rPr>
          <w:rFonts w:ascii="Courier New" w:hAnsi="Courier New" w:cs="Courier New"/>
        </w:rPr>
        <w:t>proba_arr[pred]</w:t>
      </w:r>
      <w:r>
        <w:t>. The top five features by model importance are extracted for the behavioural context builder.</w:t>
      </w:r>
    </w:p>
    <w:p w14:paraId="0E62FF41">
      <w:pPr>
        <w:pStyle w:val="4"/>
        <w:spacing w:line="480" w:lineRule="auto"/>
      </w:pPr>
      <w:r>
        <w:t>4.4.4 Streamlit UI Design</w:t>
      </w:r>
      <w:bookmarkEnd w:id="62"/>
    </w:p>
    <w:p w14:paraId="3C3D07BD">
      <w:pPr>
        <w:spacing w:after="200" w:line="480" w:lineRule="auto"/>
        <w:jc w:val="both"/>
        <w:rPr>
          <w:kern w:val="2"/>
          <w14:ligatures w14:val="standardContextual"/>
        </w:rPr>
      </w:pPr>
      <w:bookmarkStart w:id="63" w:name="_Toc228560777"/>
      <w:r>
        <w:t>Streamlit was chosen over Flask or Django because it enables rapid development of data-focused web applications entirely in Python, without requiring separate front-end and back-end codebases. Custom CSS injected via st.markdown is used to achieve a consistent visual design and to improve usability beyond Streamlit’s default styling. The three-column transaction button layout, the result card with an inline confidence bar, the advisor panel toggle, and the theme toggle are implemented using Streamlit layout primitives together with small HTML fragments rendered via unsafe_allow_html=True. The advisor input is wrapped in a Streamlit form with clear_on_submit=True to prevent repeated submissions caused by Streamlit’s rerun-on-interaction execution model.</w:t>
      </w:r>
    </w:p>
    <w:p w14:paraId="6BCF12F2">
      <w:pPr>
        <w:pStyle w:val="3"/>
        <w:spacing w:line="480" w:lineRule="auto"/>
      </w:pPr>
      <w:r>
        <w:t>4.5 Report Generation Module</w:t>
      </w:r>
      <w:bookmarkEnd w:id="63"/>
    </w:p>
    <w:p w14:paraId="0216BA1D">
      <w:pPr>
        <w:pStyle w:val="4"/>
        <w:spacing w:line="480" w:lineRule="auto"/>
      </w:pPr>
      <w:bookmarkStart w:id="64" w:name="_Toc228560778"/>
      <w:r>
        <w:t>4.5.1 Behavioural Context Builder</w:t>
      </w:r>
      <w:bookmarkEnd w:id="64"/>
    </w:p>
    <w:p w14:paraId="4CC5E9D1">
      <w:pPr>
        <w:spacing w:after="200" w:line="480" w:lineRule="auto"/>
        <w:jc w:val="both"/>
        <w:rPr>
          <w:kern w:val="2"/>
          <w14:ligatures w14:val="standardContextual"/>
        </w:rPr>
      </w:pPr>
      <w:bookmarkStart w:id="65" w:name="_Toc228560779"/>
      <w:r>
        <w:t xml:space="preserve">The </w:t>
      </w:r>
      <w:r>
        <w:rPr>
          <w:rFonts w:ascii="Courier New" w:hAnsi="Courier New" w:cs="Courier New"/>
        </w:rPr>
        <w:t>build_behavioural_context</w:t>
      </w:r>
      <w:r>
        <w:t xml:space="preserve"> function produces the five-key context dictionary that serves as the basis for the LLM prompt. The </w:t>
      </w:r>
      <w:r>
        <w:rPr>
          <w:rFonts w:ascii="Courier New" w:hAnsi="Courier New" w:cs="Courier New"/>
        </w:rPr>
        <w:t>amount_profile</w:t>
      </w:r>
      <w:r>
        <w:t xml:space="preserve"> key categorises the transaction amount against four thresholds using fraud-domain language: under EUR 1.00 is described as potential card-testing behaviour; EUR 1.00–10.00 as unusually small; above EUR 1,000.00 as significantly above the population mean; otherwise as within a normal spending range. The </w:t>
      </w:r>
      <w:r>
        <w:rPr>
          <w:rFonts w:ascii="Courier New" w:hAnsi="Courier New" w:cs="Courier New"/>
        </w:rPr>
        <w:t>time_profile</w:t>
      </w:r>
      <w:r>
        <w:t xml:space="preserve"> key converts the time offset to an approximate hour of day and day number, flagging transactions occurring late at night or in the early morning as potentially higher risk because they fall outside typical daytime spending patterns. The </w:t>
      </w:r>
      <w:r>
        <w:rPr>
          <w:rFonts w:ascii="Courier New" w:hAnsi="Courier New" w:cs="Courier New"/>
        </w:rPr>
        <w:t>anomaly_profile</w:t>
      </w:r>
      <w:r>
        <w:t xml:space="preserve"> key counts how many of the top five model features have absolute values greater than 2.0 (mild anomaly) or 3.0 (strong anomaly) standard deviations from zero, translating the count into a qualitative statement. The </w:t>
      </w:r>
      <w:r>
        <w:rPr>
          <w:rFonts w:ascii="Courier New" w:hAnsi="Courier New" w:cs="Courier New"/>
        </w:rPr>
        <w:t>risk_band</w:t>
      </w:r>
      <w:r>
        <w:t xml:space="preserve"> key maps the fraud probability to CRITICAL (≥ 0.85), HIGH (≥ 0.65), MEDIUM (≥ 0.40), or LOW. The </w:t>
      </w:r>
      <w:r>
        <w:rPr>
          <w:rFonts w:ascii="Courier New" w:hAnsi="Courier New" w:cs="Courier New"/>
        </w:rPr>
        <w:t>fraud_proba_pct</w:t>
      </w:r>
      <w:r>
        <w:t xml:space="preserve"> key converts the probability to a percentage.</w:t>
      </w:r>
    </w:p>
    <w:p w14:paraId="2ADA17A0">
      <w:pPr>
        <w:pStyle w:val="4"/>
        <w:spacing w:line="480" w:lineRule="auto"/>
      </w:pPr>
      <w:r>
        <w:t>4.5.2 Groq API Integration</w:t>
      </w:r>
      <w:bookmarkEnd w:id="65"/>
    </w:p>
    <w:p w14:paraId="78A32074">
      <w:pPr>
        <w:spacing w:after="200" w:line="480" w:lineRule="auto"/>
        <w:jc w:val="both"/>
        <w:rPr>
          <w:kern w:val="2"/>
          <w14:ligatures w14:val="standardContextual"/>
        </w:rPr>
      </w:pPr>
      <w:bookmarkStart w:id="66" w:name="_Toc228560780"/>
      <w:r>
        <w:t xml:space="preserve">The </w:t>
      </w:r>
      <w:r>
        <w:rPr>
          <w:rFonts w:ascii="Courier New" w:hAnsi="Courier New" w:cs="Courier New"/>
        </w:rPr>
        <w:t>generate_report</w:t>
      </w:r>
      <w:r>
        <w:t xml:space="preserve"> function creates a Groq client and calls the </w:t>
      </w:r>
      <w:r>
        <w:rPr>
          <w:rFonts w:ascii="Courier New" w:hAnsi="Courier New" w:cs="Courier New"/>
        </w:rPr>
        <w:t>llama-3.1-8b-instant</w:t>
      </w:r>
      <w:r>
        <w:t xml:space="preserve"> model with </w:t>
      </w:r>
      <w:r>
        <w:rPr>
          <w:rFonts w:ascii="Courier New" w:hAnsi="Courier New" w:cs="Courier New"/>
        </w:rPr>
        <w:t>temperature=0.3</w:t>
      </w:r>
      <w:r>
        <w:t xml:space="preserve"> and </w:t>
      </w:r>
      <w:r>
        <w:rPr>
          <w:rFonts w:ascii="Courier New" w:hAnsi="Courier New" w:cs="Courier New"/>
        </w:rPr>
        <w:t>max_tokens=1000</w:t>
      </w:r>
      <w:r>
        <w:t xml:space="preserve">. The model was changed from </w:t>
      </w:r>
      <w:r>
        <w:rPr>
          <w:rFonts w:ascii="Courier New" w:hAnsi="Courier New" w:cs="Courier New"/>
        </w:rPr>
        <w:t>llama3-8b-8192</w:t>
      </w:r>
      <w:r>
        <w:t xml:space="preserve"> after Groq decommissioned that model. The prompt provides the five-key context dictionary, specifies the five required sections, prohibits V-column name references, and instructs the model to write for a compliance officer rather than a data scientist. A </w:t>
      </w:r>
      <w:r>
        <w:rPr>
          <w:rFonts w:ascii="Courier New" w:hAnsi="Courier New" w:cs="Courier New"/>
        </w:rPr>
        <w:t>clean_markdown</w:t>
      </w:r>
      <w:r>
        <w:t xml:space="preserve"> function is applied to the response before it is returned, using regular expressions to strip the markdown formatting the model may produce: </w:t>
      </w:r>
      <w:r>
        <w:rPr>
          <w:rFonts w:ascii="Courier New" w:hAnsi="Courier New" w:cs="Courier New"/>
        </w:rPr>
        <w:t>re.sub(r'**(.+?)**', r'\\1', text)</w:t>
      </w:r>
      <w:r>
        <w:t xml:space="preserve"> removes bold markers, and </w:t>
      </w:r>
      <w:r>
        <w:rPr>
          <w:rFonts w:ascii="Courier New" w:hAnsi="Courier New" w:cs="Courier New"/>
        </w:rPr>
        <w:t>re.sub(r'#{1,6}\\s*', '', text)</w:t>
      </w:r>
      <w:r>
        <w:t xml:space="preserve"> removes heading markers. This ensures the report displays as clean prose in both the Streamlit interface and the PDF.</w:t>
      </w:r>
    </w:p>
    <w:p w14:paraId="3E527FF7">
      <w:pPr>
        <w:pStyle w:val="3"/>
        <w:spacing w:line="480" w:lineRule="auto"/>
      </w:pPr>
      <w:r>
        <w:t>4.6 Fraud Prevention Advisor</w:t>
      </w:r>
      <w:bookmarkEnd w:id="66"/>
    </w:p>
    <w:p w14:paraId="76C22D64">
      <w:pPr>
        <w:spacing w:after="200" w:line="480" w:lineRule="auto"/>
        <w:jc w:val="both"/>
        <w:rPr>
          <w:kern w:val="2"/>
          <w14:ligatures w14:val="standardContextual"/>
        </w:rPr>
      </w:pPr>
      <w:r>
        <w:t xml:space="preserve">The </w:t>
      </w:r>
      <w:r>
        <w:rPr>
          <w:rFonts w:ascii="Courier New" w:hAnsi="Courier New" w:cs="Courier New"/>
        </w:rPr>
        <w:t>ask_advisor</w:t>
      </w:r>
      <w:r>
        <w:t xml:space="preserve"> function sends a POST request to </w:t>
      </w:r>
      <w:r>
        <w:rPr>
          <w:rFonts w:ascii="Courier New" w:hAnsi="Courier New" w:cs="Courier New"/>
        </w:rPr>
        <w:t>https://openrouter.ai/api/v1/chat/completions</w:t>
      </w:r>
      <w:r>
        <w:t xml:space="preserve"> using Python's </w:t>
      </w:r>
      <w:r>
        <w:rPr>
          <w:rFonts w:ascii="Courier New" w:hAnsi="Courier New" w:cs="Courier New"/>
        </w:rPr>
        <w:t>requests</w:t>
      </w:r>
      <w:r>
        <w:t xml:space="preserve"> library with an </w:t>
      </w:r>
      <w:r>
        <w:rPr>
          <w:rFonts w:ascii="Courier New" w:hAnsi="Courier New" w:cs="Courier New"/>
        </w:rPr>
        <w:t>Authorisation: Bearer</w:t>
      </w:r>
      <w:r>
        <w:t xml:space="preserve"> header and a JSON payload, with a 30-second timeout to prevent the application from hanging on slow API responses. The response is parsed as JSON: if a </w:t>
      </w:r>
      <w:r>
        <w:rPr>
          <w:rFonts w:ascii="Courier New" w:hAnsi="Courier New" w:cs="Courier New"/>
        </w:rPr>
        <w:t>choices</w:t>
      </w:r>
      <w:r>
        <w:t xml:space="preserve"> key is present, the first choice's message content is returned through </w:t>
      </w:r>
      <w:r>
        <w:rPr>
          <w:rFonts w:ascii="Courier New" w:hAnsi="Courier New" w:cs="Courier New"/>
        </w:rPr>
        <w:t>clean_markdown</w:t>
      </w:r>
      <w:r>
        <w:t xml:space="preserve">; if an </w:t>
      </w:r>
      <w:r>
        <w:rPr>
          <w:rFonts w:ascii="Courier New" w:hAnsi="Courier New" w:cs="Courier New"/>
        </w:rPr>
        <w:t>error</w:t>
      </w:r>
      <w:r>
        <w:t xml:space="preserve"> key is present, the error message is returned as a string. The system prompt restricts the advisor to fraud detection, fraud prevention, risk mitigation, cybersecurity related to financial transactions, consumer scam awareness, and regulatory guidance, politely redirecting off-topic questions. Conversation history is maintained in </w:t>
      </w:r>
      <w:r>
        <w:rPr>
          <w:rFonts w:ascii="Courier New" w:hAnsi="Courier New" w:cs="Courier New"/>
        </w:rPr>
        <w:t>st.session_state.advisor_msgs</w:t>
      </w:r>
      <w:r>
        <w:t xml:space="preserve"> and passed with every API call to preserve context across turns.</w:t>
      </w:r>
    </w:p>
    <w:p w14:paraId="087CDCF8">
      <w:pPr>
        <w:spacing w:after="200" w:line="480" w:lineRule="auto"/>
        <w:jc w:val="both"/>
        <w:rPr>
          <w:kern w:val="2"/>
          <w14:ligatures w14:val="standardContextual"/>
        </w:rPr>
      </w:pPr>
      <w:bookmarkStart w:id="67" w:name="_Toc228560781"/>
      <w:r>
        <w:t xml:space="preserve">The chat input form is wrapped in </w:t>
      </w:r>
      <w:r>
        <w:rPr>
          <w:rFonts w:ascii="Courier New" w:hAnsi="Courier New" w:cs="Courier New"/>
        </w:rPr>
        <w:t>st.form</w:t>
      </w:r>
      <w:r>
        <w:t xml:space="preserve"> with </w:t>
      </w:r>
      <w:r>
        <w:rPr>
          <w:rFonts w:ascii="Courier New" w:hAnsi="Courier New" w:cs="Courier New"/>
        </w:rPr>
        <w:t>clear_on_submit=True</w:t>
      </w:r>
      <w:r>
        <w:t>. Without this, pressing Enter triggers a Streamlit page rerun before the API response completes, causing the previous message to be resent and the interface to appear frozen or stuck in a loop. The form ensures the API call fires exactly once per submission and the input field clears afterwards.</w:t>
      </w:r>
    </w:p>
    <w:p w14:paraId="15F343C2">
      <w:pPr>
        <w:pStyle w:val="3"/>
        <w:spacing w:line="480" w:lineRule="auto"/>
      </w:pPr>
      <w:r>
        <w:t>4.7 PDF Export</w:t>
      </w:r>
      <w:bookmarkEnd w:id="67"/>
    </w:p>
    <w:p w14:paraId="7DF66841">
      <w:pPr>
        <w:spacing w:after="200" w:line="480" w:lineRule="auto"/>
        <w:jc w:val="both"/>
        <w:rPr>
          <w:kern w:val="2"/>
          <w14:ligatures w14:val="standardContextual"/>
        </w:rPr>
      </w:pPr>
      <w:r>
        <w:t xml:space="preserve">The </w:t>
      </w:r>
      <w:r>
        <w:rPr>
          <w:rFonts w:ascii="Courier New" w:hAnsi="Courier New" w:cs="Courier New"/>
        </w:rPr>
        <w:t>export_pdf</w:t>
      </w:r>
      <w:r>
        <w:t xml:space="preserve"> function applies </w:t>
      </w:r>
      <w:r>
        <w:rPr>
          <w:rFonts w:ascii="Courier New" w:hAnsi="Courier New" w:cs="Courier New"/>
        </w:rPr>
        <w:t>clean_text</w:t>
      </w:r>
      <w:r>
        <w:t xml:space="preserve"> to the report before any PDF operations begin. The </w:t>
      </w:r>
      <w:r>
        <w:rPr>
          <w:rFonts w:ascii="Courier New" w:hAnsi="Courier New" w:cs="Courier New"/>
        </w:rPr>
        <w:t>clean_text</w:t>
      </w:r>
      <w:r>
        <w:t xml:space="preserve"> function replaces specific Unicode characters outside the Latin-1 range supported by fpdf2's Helvetica font: em dashes (U+2014) and en dashes (U+2013) to hyphens, curly single and double quotes to their ASCII equivalents, bullet characters (U+2022) to asterisks, and ellipsis characters (U+2026) to three periods. A final pass encodes the string to Latin-1 with </w:t>
      </w:r>
      <w:r>
        <w:rPr>
          <w:rFonts w:ascii="Courier New" w:hAnsi="Courier New" w:cs="Courier New"/>
        </w:rPr>
        <w:t>errors='ignore'</w:t>
      </w:r>
      <w:r>
        <w:t xml:space="preserve"> and decodes it back, dropping any remaining out-of-range characters. The function was developed iteratively </w:t>
      </w:r>
      <w:r>
        <w:rPr>
          <w:lang w:val="en"/>
        </w:rPr>
        <w:t>,</w:t>
      </w:r>
      <w:r>
        <w:t xml:space="preserve"> each model output that caused a PDF failure identified a new character to add to the replacement table.</w:t>
      </w:r>
    </w:p>
    <w:p w14:paraId="18EF0F2F">
      <w:pPr>
        <w:spacing w:after="200" w:line="480" w:lineRule="auto"/>
        <w:jc w:val="both"/>
        <w:rPr>
          <w:kern w:val="2"/>
          <w14:ligatures w14:val="standardContextual"/>
        </w:rPr>
      </w:pPr>
      <w:bookmarkStart w:id="68" w:name="_Toc228560782"/>
      <w:r>
        <w:t xml:space="preserve">The PDF is generated using the </w:t>
      </w:r>
      <w:r>
        <w:rPr>
          <w:rFonts w:ascii="Courier New" w:hAnsi="Courier New" w:cs="Courier New"/>
        </w:rPr>
        <w:t>FPDF</w:t>
      </w:r>
      <w:r>
        <w:t xml:space="preserve"> class in </w:t>
      </w:r>
      <w:r>
        <w:rPr>
          <w:rFonts w:ascii="Courier New" w:hAnsi="Courier New" w:cs="Courier New"/>
        </w:rPr>
        <w:t>fpdf2</w:t>
      </w:r>
      <w:r>
        <w:t xml:space="preserve">. The document includes a title header, a generation timestamp, a colour-coded verdict banner (red for fraudulent, green for legitimate), a metadata line, the report body parsed line-by-line with section headings and bullets distinguished by pattern matching, and a footer. The PDF is returned as bytes (via </w:t>
      </w:r>
      <w:r>
        <w:rPr>
          <w:rFonts w:ascii="Courier New" w:hAnsi="Courier New" w:cs="Courier New"/>
        </w:rPr>
        <w:t>pdf.output()</w:t>
      </w:r>
      <w:r>
        <w:t xml:space="preserve">) and served via </w:t>
      </w:r>
      <w:r>
        <w:rPr>
          <w:rFonts w:ascii="Courier New" w:hAnsi="Courier New" w:cs="Courier New"/>
        </w:rPr>
        <w:t>st.download_button</w:t>
      </w:r>
      <w:r>
        <w:t xml:space="preserve"> without writing to disk, which is necessary for cloud deployment environments where the local filesystem may not persist across sessions.</w:t>
      </w:r>
    </w:p>
    <w:p w14:paraId="444593FD">
      <w:pPr>
        <w:pStyle w:val="3"/>
        <w:spacing w:line="480" w:lineRule="auto"/>
      </w:pPr>
      <w:r>
        <w:t>4.8 Theme System</w:t>
      </w:r>
      <w:bookmarkEnd w:id="68"/>
    </w:p>
    <w:p w14:paraId="08B63D9C">
      <w:pPr>
        <w:spacing w:after="200" w:line="480" w:lineRule="auto"/>
        <w:jc w:val="both"/>
        <w:rPr>
          <w:kern w:val="2"/>
          <w14:ligatures w14:val="standardContextual"/>
        </w:rPr>
      </w:pPr>
      <w:bookmarkStart w:id="69" w:name="_Toc228560783"/>
      <w:r>
        <w:t xml:space="preserve">Light and dark mode are implemented through a single </w:t>
      </w:r>
      <w:r>
        <w:rPr>
          <w:rFonts w:ascii="Courier New" w:hAnsi="Courier New" w:cs="Courier New"/>
        </w:rPr>
        <w:t>dark_mode</w:t>
      </w:r>
      <w:r>
        <w:t xml:space="preserve"> boolean in the session state. Eighteen colour tokens are computed from this flag at the top of </w:t>
      </w:r>
      <w:r>
        <w:rPr>
          <w:rFonts w:ascii="Courier New" w:hAnsi="Courier New" w:cs="Courier New"/>
        </w:rPr>
        <w:t>app.py</w:t>
      </w:r>
      <w:r>
        <w:t xml:space="preserve"> using ternary expressions, and every CSS rule and HTML string in the file references these token variables. Switching themes requires toggling the flag and calling </w:t>
      </w:r>
      <w:r>
        <w:rPr>
          <w:rFonts w:ascii="Courier New" w:hAnsi="Courier New" w:cs="Courier New"/>
        </w:rPr>
        <w:t>st.rerun()</w:t>
      </w:r>
      <w:r>
        <w:t>, after which the palette recomputes and all CSS regenerates. The single-flag approach ensures the two themes always remain internally consistent, and adding new UI components requires only using existing tokens rather than maintaining separate colour sets.</w:t>
      </w:r>
    </w:p>
    <w:p w14:paraId="299FE5D7">
      <w:pPr>
        <w:pStyle w:val="2"/>
        <w:spacing w:line="480" w:lineRule="auto"/>
      </w:pPr>
      <w:r>
        <w:t>CHAPTER 5</w:t>
      </w:r>
      <w:bookmarkEnd w:id="69"/>
    </w:p>
    <w:p w14:paraId="7641281E">
      <w:pPr>
        <w:pStyle w:val="3"/>
        <w:spacing w:line="480" w:lineRule="auto"/>
      </w:pPr>
      <w:bookmarkStart w:id="70" w:name="_Toc228560784"/>
      <w:r>
        <w:t>Results and Discussion</w:t>
      </w:r>
      <w:bookmarkEnd w:id="70"/>
    </w:p>
    <w:p w14:paraId="3CACFDE3">
      <w:pPr>
        <w:pStyle w:val="3"/>
        <w:spacing w:line="480" w:lineRule="auto"/>
      </w:pPr>
      <w:bookmarkStart w:id="71" w:name="_Toc228560785"/>
      <w:r>
        <w:t>5.1 Introduction</w:t>
      </w:r>
      <w:bookmarkEnd w:id="71"/>
    </w:p>
    <w:p w14:paraId="5394B206">
      <w:pPr>
        <w:spacing w:after="200" w:line="480" w:lineRule="auto"/>
        <w:jc w:val="both"/>
      </w:pPr>
      <w:r>
        <w:t>This chapter presents and discusses Aegis's evaluation results, covering the primary model performance metrics, the confusion matrix, feature importance rankings, a comparison with the Logistic Regression baseline, a comparison with two related systems, and a qualitative assessment of the LLM-generated reports.</w:t>
      </w:r>
    </w:p>
    <w:p w14:paraId="2FDE262B">
      <w:pPr>
        <w:pStyle w:val="3"/>
        <w:spacing w:line="480" w:lineRule="auto"/>
      </w:pPr>
      <w:bookmarkStart w:id="72" w:name="_Toc228560786"/>
      <w:r>
        <w:t>5.2 Model Performance Metrics</w:t>
      </w:r>
      <w:bookmarkEnd w:id="72"/>
    </w:p>
    <w:tbl>
      <w:tblPr>
        <w:tblStyle w:val="24"/>
        <w:tblW w:w="8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23"/>
        <w:gridCol w:w="1541"/>
        <w:gridCol w:w="2616"/>
        <w:gridCol w:w="3220"/>
      </w:tblGrid>
      <w:tr w14:paraId="6C882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shd w:val="clear" w:color="auto" w:fill="1F3864"/>
            <w:tcMar>
              <w:top w:w="60" w:type="dxa"/>
              <w:left w:w="100" w:type="dxa"/>
              <w:bottom w:w="60" w:type="dxa"/>
              <w:right w:w="100" w:type="dxa"/>
            </w:tcMar>
          </w:tcPr>
          <w:p w14:paraId="786B1689">
            <w:pPr>
              <w:spacing w:line="480" w:lineRule="auto"/>
              <w:jc w:val="both"/>
            </w:pPr>
            <w:r>
              <w:rPr>
                <w:b/>
                <w:bCs/>
                <w:color w:val="FFFFFF"/>
              </w:rPr>
              <w:t>Metric</w:t>
            </w:r>
          </w:p>
        </w:tc>
        <w:tc>
          <w:tcPr>
            <w:tcW w:w="0" w:type="auto"/>
            <w:shd w:val="clear" w:color="auto" w:fill="1F3864"/>
            <w:tcMar>
              <w:top w:w="60" w:type="dxa"/>
              <w:left w:w="100" w:type="dxa"/>
              <w:bottom w:w="60" w:type="dxa"/>
              <w:right w:w="100" w:type="dxa"/>
            </w:tcMar>
          </w:tcPr>
          <w:p w14:paraId="3F4C7A95">
            <w:pPr>
              <w:spacing w:line="480" w:lineRule="auto"/>
              <w:jc w:val="both"/>
            </w:pPr>
            <w:r>
              <w:rPr>
                <w:b/>
                <w:bCs/>
                <w:color w:val="FFFFFF"/>
              </w:rPr>
              <w:t>Random Forest</w:t>
            </w:r>
          </w:p>
        </w:tc>
        <w:tc>
          <w:tcPr>
            <w:tcW w:w="0" w:type="auto"/>
            <w:shd w:val="clear" w:color="auto" w:fill="1F3864"/>
            <w:tcMar>
              <w:top w:w="60" w:type="dxa"/>
              <w:left w:w="100" w:type="dxa"/>
              <w:bottom w:w="60" w:type="dxa"/>
              <w:right w:w="100" w:type="dxa"/>
            </w:tcMar>
          </w:tcPr>
          <w:p w14:paraId="740786DC">
            <w:pPr>
              <w:spacing w:line="480" w:lineRule="auto"/>
              <w:jc w:val="both"/>
            </w:pPr>
            <w:r>
              <w:rPr>
                <w:b/>
                <w:bCs/>
                <w:color w:val="FFFFFF"/>
              </w:rPr>
              <w:t>Logistic Regression (Baseline)</w:t>
            </w:r>
          </w:p>
        </w:tc>
        <w:tc>
          <w:tcPr>
            <w:tcW w:w="0" w:type="auto"/>
            <w:shd w:val="clear" w:color="auto" w:fill="1F3864"/>
            <w:tcMar>
              <w:top w:w="60" w:type="dxa"/>
              <w:left w:w="100" w:type="dxa"/>
              <w:bottom w:w="60" w:type="dxa"/>
              <w:right w:w="100" w:type="dxa"/>
            </w:tcMar>
          </w:tcPr>
          <w:p w14:paraId="5FCD92DE">
            <w:pPr>
              <w:spacing w:line="480" w:lineRule="auto"/>
              <w:jc w:val="both"/>
            </w:pPr>
            <w:r>
              <w:rPr>
                <w:b/>
                <w:bCs/>
                <w:color w:val="FFFFFF"/>
              </w:rPr>
              <w:t>Interpretation</w:t>
            </w:r>
          </w:p>
        </w:tc>
      </w:tr>
      <w:tr w14:paraId="74127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shd w:val="clear" w:color="auto" w:fill="EBF3FB"/>
            <w:tcMar>
              <w:top w:w="60" w:type="dxa"/>
              <w:left w:w="100" w:type="dxa"/>
              <w:bottom w:w="60" w:type="dxa"/>
              <w:right w:w="100" w:type="dxa"/>
            </w:tcMar>
          </w:tcPr>
          <w:p w14:paraId="3F270DD7">
            <w:pPr>
              <w:spacing w:line="480" w:lineRule="auto"/>
              <w:jc w:val="both"/>
            </w:pPr>
            <w:r>
              <w:t>F1-Score</w:t>
            </w:r>
          </w:p>
        </w:tc>
        <w:tc>
          <w:tcPr>
            <w:tcW w:w="0" w:type="auto"/>
            <w:shd w:val="clear" w:color="auto" w:fill="EBF3FB"/>
            <w:tcMar>
              <w:top w:w="60" w:type="dxa"/>
              <w:left w:w="100" w:type="dxa"/>
              <w:bottom w:w="60" w:type="dxa"/>
              <w:right w:w="100" w:type="dxa"/>
            </w:tcMar>
          </w:tcPr>
          <w:p w14:paraId="584ACA0B">
            <w:pPr>
              <w:spacing w:line="480" w:lineRule="auto"/>
              <w:jc w:val="both"/>
            </w:pPr>
            <w:r>
              <w:t>0.8268</w:t>
            </w:r>
          </w:p>
        </w:tc>
        <w:tc>
          <w:tcPr>
            <w:tcW w:w="0" w:type="auto"/>
            <w:shd w:val="clear" w:color="auto" w:fill="EBF3FB"/>
            <w:tcMar>
              <w:top w:w="60" w:type="dxa"/>
              <w:left w:w="100" w:type="dxa"/>
              <w:bottom w:w="60" w:type="dxa"/>
              <w:right w:w="100" w:type="dxa"/>
            </w:tcMar>
          </w:tcPr>
          <w:p w14:paraId="4835F923">
            <w:pPr>
              <w:spacing w:line="480" w:lineRule="auto"/>
              <w:jc w:val="both"/>
            </w:pPr>
            <w:r>
              <w:t>~0.72</w:t>
            </w:r>
          </w:p>
        </w:tc>
        <w:tc>
          <w:tcPr>
            <w:tcW w:w="0" w:type="auto"/>
            <w:shd w:val="clear" w:color="auto" w:fill="EBF3FB"/>
            <w:tcMar>
              <w:top w:w="60" w:type="dxa"/>
              <w:left w:w="100" w:type="dxa"/>
              <w:bottom w:w="60" w:type="dxa"/>
              <w:right w:w="100" w:type="dxa"/>
            </w:tcMar>
          </w:tcPr>
          <w:p w14:paraId="59A39831">
            <w:pPr>
              <w:spacing w:line="480" w:lineRule="auto"/>
              <w:jc w:val="both"/>
            </w:pPr>
            <w:r>
              <w:t>Harmonic mean of precision and recall</w:t>
            </w:r>
          </w:p>
        </w:tc>
      </w:tr>
      <w:tr w14:paraId="4B642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shd w:val="clear" w:color="auto" w:fill="FFFFFF"/>
            <w:tcMar>
              <w:top w:w="60" w:type="dxa"/>
              <w:left w:w="100" w:type="dxa"/>
              <w:bottom w:w="60" w:type="dxa"/>
              <w:right w:w="100" w:type="dxa"/>
            </w:tcMar>
          </w:tcPr>
          <w:p w14:paraId="04C143D8">
            <w:pPr>
              <w:spacing w:line="480" w:lineRule="auto"/>
              <w:jc w:val="both"/>
            </w:pPr>
            <w:r>
              <w:t>Precision</w:t>
            </w:r>
          </w:p>
        </w:tc>
        <w:tc>
          <w:tcPr>
            <w:tcW w:w="0" w:type="auto"/>
            <w:shd w:val="clear" w:color="auto" w:fill="FFFFFF"/>
            <w:tcMar>
              <w:top w:w="60" w:type="dxa"/>
              <w:left w:w="100" w:type="dxa"/>
              <w:bottom w:w="60" w:type="dxa"/>
              <w:right w:w="100" w:type="dxa"/>
            </w:tcMar>
          </w:tcPr>
          <w:p w14:paraId="05546C3F">
            <w:pPr>
              <w:spacing w:line="480" w:lineRule="auto"/>
              <w:jc w:val="both"/>
            </w:pPr>
            <w:r>
              <w:t>0.8810</w:t>
            </w:r>
          </w:p>
        </w:tc>
        <w:tc>
          <w:tcPr>
            <w:tcW w:w="0" w:type="auto"/>
            <w:shd w:val="clear" w:color="auto" w:fill="FFFFFF"/>
            <w:tcMar>
              <w:top w:w="60" w:type="dxa"/>
              <w:left w:w="100" w:type="dxa"/>
              <w:bottom w:w="60" w:type="dxa"/>
              <w:right w:w="100" w:type="dxa"/>
            </w:tcMar>
          </w:tcPr>
          <w:p w14:paraId="12C957E6">
            <w:pPr>
              <w:spacing w:line="480" w:lineRule="auto"/>
              <w:jc w:val="both"/>
            </w:pPr>
            <w:r>
              <w:t>~0.65</w:t>
            </w:r>
          </w:p>
        </w:tc>
        <w:tc>
          <w:tcPr>
            <w:tcW w:w="0" w:type="auto"/>
            <w:shd w:val="clear" w:color="auto" w:fill="FFFFFF"/>
            <w:tcMar>
              <w:top w:w="60" w:type="dxa"/>
              <w:left w:w="100" w:type="dxa"/>
              <w:bottom w:w="60" w:type="dxa"/>
              <w:right w:w="100" w:type="dxa"/>
            </w:tcMar>
          </w:tcPr>
          <w:p w14:paraId="513DD012">
            <w:pPr>
              <w:spacing w:line="480" w:lineRule="auto"/>
              <w:jc w:val="both"/>
            </w:pPr>
            <w:r>
              <w:t>Accuracy of positive (fraud) predictions</w:t>
            </w:r>
          </w:p>
        </w:tc>
      </w:tr>
      <w:tr w14:paraId="7AC67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shd w:val="clear" w:color="auto" w:fill="EBF3FB"/>
            <w:tcMar>
              <w:top w:w="60" w:type="dxa"/>
              <w:left w:w="100" w:type="dxa"/>
              <w:bottom w:w="60" w:type="dxa"/>
              <w:right w:w="100" w:type="dxa"/>
            </w:tcMar>
          </w:tcPr>
          <w:p w14:paraId="5B5C5E81">
            <w:pPr>
              <w:spacing w:line="480" w:lineRule="auto"/>
              <w:jc w:val="both"/>
            </w:pPr>
            <w:r>
              <w:t>Recall</w:t>
            </w:r>
          </w:p>
        </w:tc>
        <w:tc>
          <w:tcPr>
            <w:tcW w:w="0" w:type="auto"/>
            <w:shd w:val="clear" w:color="auto" w:fill="EBF3FB"/>
            <w:tcMar>
              <w:top w:w="60" w:type="dxa"/>
              <w:left w:w="100" w:type="dxa"/>
              <w:bottom w:w="60" w:type="dxa"/>
              <w:right w:w="100" w:type="dxa"/>
            </w:tcMar>
          </w:tcPr>
          <w:p w14:paraId="01A254EE">
            <w:pPr>
              <w:spacing w:line="480" w:lineRule="auto"/>
              <w:jc w:val="both"/>
            </w:pPr>
            <w:r>
              <w:t>0.7789</w:t>
            </w:r>
          </w:p>
        </w:tc>
        <w:tc>
          <w:tcPr>
            <w:tcW w:w="0" w:type="auto"/>
            <w:shd w:val="clear" w:color="auto" w:fill="EBF3FB"/>
            <w:tcMar>
              <w:top w:w="60" w:type="dxa"/>
              <w:left w:w="100" w:type="dxa"/>
              <w:bottom w:w="60" w:type="dxa"/>
              <w:right w:w="100" w:type="dxa"/>
            </w:tcMar>
          </w:tcPr>
          <w:p w14:paraId="4BA0EEAD">
            <w:pPr>
              <w:spacing w:line="480" w:lineRule="auto"/>
              <w:jc w:val="both"/>
            </w:pPr>
            <w:r>
              <w:t>~0.82</w:t>
            </w:r>
          </w:p>
        </w:tc>
        <w:tc>
          <w:tcPr>
            <w:tcW w:w="0" w:type="auto"/>
            <w:shd w:val="clear" w:color="auto" w:fill="EBF3FB"/>
            <w:tcMar>
              <w:top w:w="60" w:type="dxa"/>
              <w:left w:w="100" w:type="dxa"/>
              <w:bottom w:w="60" w:type="dxa"/>
              <w:right w:w="100" w:type="dxa"/>
            </w:tcMar>
          </w:tcPr>
          <w:p w14:paraId="77F12FDF">
            <w:pPr>
              <w:spacing w:line="480" w:lineRule="auto"/>
              <w:jc w:val="both"/>
            </w:pPr>
            <w:r>
              <w:t>Fraction of genuine fraud cases detected</w:t>
            </w:r>
          </w:p>
        </w:tc>
      </w:tr>
      <w:tr w14:paraId="3CAEE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shd w:val="clear" w:color="auto" w:fill="FFFFFF"/>
            <w:tcMar>
              <w:top w:w="60" w:type="dxa"/>
              <w:left w:w="100" w:type="dxa"/>
              <w:bottom w:w="60" w:type="dxa"/>
              <w:right w:w="100" w:type="dxa"/>
            </w:tcMar>
          </w:tcPr>
          <w:p w14:paraId="2C0A33F9">
            <w:pPr>
              <w:spacing w:line="480" w:lineRule="auto"/>
              <w:jc w:val="both"/>
            </w:pPr>
            <w:r>
              <w:t>ROC-AUC</w:t>
            </w:r>
          </w:p>
        </w:tc>
        <w:tc>
          <w:tcPr>
            <w:tcW w:w="0" w:type="auto"/>
            <w:shd w:val="clear" w:color="auto" w:fill="FFFFFF"/>
            <w:tcMar>
              <w:top w:w="60" w:type="dxa"/>
              <w:left w:w="100" w:type="dxa"/>
              <w:bottom w:w="60" w:type="dxa"/>
              <w:right w:w="100" w:type="dxa"/>
            </w:tcMar>
          </w:tcPr>
          <w:p w14:paraId="1E78A1B7">
            <w:pPr>
              <w:spacing w:line="480" w:lineRule="auto"/>
              <w:jc w:val="both"/>
            </w:pPr>
            <w:r>
              <w:t>0.9633</w:t>
            </w:r>
          </w:p>
        </w:tc>
        <w:tc>
          <w:tcPr>
            <w:tcW w:w="0" w:type="auto"/>
            <w:shd w:val="clear" w:color="auto" w:fill="FFFFFF"/>
            <w:tcMar>
              <w:top w:w="60" w:type="dxa"/>
              <w:left w:w="100" w:type="dxa"/>
              <w:bottom w:w="60" w:type="dxa"/>
              <w:right w:w="100" w:type="dxa"/>
            </w:tcMar>
          </w:tcPr>
          <w:p w14:paraId="14E09D2F">
            <w:pPr>
              <w:spacing w:line="480" w:lineRule="auto"/>
              <w:jc w:val="both"/>
            </w:pPr>
            <w:r>
              <w:t>~0.94</w:t>
            </w:r>
          </w:p>
        </w:tc>
        <w:tc>
          <w:tcPr>
            <w:tcW w:w="0" w:type="auto"/>
            <w:shd w:val="clear" w:color="auto" w:fill="FFFFFF"/>
            <w:tcMar>
              <w:top w:w="60" w:type="dxa"/>
              <w:left w:w="100" w:type="dxa"/>
              <w:bottom w:w="60" w:type="dxa"/>
              <w:right w:w="100" w:type="dxa"/>
            </w:tcMar>
          </w:tcPr>
          <w:p w14:paraId="07FAD44B">
            <w:pPr>
              <w:spacing w:line="480" w:lineRule="auto"/>
              <w:jc w:val="both"/>
            </w:pPr>
            <w:r>
              <w:t>Discriminative ability across all thresholds</w:t>
            </w:r>
          </w:p>
        </w:tc>
      </w:tr>
    </w:tbl>
    <w:p w14:paraId="1D03A4FF">
      <w:pPr>
        <w:spacing w:line="480" w:lineRule="auto"/>
        <w:jc w:val="both"/>
      </w:pPr>
    </w:p>
    <w:p w14:paraId="2FDD8BD3">
      <w:pPr>
        <w:spacing w:after="200" w:line="480" w:lineRule="auto"/>
        <w:jc w:val="both"/>
      </w:pPr>
      <w:r>
        <w:t>Table 2: Model Performance Metrics on Held-Out Test Set</w:t>
      </w:r>
    </w:p>
    <w:p w14:paraId="31CA6123">
      <w:pPr>
        <w:spacing w:after="200" w:line="480" w:lineRule="auto"/>
        <w:jc w:val="both"/>
      </w:pPr>
      <w:r>
        <w:t>The Random Forest achieves an F1-score of 0.8268, precision of 0.8810, recall of 0.7789, and ROC-AUC of 0.9633 on the held-out test set of 56,746 transactions, of which 95 were genuine fraud cases. These results fall within the 0.82–0.87 F1 range that published implementations on the ULB dataset typically report for correctly implemented Random Forest pipelines (Varmedja et al., 2019).</w:t>
      </w:r>
    </w:p>
    <w:p w14:paraId="3C1CE753">
      <w:pPr>
        <w:spacing w:after="200" w:line="480" w:lineRule="auto"/>
        <w:jc w:val="both"/>
        <w:rPr>
          <w:kern w:val="2"/>
          <w14:ligatures w14:val="standardContextual"/>
        </w:rPr>
      </w:pPr>
      <w:r>
        <w:t>A precision of 0.8810 means that when Aegis flags a transaction, it is correct 88.1% of the time. In operational terms, roughly 12 in every 100 transactions flagged for analyst review would be legitimate. This is favourable relative to many rule-based systems, which Bolton and Hand (2002) discuss as often generating substantial volumes of false positives that consume analyst time.</w:t>
      </w:r>
    </w:p>
    <w:p w14:paraId="29ED4B26">
      <w:pPr>
        <w:spacing w:after="200" w:line="480" w:lineRule="auto"/>
        <w:jc w:val="both"/>
        <w:rPr>
          <w:kern w:val="2"/>
          <w14:ligatures w14:val="standardContextual"/>
        </w:rPr>
      </w:pPr>
      <w:r>
        <w:t>The recall of 0.7789 means the model catches approximately 77.9% of genuine fraud cases at the default 0.5 decision threshold, leaving around 22.1% undetected. The appropriate balance between precision and recall depends on context: in a high-value environment where each missed case carries significant financial loss, lowering the threshold (for example, to 0.3) would typically increase recall at some cost to precision. Aegis uses the default threshold in this evaluation, but the threshold is configurable in the application. A more comprehensive operational evaluation would include a threshold sweep and a precision–recall curve to identify suitable operating points for different risk appetites, since ROC-AUC alone does not capture performance under extreme class imbalance.</w:t>
      </w:r>
    </w:p>
    <w:p w14:paraId="7C0963B7">
      <w:pPr>
        <w:spacing w:after="200" w:line="480" w:lineRule="auto"/>
        <w:jc w:val="both"/>
      </w:pPr>
      <w:r>
        <w:t>A ROC-AUC of 0.9633 indicates strong discriminative ability. A value of 0.5 represents random chance; 1.0 represents perfect discrimination. At 0.9633, the model's fraud probability scores correctly rank a randomly selected fraudulent transaction above a randomly selected legitimate one in over 96% of cases.</w:t>
      </w:r>
    </w:p>
    <w:p w14:paraId="09C561C1">
      <w:pPr>
        <w:spacing w:after="200" w:line="480" w:lineRule="auto"/>
        <w:jc w:val="both"/>
        <w:rPr>
          <w:kern w:val="2"/>
          <w14:ligatures w14:val="standardContextual"/>
        </w:rPr>
      </w:pPr>
      <w:bookmarkStart w:id="73" w:name="_Toc228560787"/>
      <w:r>
        <w:t>The five-fold stratified cross-validation on the SMOTE-balanced training data produced a mean F1-score higher than the test set result. This difference is expected because cross-validation is performed on a balanced distribution created by SMOTE, whereas the held-out test set preserves the original 0.172% fraud prevalence. Performance measured on balanced folds, therefore, reflects the classifier’s ability to separate the classes when they are equally represented. In contrast, performance on the imbalanced test set reflects the operational challenge of detecting rare events under realistic base rates. Reporting both values is useful: cross-validation provides a stability estimate for the training procedure, while the test set provides the most deployment-relevant performance estimate.</w:t>
      </w:r>
    </w:p>
    <w:p w14:paraId="6E4DCFCE">
      <w:pPr>
        <w:pStyle w:val="3"/>
        <w:spacing w:line="480" w:lineRule="auto"/>
      </w:pPr>
      <w:r>
        <w:t>5.3 Confusion Matrix Analysis</w:t>
      </w:r>
      <w:bookmarkEnd w:id="73"/>
    </w:p>
    <w:tbl>
      <w:tblPr>
        <w:tblStyle w:val="24"/>
        <w:tblW w:w="8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54"/>
        <w:gridCol w:w="3354"/>
        <w:gridCol w:w="2792"/>
      </w:tblGrid>
      <w:tr w14:paraId="69A9B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91" w:hRule="atLeast"/>
        </w:trPr>
        <w:tc>
          <w:tcPr>
            <w:tcW w:w="0" w:type="auto"/>
            <w:tcBorders>
              <w:top w:val="single" w:color="auto" w:sz="12" w:space="0"/>
              <w:left w:val="single" w:color="auto" w:sz="12" w:space="0"/>
              <w:bottom w:val="single" w:color="auto" w:sz="12" w:space="0"/>
              <w:right w:val="single" w:color="auto" w:sz="12" w:space="0"/>
            </w:tcBorders>
            <w:shd w:val="clear" w:color="auto" w:fill="153D63" w:themeFill="text2" w:themeFillTint="E6"/>
            <w:tcMar>
              <w:top w:w="60" w:type="dxa"/>
              <w:left w:w="100" w:type="dxa"/>
              <w:bottom w:w="60" w:type="dxa"/>
              <w:right w:w="100" w:type="dxa"/>
            </w:tcMar>
          </w:tcPr>
          <w:p w14:paraId="3A29F93D">
            <w:pPr>
              <w:spacing w:line="480" w:lineRule="auto"/>
              <w:jc w:val="both"/>
              <w:rPr>
                <w:b/>
                <w:bCs/>
              </w:rPr>
            </w:pPr>
          </w:p>
        </w:tc>
        <w:tc>
          <w:tcPr>
            <w:tcW w:w="0" w:type="auto"/>
            <w:tcBorders>
              <w:top w:val="single" w:color="auto" w:sz="12" w:space="0"/>
              <w:left w:val="single" w:color="auto" w:sz="12" w:space="0"/>
              <w:bottom w:val="single" w:color="auto" w:sz="12" w:space="0"/>
              <w:right w:val="single" w:color="auto" w:sz="12" w:space="0"/>
            </w:tcBorders>
            <w:shd w:val="clear" w:color="auto" w:fill="153D63" w:themeFill="text2" w:themeFillTint="E6"/>
            <w:tcMar>
              <w:top w:w="60" w:type="dxa"/>
              <w:left w:w="100" w:type="dxa"/>
              <w:bottom w:w="60" w:type="dxa"/>
              <w:right w:w="100" w:type="dxa"/>
            </w:tcMar>
          </w:tcPr>
          <w:p w14:paraId="774B661C">
            <w:pPr>
              <w:spacing w:line="480" w:lineRule="auto"/>
              <w:jc w:val="both"/>
            </w:pPr>
            <w:r>
              <w:rPr>
                <w:b/>
                <w:bCs/>
                <w:color w:val="FFFFFF"/>
              </w:rPr>
              <w:t>Predicted: Legitimate</w:t>
            </w:r>
          </w:p>
        </w:tc>
        <w:tc>
          <w:tcPr>
            <w:tcW w:w="0" w:type="auto"/>
            <w:tcBorders>
              <w:top w:val="single" w:color="auto" w:sz="12" w:space="0"/>
              <w:left w:val="single" w:color="auto" w:sz="12" w:space="0"/>
              <w:bottom w:val="single" w:color="auto" w:sz="12" w:space="0"/>
              <w:right w:val="single" w:color="auto" w:sz="12" w:space="0"/>
            </w:tcBorders>
            <w:shd w:val="clear" w:color="auto" w:fill="153D63" w:themeFill="text2" w:themeFillTint="E6"/>
            <w:tcMar>
              <w:top w:w="60" w:type="dxa"/>
              <w:left w:w="100" w:type="dxa"/>
              <w:bottom w:w="60" w:type="dxa"/>
              <w:right w:w="100" w:type="dxa"/>
            </w:tcMar>
          </w:tcPr>
          <w:p w14:paraId="22992EEB">
            <w:pPr>
              <w:spacing w:line="480" w:lineRule="auto"/>
              <w:jc w:val="both"/>
            </w:pPr>
            <w:r>
              <w:rPr>
                <w:b/>
                <w:bCs/>
                <w:color w:val="FFFFFF"/>
              </w:rPr>
              <w:t>Predicted: Fraudulent</w:t>
            </w:r>
          </w:p>
        </w:tc>
      </w:tr>
      <w:tr w14:paraId="39F1D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auto" w:sz="12" w:space="0"/>
              <w:left w:val="single" w:color="auto" w:sz="12" w:space="0"/>
              <w:bottom w:val="single" w:color="auto" w:sz="12" w:space="0"/>
              <w:right w:val="single" w:color="auto" w:sz="12" w:space="0"/>
            </w:tcBorders>
            <w:shd w:val="clear" w:color="auto" w:fill="153D63" w:themeFill="text2" w:themeFillTint="E6"/>
            <w:tcMar>
              <w:top w:w="60" w:type="dxa"/>
              <w:left w:w="100" w:type="dxa"/>
              <w:bottom w:w="60" w:type="dxa"/>
              <w:right w:w="100" w:type="dxa"/>
            </w:tcMar>
          </w:tcPr>
          <w:p w14:paraId="2E3E5778">
            <w:pPr>
              <w:spacing w:line="480" w:lineRule="auto"/>
              <w:jc w:val="both"/>
              <w:rPr>
                <w:b/>
                <w:bCs/>
              </w:rPr>
            </w:pPr>
            <w:r>
              <w:rPr>
                <w:b/>
                <w:bCs/>
              </w:rPr>
              <w:t>Actual: Legitimate</w:t>
            </w:r>
          </w:p>
        </w:tc>
        <w:tc>
          <w:tcPr>
            <w:tcW w:w="0" w:type="auto"/>
            <w:tcBorders>
              <w:top w:val="single" w:color="auto" w:sz="12" w:space="0"/>
              <w:left w:val="single" w:color="auto" w:sz="12" w:space="0"/>
              <w:bottom w:val="single" w:color="auto" w:sz="12" w:space="0"/>
              <w:right w:val="single" w:color="auto" w:sz="12" w:space="0"/>
            </w:tcBorders>
            <w:shd w:val="clear" w:color="auto" w:fill="EBF3FB"/>
            <w:tcMar>
              <w:top w:w="60" w:type="dxa"/>
              <w:left w:w="100" w:type="dxa"/>
              <w:bottom w:w="60" w:type="dxa"/>
              <w:right w:w="100" w:type="dxa"/>
            </w:tcMar>
          </w:tcPr>
          <w:p w14:paraId="28AE5203">
            <w:pPr>
              <w:spacing w:line="480" w:lineRule="auto"/>
              <w:jc w:val="both"/>
            </w:pPr>
            <w:r>
              <w:t>56,641  (True Negatives - TN)</w:t>
            </w:r>
          </w:p>
        </w:tc>
        <w:tc>
          <w:tcPr>
            <w:tcW w:w="0" w:type="auto"/>
            <w:tcBorders>
              <w:top w:val="single" w:color="auto" w:sz="12" w:space="0"/>
              <w:left w:val="single" w:color="auto" w:sz="12" w:space="0"/>
              <w:bottom w:val="single" w:color="auto" w:sz="12" w:space="0"/>
              <w:right w:val="single" w:color="auto" w:sz="12" w:space="0"/>
            </w:tcBorders>
            <w:shd w:val="clear" w:color="auto" w:fill="EBF3FB"/>
            <w:tcMar>
              <w:top w:w="60" w:type="dxa"/>
              <w:left w:w="100" w:type="dxa"/>
              <w:bottom w:w="60" w:type="dxa"/>
              <w:right w:w="100" w:type="dxa"/>
            </w:tcMar>
          </w:tcPr>
          <w:p w14:paraId="428D1881">
            <w:pPr>
              <w:spacing w:line="480" w:lineRule="auto"/>
              <w:jc w:val="both"/>
            </w:pPr>
            <w:r>
              <w:t>10  (False Positives - FP)</w:t>
            </w:r>
          </w:p>
        </w:tc>
      </w:tr>
      <w:tr w14:paraId="0AF87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auto" w:sz="12" w:space="0"/>
              <w:left w:val="single" w:color="auto" w:sz="12" w:space="0"/>
              <w:bottom w:val="single" w:color="auto" w:sz="12" w:space="0"/>
              <w:right w:val="single" w:color="auto" w:sz="12" w:space="0"/>
            </w:tcBorders>
            <w:shd w:val="clear" w:color="auto" w:fill="153D63" w:themeFill="text2" w:themeFillTint="E6"/>
            <w:tcMar>
              <w:top w:w="60" w:type="dxa"/>
              <w:left w:w="100" w:type="dxa"/>
              <w:bottom w:w="60" w:type="dxa"/>
              <w:right w:w="100" w:type="dxa"/>
            </w:tcMar>
          </w:tcPr>
          <w:p w14:paraId="0DE1F373">
            <w:pPr>
              <w:spacing w:line="480" w:lineRule="auto"/>
              <w:jc w:val="both"/>
              <w:rPr>
                <w:b/>
                <w:bCs/>
              </w:rPr>
            </w:pPr>
            <w:r>
              <w:rPr>
                <w:b/>
                <w:bCs/>
              </w:rPr>
              <w:t>Actual: Fraudulent</w:t>
            </w:r>
          </w:p>
        </w:tc>
        <w:tc>
          <w:tcPr>
            <w:tcW w:w="0" w:type="auto"/>
            <w:tcBorders>
              <w:top w:val="single" w:color="auto" w:sz="12" w:space="0"/>
              <w:left w:val="single" w:color="auto" w:sz="12" w:space="0"/>
              <w:bottom w:val="single" w:color="auto" w:sz="12" w:space="0"/>
              <w:right w:val="single" w:color="auto" w:sz="12" w:space="0"/>
            </w:tcBorders>
            <w:shd w:val="clear" w:color="auto" w:fill="FFFFFF"/>
            <w:tcMar>
              <w:top w:w="60" w:type="dxa"/>
              <w:left w:w="100" w:type="dxa"/>
              <w:bottom w:w="60" w:type="dxa"/>
              <w:right w:w="100" w:type="dxa"/>
            </w:tcMar>
          </w:tcPr>
          <w:p w14:paraId="30453282">
            <w:pPr>
              <w:spacing w:line="480" w:lineRule="auto"/>
              <w:jc w:val="both"/>
            </w:pPr>
            <w:r>
              <w:t>21  (False Negatives - FN)</w:t>
            </w:r>
          </w:p>
        </w:tc>
        <w:tc>
          <w:tcPr>
            <w:tcW w:w="0" w:type="auto"/>
            <w:tcBorders>
              <w:top w:val="single" w:color="auto" w:sz="12" w:space="0"/>
              <w:left w:val="single" w:color="auto" w:sz="12" w:space="0"/>
              <w:bottom w:val="single" w:color="auto" w:sz="12" w:space="0"/>
              <w:right w:val="single" w:color="auto" w:sz="12" w:space="0"/>
            </w:tcBorders>
            <w:shd w:val="clear" w:color="auto" w:fill="FFFFFF"/>
            <w:tcMar>
              <w:top w:w="60" w:type="dxa"/>
              <w:left w:w="100" w:type="dxa"/>
              <w:bottom w:w="60" w:type="dxa"/>
              <w:right w:w="100" w:type="dxa"/>
            </w:tcMar>
          </w:tcPr>
          <w:p w14:paraId="69AF73C0">
            <w:pPr>
              <w:spacing w:line="480" w:lineRule="auto"/>
              <w:jc w:val="both"/>
            </w:pPr>
            <w:r>
              <w:t>74  (True Positives - TP)</w:t>
            </w:r>
          </w:p>
        </w:tc>
      </w:tr>
    </w:tbl>
    <w:p w14:paraId="789568BA">
      <w:pPr>
        <w:spacing w:line="480" w:lineRule="auto"/>
        <w:jc w:val="both"/>
      </w:pPr>
    </w:p>
    <w:p w14:paraId="251C3C5F">
      <w:pPr>
        <w:spacing w:after="200" w:line="480" w:lineRule="auto"/>
        <w:jc w:val="both"/>
      </w:pPr>
      <w:r>
        <w:t>Table 3: Confusion Matrix on Test Set (n=56,746)</w:t>
      </w:r>
    </w:p>
    <w:p w14:paraId="0C940341">
      <w:pPr>
        <w:spacing w:after="200" w:line="480" w:lineRule="auto"/>
        <w:jc w:val="both"/>
        <w:rPr>
          <w:kern w:val="2"/>
          <w14:ligatures w14:val="standardContextual"/>
        </w:rPr>
      </w:pPr>
      <w:r>
        <w:t>The confusion matrix contains 56,641 true negatives, 74 true positives, 10 false positives, and 21 false negatives. These counts reproduce the headline metrics: precision = 74/(74+10) = 0.8810 and recall = 74/(74+21) = 0.7789. Unlike aggregate scores, the matrix makes the operational trade-off explicit by showing exactly how many cases are missed versus how many are escalated for review at the chosen decision threshold.</w:t>
      </w:r>
    </w:p>
    <w:p w14:paraId="32AB6E86">
      <w:pPr>
        <w:spacing w:after="200" w:line="480" w:lineRule="auto"/>
        <w:jc w:val="both"/>
        <w:rPr>
          <w:kern w:val="2"/>
          <w14:ligatures w14:val="standardContextual"/>
        </w:rPr>
      </w:pPr>
      <w:r>
        <w:t>False negatives (21 cases) are typically the most costly outcome because they represent fraudulent transactions that go unchallenged through the system. At the default 0.5 threshold, Aegis detects 74 of the 95 fraudulent transactions (77.9%). In a real deployment, the appropriate balance between false negatives and false positives depends on the institution’s risk appetite and the downstream friction of investigation actions. Lowering the threshold would generally increase recall (reducing false negatives) but would also increase the number of transactions sent for manual review.</w:t>
      </w:r>
    </w:p>
    <w:p w14:paraId="45F2B565">
      <w:pPr>
        <w:spacing w:after="200" w:line="480" w:lineRule="auto"/>
        <w:jc w:val="both"/>
        <w:rPr>
          <w:kern w:val="2"/>
          <w14:ligatures w14:val="standardContextual"/>
        </w:rPr>
      </w:pPr>
      <w:bookmarkStart w:id="74" w:name="_Toc228560788"/>
      <w:r>
        <w:t>False positives (10 cases) are legitimate transactions incorrectly flagged as suspicious. In many operational settings, a flag triggers analyst review rather than immediate customer-facing action; the main cost is therefore investigation time and, if the institution chooses to intervene automatically, the risk of unnecessary friction for the cardholder. On this test set, the false positive rate is 10 out of 56,651 legitimate transactions (0.018%). Scaled linearly, that equates to approximately 18 false positives per 100,000 legitimate transactions, or 180 per million, which is manageable for an analyst-assisted workflow. Bolton and Hand (2002) note that rule-based systems can generate much higher alert volumes; Aegis’s low false positive count indicates that the model is not indiscriminately escalating transactions.</w:t>
      </w:r>
    </w:p>
    <w:p w14:paraId="2C19299E">
      <w:pPr>
        <w:pStyle w:val="3"/>
        <w:spacing w:line="480" w:lineRule="auto"/>
      </w:pPr>
      <w:r>
        <w:t>5.4 Feature Importance</w:t>
      </w:r>
      <w:bookmarkEnd w:id="74"/>
    </w:p>
    <w:p w14:paraId="5C5E5229">
      <w:pPr>
        <w:spacing w:line="480" w:lineRule="auto"/>
        <w:jc w:val="both"/>
      </w:pPr>
    </w:p>
    <w:tbl>
      <w:tblPr>
        <w:tblStyle w:val="24"/>
        <w:tblW w:w="8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67"/>
        <w:gridCol w:w="1063"/>
        <w:gridCol w:w="2073"/>
        <w:gridCol w:w="4597"/>
      </w:tblGrid>
      <w:tr w14:paraId="5BB60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shd w:val="clear" w:color="auto" w:fill="1F3864"/>
            <w:tcMar>
              <w:top w:w="60" w:type="dxa"/>
              <w:left w:w="100" w:type="dxa"/>
              <w:bottom w:w="60" w:type="dxa"/>
              <w:right w:w="100" w:type="dxa"/>
            </w:tcMar>
          </w:tcPr>
          <w:p w14:paraId="2982DED7">
            <w:pPr>
              <w:spacing w:line="480" w:lineRule="auto"/>
              <w:jc w:val="both"/>
            </w:pPr>
            <w:r>
              <w:rPr>
                <w:b/>
                <w:bCs/>
                <w:color w:val="FFFFFF"/>
              </w:rPr>
              <w:t>Rank</w:t>
            </w:r>
          </w:p>
        </w:tc>
        <w:tc>
          <w:tcPr>
            <w:tcW w:w="0" w:type="auto"/>
            <w:shd w:val="clear" w:color="auto" w:fill="1F3864"/>
            <w:tcMar>
              <w:top w:w="60" w:type="dxa"/>
              <w:left w:w="100" w:type="dxa"/>
              <w:bottom w:w="60" w:type="dxa"/>
              <w:right w:w="100" w:type="dxa"/>
            </w:tcMar>
          </w:tcPr>
          <w:p w14:paraId="1CAB9FD2">
            <w:pPr>
              <w:spacing w:line="480" w:lineRule="auto"/>
              <w:jc w:val="both"/>
            </w:pPr>
            <w:r>
              <w:rPr>
                <w:b/>
                <w:bCs/>
                <w:color w:val="FFFFFF"/>
              </w:rPr>
              <w:t>Feature</w:t>
            </w:r>
          </w:p>
        </w:tc>
        <w:tc>
          <w:tcPr>
            <w:tcW w:w="0" w:type="auto"/>
            <w:shd w:val="clear" w:color="auto" w:fill="1F3864"/>
            <w:tcMar>
              <w:top w:w="60" w:type="dxa"/>
              <w:left w:w="100" w:type="dxa"/>
              <w:bottom w:w="60" w:type="dxa"/>
              <w:right w:w="100" w:type="dxa"/>
            </w:tcMar>
          </w:tcPr>
          <w:p w14:paraId="7F1EFA3A">
            <w:pPr>
              <w:spacing w:line="480" w:lineRule="auto"/>
              <w:jc w:val="both"/>
            </w:pPr>
            <w:r>
              <w:rPr>
                <w:b/>
                <w:bCs/>
                <w:color w:val="FFFFFF"/>
              </w:rPr>
              <w:t>Importance Score</w:t>
            </w:r>
          </w:p>
        </w:tc>
        <w:tc>
          <w:tcPr>
            <w:tcW w:w="0" w:type="auto"/>
            <w:shd w:val="clear" w:color="auto" w:fill="1F3864"/>
            <w:tcMar>
              <w:top w:w="60" w:type="dxa"/>
              <w:left w:w="100" w:type="dxa"/>
              <w:bottom w:w="60" w:type="dxa"/>
              <w:right w:w="100" w:type="dxa"/>
            </w:tcMar>
          </w:tcPr>
          <w:p w14:paraId="62727316">
            <w:pPr>
              <w:spacing w:line="480" w:lineRule="auto"/>
              <w:jc w:val="both"/>
            </w:pPr>
            <w:r>
              <w:rPr>
                <w:b/>
                <w:bCs/>
                <w:color w:val="FFFFFF"/>
              </w:rPr>
              <w:t>Notes</w:t>
            </w:r>
          </w:p>
        </w:tc>
      </w:tr>
      <w:tr w14:paraId="2C334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shd w:val="clear" w:color="auto" w:fill="EBF3FB"/>
            <w:tcMar>
              <w:top w:w="60" w:type="dxa"/>
              <w:left w:w="100" w:type="dxa"/>
              <w:bottom w:w="60" w:type="dxa"/>
              <w:right w:w="100" w:type="dxa"/>
            </w:tcMar>
          </w:tcPr>
          <w:p w14:paraId="707BD452">
            <w:pPr>
              <w:spacing w:line="480" w:lineRule="auto"/>
              <w:jc w:val="both"/>
            </w:pPr>
            <w:r>
              <w:t>1</w:t>
            </w:r>
          </w:p>
        </w:tc>
        <w:tc>
          <w:tcPr>
            <w:tcW w:w="0" w:type="auto"/>
            <w:shd w:val="clear" w:color="auto" w:fill="EBF3FB"/>
            <w:tcMar>
              <w:top w:w="60" w:type="dxa"/>
              <w:left w:w="100" w:type="dxa"/>
              <w:bottom w:w="60" w:type="dxa"/>
              <w:right w:w="100" w:type="dxa"/>
            </w:tcMar>
          </w:tcPr>
          <w:p w14:paraId="598D3A0F">
            <w:pPr>
              <w:spacing w:line="480" w:lineRule="auto"/>
              <w:jc w:val="both"/>
            </w:pPr>
            <w:r>
              <w:t>V14</w:t>
            </w:r>
          </w:p>
        </w:tc>
        <w:tc>
          <w:tcPr>
            <w:tcW w:w="0" w:type="auto"/>
            <w:shd w:val="clear" w:color="auto" w:fill="EBF3FB"/>
            <w:tcMar>
              <w:top w:w="60" w:type="dxa"/>
              <w:left w:w="100" w:type="dxa"/>
              <w:bottom w:w="60" w:type="dxa"/>
              <w:right w:w="100" w:type="dxa"/>
            </w:tcMar>
          </w:tcPr>
          <w:p w14:paraId="19F93D6C">
            <w:pPr>
              <w:spacing w:line="480" w:lineRule="auto"/>
              <w:jc w:val="both"/>
            </w:pPr>
            <w:r>
              <w:t>0.1842</w:t>
            </w:r>
          </w:p>
        </w:tc>
        <w:tc>
          <w:tcPr>
            <w:tcW w:w="0" w:type="auto"/>
            <w:shd w:val="clear" w:color="auto" w:fill="EBF3FB"/>
            <w:tcMar>
              <w:top w:w="60" w:type="dxa"/>
              <w:left w:w="100" w:type="dxa"/>
              <w:bottom w:w="60" w:type="dxa"/>
              <w:right w:w="100" w:type="dxa"/>
            </w:tcMar>
          </w:tcPr>
          <w:p w14:paraId="09B62843">
            <w:pPr>
              <w:spacing w:line="480" w:lineRule="auto"/>
              <w:jc w:val="both"/>
            </w:pPr>
            <w:r>
              <w:t>Consistent top predictor across published analyses</w:t>
            </w:r>
          </w:p>
        </w:tc>
      </w:tr>
      <w:tr w14:paraId="538E0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shd w:val="clear" w:color="auto" w:fill="FFFFFF"/>
            <w:tcMar>
              <w:top w:w="60" w:type="dxa"/>
              <w:left w:w="100" w:type="dxa"/>
              <w:bottom w:w="60" w:type="dxa"/>
              <w:right w:w="100" w:type="dxa"/>
            </w:tcMar>
          </w:tcPr>
          <w:p w14:paraId="45FEB51D">
            <w:pPr>
              <w:spacing w:line="480" w:lineRule="auto"/>
              <w:jc w:val="both"/>
            </w:pPr>
            <w:r>
              <w:t>2</w:t>
            </w:r>
          </w:p>
        </w:tc>
        <w:tc>
          <w:tcPr>
            <w:tcW w:w="0" w:type="auto"/>
            <w:shd w:val="clear" w:color="auto" w:fill="FFFFFF"/>
            <w:tcMar>
              <w:top w:w="60" w:type="dxa"/>
              <w:left w:w="100" w:type="dxa"/>
              <w:bottom w:w="60" w:type="dxa"/>
              <w:right w:w="100" w:type="dxa"/>
            </w:tcMar>
          </w:tcPr>
          <w:p w14:paraId="57770368">
            <w:pPr>
              <w:spacing w:line="480" w:lineRule="auto"/>
              <w:jc w:val="both"/>
            </w:pPr>
            <w:r>
              <w:t>V4</w:t>
            </w:r>
          </w:p>
        </w:tc>
        <w:tc>
          <w:tcPr>
            <w:tcW w:w="0" w:type="auto"/>
            <w:shd w:val="clear" w:color="auto" w:fill="FFFFFF"/>
            <w:tcMar>
              <w:top w:w="60" w:type="dxa"/>
              <w:left w:w="100" w:type="dxa"/>
              <w:bottom w:w="60" w:type="dxa"/>
              <w:right w:w="100" w:type="dxa"/>
            </w:tcMar>
          </w:tcPr>
          <w:p w14:paraId="0BCA9FE0">
            <w:pPr>
              <w:spacing w:line="480" w:lineRule="auto"/>
              <w:jc w:val="both"/>
            </w:pPr>
            <w:r>
              <w:t>0.1203</w:t>
            </w:r>
          </w:p>
        </w:tc>
        <w:tc>
          <w:tcPr>
            <w:tcW w:w="0" w:type="auto"/>
            <w:shd w:val="clear" w:color="auto" w:fill="FFFFFF"/>
            <w:tcMar>
              <w:top w:w="60" w:type="dxa"/>
              <w:left w:w="100" w:type="dxa"/>
              <w:bottom w:w="60" w:type="dxa"/>
              <w:right w:w="100" w:type="dxa"/>
            </w:tcMar>
          </w:tcPr>
          <w:p w14:paraId="776407D9">
            <w:pPr>
              <w:spacing w:line="480" w:lineRule="auto"/>
              <w:jc w:val="both"/>
            </w:pPr>
            <w:r>
              <w:t>Consistent second predictor in the literature</w:t>
            </w:r>
          </w:p>
        </w:tc>
      </w:tr>
      <w:tr w14:paraId="747CB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shd w:val="clear" w:color="auto" w:fill="EBF3FB"/>
            <w:tcMar>
              <w:top w:w="60" w:type="dxa"/>
              <w:left w:w="100" w:type="dxa"/>
              <w:bottom w:w="60" w:type="dxa"/>
              <w:right w:w="100" w:type="dxa"/>
            </w:tcMar>
          </w:tcPr>
          <w:p w14:paraId="0AD0A931">
            <w:pPr>
              <w:spacing w:line="480" w:lineRule="auto"/>
              <w:jc w:val="both"/>
            </w:pPr>
            <w:r>
              <w:t>3</w:t>
            </w:r>
          </w:p>
        </w:tc>
        <w:tc>
          <w:tcPr>
            <w:tcW w:w="0" w:type="auto"/>
            <w:shd w:val="clear" w:color="auto" w:fill="EBF3FB"/>
            <w:tcMar>
              <w:top w:w="60" w:type="dxa"/>
              <w:left w:w="100" w:type="dxa"/>
              <w:bottom w:w="60" w:type="dxa"/>
              <w:right w:w="100" w:type="dxa"/>
            </w:tcMar>
          </w:tcPr>
          <w:p w14:paraId="01F7729A">
            <w:pPr>
              <w:spacing w:line="480" w:lineRule="auto"/>
              <w:jc w:val="both"/>
            </w:pPr>
            <w:r>
              <w:t>V12</w:t>
            </w:r>
          </w:p>
        </w:tc>
        <w:tc>
          <w:tcPr>
            <w:tcW w:w="0" w:type="auto"/>
            <w:shd w:val="clear" w:color="auto" w:fill="EBF3FB"/>
            <w:tcMar>
              <w:top w:w="60" w:type="dxa"/>
              <w:left w:w="100" w:type="dxa"/>
              <w:bottom w:w="60" w:type="dxa"/>
              <w:right w:w="100" w:type="dxa"/>
            </w:tcMar>
          </w:tcPr>
          <w:p w14:paraId="0CF44176">
            <w:pPr>
              <w:spacing w:line="480" w:lineRule="auto"/>
              <w:jc w:val="both"/>
            </w:pPr>
            <w:r>
              <w:t>0.0987</w:t>
            </w:r>
          </w:p>
        </w:tc>
        <w:tc>
          <w:tcPr>
            <w:tcW w:w="0" w:type="auto"/>
            <w:shd w:val="clear" w:color="auto" w:fill="EBF3FB"/>
            <w:tcMar>
              <w:top w:w="60" w:type="dxa"/>
              <w:left w:w="100" w:type="dxa"/>
              <w:bottom w:w="60" w:type="dxa"/>
              <w:right w:w="100" w:type="dxa"/>
            </w:tcMar>
          </w:tcPr>
          <w:p w14:paraId="117FF23C">
            <w:pPr>
              <w:spacing w:line="480" w:lineRule="auto"/>
              <w:jc w:val="both"/>
            </w:pPr>
            <w:r>
              <w:t>High importance across multiple ULB studies</w:t>
            </w:r>
          </w:p>
        </w:tc>
      </w:tr>
      <w:tr w14:paraId="40A93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shd w:val="clear" w:color="auto" w:fill="FFFFFF"/>
            <w:tcMar>
              <w:top w:w="60" w:type="dxa"/>
              <w:left w:w="100" w:type="dxa"/>
              <w:bottom w:w="60" w:type="dxa"/>
              <w:right w:w="100" w:type="dxa"/>
            </w:tcMar>
          </w:tcPr>
          <w:p w14:paraId="6ECFBA6C">
            <w:pPr>
              <w:spacing w:line="480" w:lineRule="auto"/>
              <w:jc w:val="both"/>
            </w:pPr>
            <w:r>
              <w:t>4</w:t>
            </w:r>
          </w:p>
        </w:tc>
        <w:tc>
          <w:tcPr>
            <w:tcW w:w="0" w:type="auto"/>
            <w:shd w:val="clear" w:color="auto" w:fill="FFFFFF"/>
            <w:tcMar>
              <w:top w:w="60" w:type="dxa"/>
              <w:left w:w="100" w:type="dxa"/>
              <w:bottom w:w="60" w:type="dxa"/>
              <w:right w:w="100" w:type="dxa"/>
            </w:tcMar>
          </w:tcPr>
          <w:p w14:paraId="322FB00E">
            <w:pPr>
              <w:spacing w:line="480" w:lineRule="auto"/>
              <w:jc w:val="both"/>
            </w:pPr>
            <w:r>
              <w:t>V10</w:t>
            </w:r>
          </w:p>
        </w:tc>
        <w:tc>
          <w:tcPr>
            <w:tcW w:w="0" w:type="auto"/>
            <w:shd w:val="clear" w:color="auto" w:fill="FFFFFF"/>
            <w:tcMar>
              <w:top w:w="60" w:type="dxa"/>
              <w:left w:w="100" w:type="dxa"/>
              <w:bottom w:w="60" w:type="dxa"/>
              <w:right w:w="100" w:type="dxa"/>
            </w:tcMar>
          </w:tcPr>
          <w:p w14:paraId="6A81D570">
            <w:pPr>
              <w:spacing w:line="480" w:lineRule="auto"/>
              <w:jc w:val="both"/>
            </w:pPr>
            <w:r>
              <w:t>0.0876</w:t>
            </w:r>
          </w:p>
        </w:tc>
        <w:tc>
          <w:tcPr>
            <w:tcW w:w="0" w:type="auto"/>
            <w:shd w:val="clear" w:color="auto" w:fill="FFFFFF"/>
            <w:tcMar>
              <w:top w:w="60" w:type="dxa"/>
              <w:left w:w="100" w:type="dxa"/>
              <w:bottom w:w="60" w:type="dxa"/>
              <w:right w:w="100" w:type="dxa"/>
            </w:tcMar>
          </w:tcPr>
          <w:p w14:paraId="11E6070D">
            <w:pPr>
              <w:spacing w:line="480" w:lineRule="auto"/>
              <w:jc w:val="both"/>
            </w:pPr>
            <w:r>
              <w:t>Consistently important on this benchmark</w:t>
            </w:r>
          </w:p>
        </w:tc>
      </w:tr>
      <w:tr w14:paraId="50195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shd w:val="clear" w:color="auto" w:fill="EBF3FB"/>
            <w:tcMar>
              <w:top w:w="60" w:type="dxa"/>
              <w:left w:w="100" w:type="dxa"/>
              <w:bottom w:w="60" w:type="dxa"/>
              <w:right w:w="100" w:type="dxa"/>
            </w:tcMar>
          </w:tcPr>
          <w:p w14:paraId="37AE6DBB">
            <w:pPr>
              <w:spacing w:line="480" w:lineRule="auto"/>
              <w:jc w:val="both"/>
            </w:pPr>
            <w:r>
              <w:t>5</w:t>
            </w:r>
          </w:p>
        </w:tc>
        <w:tc>
          <w:tcPr>
            <w:tcW w:w="0" w:type="auto"/>
            <w:shd w:val="clear" w:color="auto" w:fill="EBF3FB"/>
            <w:tcMar>
              <w:top w:w="60" w:type="dxa"/>
              <w:left w:w="100" w:type="dxa"/>
              <w:bottom w:w="60" w:type="dxa"/>
              <w:right w:w="100" w:type="dxa"/>
            </w:tcMar>
          </w:tcPr>
          <w:p w14:paraId="39B47EC5">
            <w:pPr>
              <w:spacing w:line="480" w:lineRule="auto"/>
              <w:jc w:val="both"/>
            </w:pPr>
            <w:r>
              <w:t>V17</w:t>
            </w:r>
          </w:p>
        </w:tc>
        <w:tc>
          <w:tcPr>
            <w:tcW w:w="0" w:type="auto"/>
            <w:shd w:val="clear" w:color="auto" w:fill="EBF3FB"/>
            <w:tcMar>
              <w:top w:w="60" w:type="dxa"/>
              <w:left w:w="100" w:type="dxa"/>
              <w:bottom w:w="60" w:type="dxa"/>
              <w:right w:w="100" w:type="dxa"/>
            </w:tcMar>
          </w:tcPr>
          <w:p w14:paraId="5C700B41">
            <w:pPr>
              <w:spacing w:line="480" w:lineRule="auto"/>
              <w:jc w:val="both"/>
            </w:pPr>
            <w:r>
              <w:t>0.0754</w:t>
            </w:r>
          </w:p>
        </w:tc>
        <w:tc>
          <w:tcPr>
            <w:tcW w:w="0" w:type="auto"/>
            <w:shd w:val="clear" w:color="auto" w:fill="EBF3FB"/>
            <w:tcMar>
              <w:top w:w="60" w:type="dxa"/>
              <w:left w:w="100" w:type="dxa"/>
              <w:bottom w:w="60" w:type="dxa"/>
              <w:right w:w="100" w:type="dxa"/>
            </w:tcMar>
          </w:tcPr>
          <w:p w14:paraId="516CA596">
            <w:pPr>
              <w:spacing w:line="480" w:lineRule="auto"/>
              <w:jc w:val="both"/>
            </w:pPr>
            <w:r>
              <w:t>Moderate-high importance</w:t>
            </w:r>
          </w:p>
        </w:tc>
      </w:tr>
      <w:tr w14:paraId="6EDC6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shd w:val="clear" w:color="auto" w:fill="FFFFFF"/>
            <w:tcMar>
              <w:top w:w="60" w:type="dxa"/>
              <w:left w:w="100" w:type="dxa"/>
              <w:bottom w:w="60" w:type="dxa"/>
              <w:right w:w="100" w:type="dxa"/>
            </w:tcMar>
          </w:tcPr>
          <w:p w14:paraId="7745DFDD">
            <w:pPr>
              <w:spacing w:line="480" w:lineRule="auto"/>
              <w:jc w:val="both"/>
            </w:pPr>
            <w:r>
              <w:t>6</w:t>
            </w:r>
          </w:p>
        </w:tc>
        <w:tc>
          <w:tcPr>
            <w:tcW w:w="0" w:type="auto"/>
            <w:shd w:val="clear" w:color="auto" w:fill="FFFFFF"/>
            <w:tcMar>
              <w:top w:w="60" w:type="dxa"/>
              <w:left w:w="100" w:type="dxa"/>
              <w:bottom w:w="60" w:type="dxa"/>
              <w:right w:w="100" w:type="dxa"/>
            </w:tcMar>
          </w:tcPr>
          <w:p w14:paraId="4EAA14D3">
            <w:pPr>
              <w:spacing w:line="480" w:lineRule="auto"/>
              <w:jc w:val="both"/>
            </w:pPr>
            <w:r>
              <w:t>V11</w:t>
            </w:r>
          </w:p>
        </w:tc>
        <w:tc>
          <w:tcPr>
            <w:tcW w:w="0" w:type="auto"/>
            <w:shd w:val="clear" w:color="auto" w:fill="FFFFFF"/>
            <w:tcMar>
              <w:top w:w="60" w:type="dxa"/>
              <w:left w:w="100" w:type="dxa"/>
              <w:bottom w:w="60" w:type="dxa"/>
              <w:right w:w="100" w:type="dxa"/>
            </w:tcMar>
          </w:tcPr>
          <w:p w14:paraId="6DEDC016">
            <w:pPr>
              <w:spacing w:line="480" w:lineRule="auto"/>
              <w:jc w:val="both"/>
            </w:pPr>
            <w:r>
              <w:t>0.0623</w:t>
            </w:r>
          </w:p>
        </w:tc>
        <w:tc>
          <w:tcPr>
            <w:tcW w:w="0" w:type="auto"/>
            <w:shd w:val="clear" w:color="auto" w:fill="FFFFFF"/>
            <w:tcMar>
              <w:top w:w="60" w:type="dxa"/>
              <w:left w:w="100" w:type="dxa"/>
              <w:bottom w:w="60" w:type="dxa"/>
              <w:right w:w="100" w:type="dxa"/>
            </w:tcMar>
          </w:tcPr>
          <w:p w14:paraId="54EEF93D">
            <w:pPr>
              <w:spacing w:line="480" w:lineRule="auto"/>
              <w:jc w:val="both"/>
            </w:pPr>
            <w:r>
              <w:t>Moderate importance</w:t>
            </w:r>
          </w:p>
        </w:tc>
      </w:tr>
      <w:tr w14:paraId="52F11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shd w:val="clear" w:color="auto" w:fill="EBF3FB"/>
            <w:tcMar>
              <w:top w:w="60" w:type="dxa"/>
              <w:left w:w="100" w:type="dxa"/>
              <w:bottom w:w="60" w:type="dxa"/>
              <w:right w:w="100" w:type="dxa"/>
            </w:tcMar>
          </w:tcPr>
          <w:p w14:paraId="1943238A">
            <w:pPr>
              <w:spacing w:line="480" w:lineRule="auto"/>
              <w:jc w:val="both"/>
            </w:pPr>
            <w:r>
              <w:t>7</w:t>
            </w:r>
          </w:p>
        </w:tc>
        <w:tc>
          <w:tcPr>
            <w:tcW w:w="0" w:type="auto"/>
            <w:shd w:val="clear" w:color="auto" w:fill="EBF3FB"/>
            <w:tcMar>
              <w:top w:w="60" w:type="dxa"/>
              <w:left w:w="100" w:type="dxa"/>
              <w:bottom w:w="60" w:type="dxa"/>
              <w:right w:w="100" w:type="dxa"/>
            </w:tcMar>
          </w:tcPr>
          <w:p w14:paraId="3FB71935">
            <w:pPr>
              <w:spacing w:line="480" w:lineRule="auto"/>
              <w:jc w:val="both"/>
            </w:pPr>
            <w:r>
              <w:t>Amount</w:t>
            </w:r>
          </w:p>
        </w:tc>
        <w:tc>
          <w:tcPr>
            <w:tcW w:w="0" w:type="auto"/>
            <w:shd w:val="clear" w:color="auto" w:fill="EBF3FB"/>
            <w:tcMar>
              <w:top w:w="60" w:type="dxa"/>
              <w:left w:w="100" w:type="dxa"/>
              <w:bottom w:w="60" w:type="dxa"/>
              <w:right w:w="100" w:type="dxa"/>
            </w:tcMar>
          </w:tcPr>
          <w:p w14:paraId="6E4EE94E">
            <w:pPr>
              <w:spacing w:line="480" w:lineRule="auto"/>
              <w:jc w:val="both"/>
            </w:pPr>
            <w:r>
              <w:t>0.0521</w:t>
            </w:r>
          </w:p>
        </w:tc>
        <w:tc>
          <w:tcPr>
            <w:tcW w:w="0" w:type="auto"/>
            <w:shd w:val="clear" w:color="auto" w:fill="EBF3FB"/>
            <w:tcMar>
              <w:top w:w="60" w:type="dxa"/>
              <w:left w:w="100" w:type="dxa"/>
              <w:bottom w:w="60" w:type="dxa"/>
              <w:right w:w="100" w:type="dxa"/>
            </w:tcMar>
          </w:tcPr>
          <w:p w14:paraId="64595A7B">
            <w:pPr>
              <w:spacing w:line="480" w:lineRule="auto"/>
              <w:jc w:val="both"/>
            </w:pPr>
            <w:r>
              <w:t>Only the directly interpretable feature in the top 10</w:t>
            </w:r>
          </w:p>
        </w:tc>
      </w:tr>
      <w:tr w14:paraId="7A7E4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shd w:val="clear" w:color="auto" w:fill="FFFFFF"/>
            <w:tcMar>
              <w:top w:w="60" w:type="dxa"/>
              <w:left w:w="100" w:type="dxa"/>
              <w:bottom w:w="60" w:type="dxa"/>
              <w:right w:w="100" w:type="dxa"/>
            </w:tcMar>
          </w:tcPr>
          <w:p w14:paraId="063FC4E2">
            <w:pPr>
              <w:spacing w:line="480" w:lineRule="auto"/>
              <w:jc w:val="both"/>
            </w:pPr>
            <w:r>
              <w:t>8</w:t>
            </w:r>
          </w:p>
        </w:tc>
        <w:tc>
          <w:tcPr>
            <w:tcW w:w="0" w:type="auto"/>
            <w:shd w:val="clear" w:color="auto" w:fill="FFFFFF"/>
            <w:tcMar>
              <w:top w:w="60" w:type="dxa"/>
              <w:left w:w="100" w:type="dxa"/>
              <w:bottom w:w="60" w:type="dxa"/>
              <w:right w:w="100" w:type="dxa"/>
            </w:tcMar>
          </w:tcPr>
          <w:p w14:paraId="5770CE91">
            <w:pPr>
              <w:spacing w:line="480" w:lineRule="auto"/>
              <w:jc w:val="both"/>
            </w:pPr>
            <w:r>
              <w:t>V3</w:t>
            </w:r>
          </w:p>
        </w:tc>
        <w:tc>
          <w:tcPr>
            <w:tcW w:w="0" w:type="auto"/>
            <w:shd w:val="clear" w:color="auto" w:fill="FFFFFF"/>
            <w:tcMar>
              <w:top w:w="60" w:type="dxa"/>
              <w:left w:w="100" w:type="dxa"/>
              <w:bottom w:w="60" w:type="dxa"/>
              <w:right w:w="100" w:type="dxa"/>
            </w:tcMar>
          </w:tcPr>
          <w:p w14:paraId="1DB180EC">
            <w:pPr>
              <w:spacing w:line="480" w:lineRule="auto"/>
              <w:jc w:val="both"/>
            </w:pPr>
            <w:r>
              <w:t>0.0498</w:t>
            </w:r>
          </w:p>
        </w:tc>
        <w:tc>
          <w:tcPr>
            <w:tcW w:w="0" w:type="auto"/>
            <w:shd w:val="clear" w:color="auto" w:fill="FFFFFF"/>
            <w:tcMar>
              <w:top w:w="60" w:type="dxa"/>
              <w:left w:w="100" w:type="dxa"/>
              <w:bottom w:w="60" w:type="dxa"/>
              <w:right w:w="100" w:type="dxa"/>
            </w:tcMar>
          </w:tcPr>
          <w:p w14:paraId="3DAB94F5">
            <w:pPr>
              <w:spacing w:line="480" w:lineRule="auto"/>
              <w:jc w:val="both"/>
            </w:pPr>
            <w:r>
              <w:t>Moderate importance</w:t>
            </w:r>
          </w:p>
        </w:tc>
      </w:tr>
      <w:tr w14:paraId="1DFDAE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shd w:val="clear" w:color="auto" w:fill="EBF3FB"/>
            <w:tcMar>
              <w:top w:w="60" w:type="dxa"/>
              <w:left w:w="100" w:type="dxa"/>
              <w:bottom w:w="60" w:type="dxa"/>
              <w:right w:w="100" w:type="dxa"/>
            </w:tcMar>
          </w:tcPr>
          <w:p w14:paraId="5AC91CCE">
            <w:pPr>
              <w:spacing w:line="480" w:lineRule="auto"/>
              <w:jc w:val="both"/>
            </w:pPr>
            <w:r>
              <w:t>9</w:t>
            </w:r>
          </w:p>
        </w:tc>
        <w:tc>
          <w:tcPr>
            <w:tcW w:w="0" w:type="auto"/>
            <w:shd w:val="clear" w:color="auto" w:fill="EBF3FB"/>
            <w:tcMar>
              <w:top w:w="60" w:type="dxa"/>
              <w:left w:w="100" w:type="dxa"/>
              <w:bottom w:w="60" w:type="dxa"/>
              <w:right w:w="100" w:type="dxa"/>
            </w:tcMar>
          </w:tcPr>
          <w:p w14:paraId="7062EBDE">
            <w:pPr>
              <w:spacing w:line="480" w:lineRule="auto"/>
              <w:jc w:val="both"/>
            </w:pPr>
            <w:r>
              <w:t>V7</w:t>
            </w:r>
          </w:p>
        </w:tc>
        <w:tc>
          <w:tcPr>
            <w:tcW w:w="0" w:type="auto"/>
            <w:shd w:val="clear" w:color="auto" w:fill="EBF3FB"/>
            <w:tcMar>
              <w:top w:w="60" w:type="dxa"/>
              <w:left w:w="100" w:type="dxa"/>
              <w:bottom w:w="60" w:type="dxa"/>
              <w:right w:w="100" w:type="dxa"/>
            </w:tcMar>
          </w:tcPr>
          <w:p w14:paraId="1DFF861B">
            <w:pPr>
              <w:spacing w:line="480" w:lineRule="auto"/>
              <w:jc w:val="both"/>
            </w:pPr>
            <w:r>
              <w:t>0.0412</w:t>
            </w:r>
          </w:p>
        </w:tc>
        <w:tc>
          <w:tcPr>
            <w:tcW w:w="0" w:type="auto"/>
            <w:shd w:val="clear" w:color="auto" w:fill="EBF3FB"/>
            <w:tcMar>
              <w:top w:w="60" w:type="dxa"/>
              <w:left w:w="100" w:type="dxa"/>
              <w:bottom w:w="60" w:type="dxa"/>
              <w:right w:w="100" w:type="dxa"/>
            </w:tcMar>
          </w:tcPr>
          <w:p w14:paraId="6EC8875B">
            <w:pPr>
              <w:spacing w:line="480" w:lineRule="auto"/>
              <w:jc w:val="both"/>
            </w:pPr>
            <w:r>
              <w:t>Moderate importance</w:t>
            </w:r>
          </w:p>
        </w:tc>
      </w:tr>
      <w:tr w14:paraId="2694E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shd w:val="clear" w:color="auto" w:fill="FFFFFF"/>
            <w:tcMar>
              <w:top w:w="60" w:type="dxa"/>
              <w:left w:w="100" w:type="dxa"/>
              <w:bottom w:w="60" w:type="dxa"/>
              <w:right w:w="100" w:type="dxa"/>
            </w:tcMar>
          </w:tcPr>
          <w:p w14:paraId="2810324B">
            <w:pPr>
              <w:spacing w:line="480" w:lineRule="auto"/>
              <w:jc w:val="both"/>
            </w:pPr>
            <w:r>
              <w:t>10</w:t>
            </w:r>
          </w:p>
        </w:tc>
        <w:tc>
          <w:tcPr>
            <w:tcW w:w="0" w:type="auto"/>
            <w:shd w:val="clear" w:color="auto" w:fill="FFFFFF"/>
            <w:tcMar>
              <w:top w:w="60" w:type="dxa"/>
              <w:left w:w="100" w:type="dxa"/>
              <w:bottom w:w="60" w:type="dxa"/>
              <w:right w:w="100" w:type="dxa"/>
            </w:tcMar>
          </w:tcPr>
          <w:p w14:paraId="10662C55">
            <w:pPr>
              <w:spacing w:line="480" w:lineRule="auto"/>
              <w:jc w:val="both"/>
            </w:pPr>
            <w:r>
              <w:t>Time</w:t>
            </w:r>
          </w:p>
        </w:tc>
        <w:tc>
          <w:tcPr>
            <w:tcW w:w="0" w:type="auto"/>
            <w:shd w:val="clear" w:color="auto" w:fill="FFFFFF"/>
            <w:tcMar>
              <w:top w:w="60" w:type="dxa"/>
              <w:left w:w="100" w:type="dxa"/>
              <w:bottom w:w="60" w:type="dxa"/>
              <w:right w:w="100" w:type="dxa"/>
            </w:tcMar>
          </w:tcPr>
          <w:p w14:paraId="3ABF7E7D">
            <w:pPr>
              <w:spacing w:line="480" w:lineRule="auto"/>
              <w:jc w:val="both"/>
            </w:pPr>
            <w:r>
              <w:t>0.0187</w:t>
            </w:r>
          </w:p>
        </w:tc>
        <w:tc>
          <w:tcPr>
            <w:tcW w:w="0" w:type="auto"/>
            <w:shd w:val="clear" w:color="auto" w:fill="FFFFFF"/>
            <w:tcMar>
              <w:top w:w="60" w:type="dxa"/>
              <w:left w:w="100" w:type="dxa"/>
              <w:bottom w:w="60" w:type="dxa"/>
              <w:right w:w="100" w:type="dxa"/>
            </w:tcMar>
          </w:tcPr>
          <w:p w14:paraId="5F64516F">
            <w:pPr>
              <w:spacing w:line="480" w:lineRule="auto"/>
              <w:jc w:val="both"/>
            </w:pPr>
            <w:r>
              <w:t>Low importance; consistent with 48h window</w:t>
            </w:r>
          </w:p>
        </w:tc>
      </w:tr>
    </w:tbl>
    <w:p w14:paraId="39B64273">
      <w:pPr>
        <w:spacing w:line="480" w:lineRule="auto"/>
        <w:jc w:val="both"/>
      </w:pPr>
    </w:p>
    <w:p w14:paraId="201FF94A">
      <w:pPr>
        <w:spacing w:after="200" w:line="480" w:lineRule="auto"/>
        <w:jc w:val="both"/>
      </w:pPr>
      <w:r>
        <w:t>Table 4: Top 10 Feature Importances from Trained Random Forest</w:t>
      </w:r>
    </w:p>
    <w:p w14:paraId="6286F92A">
      <w:pPr>
        <w:spacing w:after="200" w:line="480" w:lineRule="auto"/>
        <w:jc w:val="both"/>
      </w:pPr>
      <w:r>
        <w:t xml:space="preserve">V14 consistently ranks as the top predictor across multiple independent analyses of the ULB dataset (Varmedja et al., 2019; Xuan et al., 2018), suggesting that it captures a strong, reliable signal distinguishing fraudulent from legitimate transactions </w:t>
      </w:r>
      <w:r>
        <w:rPr>
          <w:lang w:val="en"/>
        </w:rPr>
        <w:t>,</w:t>
      </w:r>
      <w:r>
        <w:t xml:space="preserve"> regardless of the original feature it represents. V4 and V12 appear similarly consistently across published analyses, which points to genuine structural differences in the data rather than dataset-specific artefacts.</w:t>
      </w:r>
    </w:p>
    <w:p w14:paraId="11B61E3B">
      <w:pPr>
        <w:spacing w:after="200" w:line="480" w:lineRule="auto"/>
        <w:jc w:val="both"/>
      </w:pPr>
      <w:r>
        <w:t>Amount ranks seventh. This reflects the diversity of fraud amounts in the dataset: fraudulent transactions span a wide range of values rather than clustering at any distinctive threshold. Card-testing transactions, such as the EUR 2.69 fraud sample, are small, but other fraud cases in the dataset involve substantially larger amounts. The model cannot rely solely on the amount.</w:t>
      </w:r>
    </w:p>
    <w:p w14:paraId="48572B99">
      <w:pPr>
        <w:spacing w:after="200" w:line="480" w:lineRule="auto"/>
        <w:jc w:val="both"/>
        <w:rPr>
          <w:kern w:val="2"/>
          <w14:ligatures w14:val="standardContextual"/>
        </w:rPr>
      </w:pPr>
      <w:bookmarkStart w:id="75" w:name="_Toc228560789"/>
      <w:r>
        <w:t>Time ranks tenth with an importance score of 0.0187. A 48-hour monitoring window provides a limited temporal signal compared to the structural patterns captured in the PCA components. The behavioural context builder still uses time to flag transactions occurring late at night or in the early morning as potentially higher risk, reflecting the general operational intuition that activity outside typical daytime spending patterns can warrant additional scrutiny, even though Time’s contribution to the Random Forest is modest on this dataset.</w:t>
      </w:r>
    </w:p>
    <w:p w14:paraId="1C4EECBB">
      <w:pPr>
        <w:pStyle w:val="3"/>
        <w:spacing w:line="480" w:lineRule="auto"/>
      </w:pPr>
      <w:r>
        <w:t>5.5 Baseline Comparison</w:t>
      </w:r>
      <w:bookmarkEnd w:id="75"/>
    </w:p>
    <w:p w14:paraId="174D9597">
      <w:pPr>
        <w:spacing w:after="200" w:line="480" w:lineRule="auto"/>
        <w:jc w:val="both"/>
        <w:rPr>
          <w:kern w:val="2"/>
          <w14:ligatures w14:val="standardContextual"/>
        </w:rPr>
      </w:pPr>
      <w:bookmarkStart w:id="76" w:name="_Toc228560790"/>
      <w:r>
        <w:t xml:space="preserve">The Logistic Regression baseline, trained on StandardScaler-transformed features with </w:t>
      </w:r>
      <w:r>
        <w:rPr>
          <w:rFonts w:ascii="Courier New" w:hAnsi="Courier New" w:cs="Courier New"/>
        </w:rPr>
        <w:t>max_iter=2000</w:t>
      </w:r>
      <w:r>
        <w:t xml:space="preserve">, achieved an F1 Score of approximately 0.72, a precision of 0.65, and a recall of 0.82. XGBoost, trained and evaluated on the same dataset, achieved an F1-score of 0.76, a precision of 0.77, and a recall of 0.82. Logistic Regression’s higher recall but lower precision relative to Random Forest reflects its linear decision boundary on this dataset. Under a severely imbalanced class distribution, the linear boundary tends to flag more transactions to maximise recall at the cost of more false positives. Random Forest’s ensemble decision surface produces a more nuanced split that balances the two metrics more effectively, which is reflected in the F1-score difference </w:t>
      </w:r>
      <w:r>
        <w:rPr>
          <w:lang w:val="en"/>
        </w:rPr>
        <w:t>,</w:t>
      </w:r>
      <w:r>
        <w:t xml:space="preserve"> 0.8268 versus approximately 0.72.</w:t>
      </w:r>
    </w:p>
    <w:p w14:paraId="14CCD730">
      <w:pPr>
        <w:spacing w:after="200" w:line="480" w:lineRule="auto"/>
        <w:jc w:val="both"/>
        <w:rPr>
          <w:kern w:val="2"/>
          <w14:ligatures w14:val="standardContextual"/>
        </w:rPr>
      </w:pPr>
      <w:r>
        <w:t>The ROC-AUC gap is smaller (0.9633 versus approximately 0.94 for Logistic Regression and 0.949 for XGBoost), suggesting the three models have broadly similar discriminative ability in terms of probability ranking. The more pronounced difference in F1-score indicates that, at the chosen operating threshold, Random Forest achieves a better balance between false positives and false negatives on this dataset. A more complete comparison would include probability calibration analysis (e.g., reliability curves or Brier score); however, within the scope of this project, thresholded classification performance is the primary focus.</w:t>
      </w:r>
    </w:p>
    <w:p w14:paraId="6678B73D">
      <w:pPr>
        <w:pStyle w:val="3"/>
        <w:spacing w:line="480" w:lineRule="auto"/>
      </w:pPr>
      <w:r>
        <w:t>5.6 Comparison with Related Systems</w:t>
      </w:r>
      <w:bookmarkEnd w:id="76"/>
    </w:p>
    <w:tbl>
      <w:tblPr>
        <w:tblStyle w:val="24"/>
        <w:tblW w:w="8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85"/>
        <w:gridCol w:w="2238"/>
        <w:gridCol w:w="2271"/>
        <w:gridCol w:w="2106"/>
      </w:tblGrid>
      <w:tr w14:paraId="702B8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shd w:val="clear" w:color="auto" w:fill="1F3864"/>
            <w:tcMar>
              <w:top w:w="60" w:type="dxa"/>
              <w:left w:w="100" w:type="dxa"/>
              <w:bottom w:w="60" w:type="dxa"/>
              <w:right w:w="100" w:type="dxa"/>
            </w:tcMar>
          </w:tcPr>
          <w:p w14:paraId="401A9685">
            <w:pPr>
              <w:spacing w:line="480" w:lineRule="auto"/>
              <w:jc w:val="both"/>
            </w:pPr>
            <w:r>
              <w:rPr>
                <w:b/>
                <w:bCs/>
                <w:color w:val="FFFFFF"/>
              </w:rPr>
              <w:t>Feature</w:t>
            </w:r>
          </w:p>
        </w:tc>
        <w:tc>
          <w:tcPr>
            <w:tcW w:w="0" w:type="auto"/>
            <w:shd w:val="clear" w:color="auto" w:fill="1F3864"/>
            <w:tcMar>
              <w:top w:w="60" w:type="dxa"/>
              <w:left w:w="100" w:type="dxa"/>
              <w:bottom w:w="60" w:type="dxa"/>
              <w:right w:w="100" w:type="dxa"/>
            </w:tcMar>
          </w:tcPr>
          <w:p w14:paraId="570D53B7">
            <w:pPr>
              <w:spacing w:line="480" w:lineRule="auto"/>
              <w:jc w:val="both"/>
            </w:pPr>
            <w:r>
              <w:rPr>
                <w:b/>
                <w:bCs/>
                <w:color w:val="FFFFFF"/>
              </w:rPr>
              <w:t>System 1</w:t>
            </w:r>
          </w:p>
        </w:tc>
        <w:tc>
          <w:tcPr>
            <w:tcW w:w="0" w:type="auto"/>
            <w:shd w:val="clear" w:color="auto" w:fill="1F3864"/>
            <w:tcMar>
              <w:top w:w="60" w:type="dxa"/>
              <w:left w:w="100" w:type="dxa"/>
              <w:bottom w:w="60" w:type="dxa"/>
              <w:right w:w="100" w:type="dxa"/>
            </w:tcMar>
          </w:tcPr>
          <w:p w14:paraId="355186CC">
            <w:pPr>
              <w:spacing w:line="480" w:lineRule="auto"/>
              <w:jc w:val="both"/>
            </w:pPr>
            <w:r>
              <w:rPr>
                <w:b/>
                <w:bCs/>
                <w:color w:val="FFFFFF"/>
              </w:rPr>
              <w:t>System 2</w:t>
            </w:r>
          </w:p>
        </w:tc>
        <w:tc>
          <w:tcPr>
            <w:tcW w:w="0" w:type="auto"/>
            <w:shd w:val="clear" w:color="auto" w:fill="1F3864"/>
            <w:tcMar>
              <w:top w:w="60" w:type="dxa"/>
              <w:left w:w="100" w:type="dxa"/>
              <w:bottom w:w="60" w:type="dxa"/>
              <w:right w:w="100" w:type="dxa"/>
            </w:tcMar>
          </w:tcPr>
          <w:p w14:paraId="13AD087E">
            <w:pPr>
              <w:spacing w:line="480" w:lineRule="auto"/>
              <w:jc w:val="both"/>
            </w:pPr>
            <w:r>
              <w:rPr>
                <w:b/>
                <w:bCs/>
                <w:color w:val="FFFFFF"/>
              </w:rPr>
              <w:t>Aegis</w:t>
            </w:r>
          </w:p>
        </w:tc>
      </w:tr>
      <w:tr w14:paraId="562C1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shd w:val="clear" w:color="auto" w:fill="EBF3FB"/>
            <w:tcMar>
              <w:top w:w="60" w:type="dxa"/>
              <w:left w:w="100" w:type="dxa"/>
              <w:bottom w:w="60" w:type="dxa"/>
              <w:right w:w="100" w:type="dxa"/>
            </w:tcMar>
          </w:tcPr>
          <w:p w14:paraId="521CF324">
            <w:pPr>
              <w:spacing w:line="480" w:lineRule="auto"/>
              <w:jc w:val="both"/>
            </w:pPr>
            <w:r>
              <w:t>Dataset</w:t>
            </w:r>
          </w:p>
        </w:tc>
        <w:tc>
          <w:tcPr>
            <w:tcW w:w="0" w:type="auto"/>
            <w:shd w:val="clear" w:color="auto" w:fill="EBF3FB"/>
            <w:tcMar>
              <w:top w:w="60" w:type="dxa"/>
              <w:left w:w="100" w:type="dxa"/>
              <w:bottom w:w="60" w:type="dxa"/>
              <w:right w:w="100" w:type="dxa"/>
            </w:tcMar>
          </w:tcPr>
          <w:p w14:paraId="3BA8961A">
            <w:pPr>
              <w:spacing w:line="480" w:lineRule="auto"/>
              <w:jc w:val="both"/>
            </w:pPr>
            <w:r>
              <w:t>ULB creditcard.csv</w:t>
            </w:r>
          </w:p>
        </w:tc>
        <w:tc>
          <w:tcPr>
            <w:tcW w:w="0" w:type="auto"/>
            <w:shd w:val="clear" w:color="auto" w:fill="EBF3FB"/>
            <w:tcMar>
              <w:top w:w="60" w:type="dxa"/>
              <w:left w:w="100" w:type="dxa"/>
              <w:bottom w:w="60" w:type="dxa"/>
              <w:right w:w="100" w:type="dxa"/>
            </w:tcMar>
          </w:tcPr>
          <w:p w14:paraId="4D933E1C">
            <w:pPr>
              <w:spacing w:line="480" w:lineRule="auto"/>
              <w:jc w:val="both"/>
            </w:pPr>
            <w:r>
              <w:t>fraudTrain.csv (raw features)</w:t>
            </w:r>
          </w:p>
        </w:tc>
        <w:tc>
          <w:tcPr>
            <w:tcW w:w="0" w:type="auto"/>
            <w:shd w:val="clear" w:color="auto" w:fill="EBF3FB"/>
            <w:tcMar>
              <w:top w:w="60" w:type="dxa"/>
              <w:left w:w="100" w:type="dxa"/>
              <w:bottom w:w="60" w:type="dxa"/>
              <w:right w:w="100" w:type="dxa"/>
            </w:tcMar>
          </w:tcPr>
          <w:p w14:paraId="24C289C5">
            <w:pPr>
              <w:spacing w:line="480" w:lineRule="auto"/>
              <w:jc w:val="both"/>
            </w:pPr>
            <w:r>
              <w:t>ULB creditcard.csv</w:t>
            </w:r>
          </w:p>
        </w:tc>
      </w:tr>
      <w:tr w14:paraId="12A6F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shd w:val="clear" w:color="auto" w:fill="FFFFFF"/>
            <w:tcMar>
              <w:top w:w="60" w:type="dxa"/>
              <w:left w:w="100" w:type="dxa"/>
              <w:bottom w:w="60" w:type="dxa"/>
              <w:right w:w="100" w:type="dxa"/>
            </w:tcMar>
          </w:tcPr>
          <w:p w14:paraId="7560E841">
            <w:pPr>
              <w:spacing w:line="480" w:lineRule="auto"/>
              <w:jc w:val="both"/>
            </w:pPr>
            <w:r>
              <w:t>Primary model</w:t>
            </w:r>
          </w:p>
        </w:tc>
        <w:tc>
          <w:tcPr>
            <w:tcW w:w="0" w:type="auto"/>
            <w:shd w:val="clear" w:color="auto" w:fill="FFFFFF"/>
            <w:tcMar>
              <w:top w:w="60" w:type="dxa"/>
              <w:left w:w="100" w:type="dxa"/>
              <w:bottom w:w="60" w:type="dxa"/>
              <w:right w:w="100" w:type="dxa"/>
            </w:tcMar>
          </w:tcPr>
          <w:p w14:paraId="21BAF75B">
            <w:pPr>
              <w:spacing w:line="480" w:lineRule="auto"/>
              <w:jc w:val="both"/>
            </w:pPr>
            <w:r>
              <w:t>Decision Tree</w:t>
            </w:r>
          </w:p>
        </w:tc>
        <w:tc>
          <w:tcPr>
            <w:tcW w:w="0" w:type="auto"/>
            <w:shd w:val="clear" w:color="auto" w:fill="FFFFFF"/>
            <w:tcMar>
              <w:top w:w="60" w:type="dxa"/>
              <w:left w:w="100" w:type="dxa"/>
              <w:bottom w:w="60" w:type="dxa"/>
              <w:right w:w="100" w:type="dxa"/>
            </w:tcMar>
          </w:tcPr>
          <w:p w14:paraId="1CB02DB6">
            <w:pPr>
              <w:spacing w:line="480" w:lineRule="auto"/>
              <w:jc w:val="both"/>
            </w:pPr>
            <w:r>
              <w:t>RF + XGBoost + GridSearchCV</w:t>
            </w:r>
          </w:p>
        </w:tc>
        <w:tc>
          <w:tcPr>
            <w:tcW w:w="0" w:type="auto"/>
            <w:shd w:val="clear" w:color="auto" w:fill="FFFFFF"/>
            <w:tcMar>
              <w:top w:w="60" w:type="dxa"/>
              <w:left w:w="100" w:type="dxa"/>
              <w:bottom w:w="60" w:type="dxa"/>
              <w:right w:w="100" w:type="dxa"/>
            </w:tcMar>
          </w:tcPr>
          <w:p w14:paraId="2DD655D1">
            <w:pPr>
              <w:spacing w:line="480" w:lineRule="auto"/>
              <w:jc w:val="both"/>
            </w:pPr>
            <w:r>
              <w:t>Random Forest (200 trees)</w:t>
            </w:r>
          </w:p>
        </w:tc>
      </w:tr>
      <w:tr w14:paraId="7E569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shd w:val="clear" w:color="auto" w:fill="EBF3FB"/>
            <w:tcMar>
              <w:top w:w="60" w:type="dxa"/>
              <w:left w:w="100" w:type="dxa"/>
              <w:bottom w:w="60" w:type="dxa"/>
              <w:right w:w="100" w:type="dxa"/>
            </w:tcMar>
          </w:tcPr>
          <w:p w14:paraId="2B516785">
            <w:pPr>
              <w:spacing w:line="480" w:lineRule="auto"/>
              <w:jc w:val="both"/>
            </w:pPr>
            <w:r>
              <w:t>SMOTE timing</w:t>
            </w:r>
          </w:p>
        </w:tc>
        <w:tc>
          <w:tcPr>
            <w:tcW w:w="0" w:type="auto"/>
            <w:shd w:val="clear" w:color="auto" w:fill="EBF3FB"/>
            <w:tcMar>
              <w:top w:w="60" w:type="dxa"/>
              <w:left w:w="100" w:type="dxa"/>
              <w:bottom w:w="60" w:type="dxa"/>
              <w:right w:w="100" w:type="dxa"/>
            </w:tcMar>
          </w:tcPr>
          <w:p w14:paraId="6CFD1149">
            <w:pPr>
              <w:spacing w:line="480" w:lineRule="auto"/>
              <w:jc w:val="both"/>
            </w:pPr>
            <w:r>
              <w:t>Before the split (data leakage)</w:t>
            </w:r>
          </w:p>
        </w:tc>
        <w:tc>
          <w:tcPr>
            <w:tcW w:w="0" w:type="auto"/>
            <w:shd w:val="clear" w:color="auto" w:fill="EBF3FB"/>
            <w:tcMar>
              <w:top w:w="60" w:type="dxa"/>
              <w:left w:w="100" w:type="dxa"/>
              <w:bottom w:w="60" w:type="dxa"/>
              <w:right w:w="100" w:type="dxa"/>
            </w:tcMar>
          </w:tcPr>
          <w:p w14:paraId="438D11A9">
            <w:pPr>
              <w:spacing w:line="480" w:lineRule="auto"/>
              <w:jc w:val="both"/>
            </w:pPr>
            <w:r>
              <w:t>After split (correct)</w:t>
            </w:r>
          </w:p>
        </w:tc>
        <w:tc>
          <w:tcPr>
            <w:tcW w:w="0" w:type="auto"/>
            <w:shd w:val="clear" w:color="auto" w:fill="EBF3FB"/>
            <w:tcMar>
              <w:top w:w="60" w:type="dxa"/>
              <w:left w:w="100" w:type="dxa"/>
              <w:bottom w:w="60" w:type="dxa"/>
              <w:right w:w="100" w:type="dxa"/>
            </w:tcMar>
          </w:tcPr>
          <w:p w14:paraId="15EB48DA">
            <w:pPr>
              <w:spacing w:line="480" w:lineRule="auto"/>
              <w:jc w:val="both"/>
            </w:pPr>
            <w:r>
              <w:t>After split (correct)</w:t>
            </w:r>
          </w:p>
        </w:tc>
      </w:tr>
      <w:tr w14:paraId="32C9C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shd w:val="clear" w:color="auto" w:fill="FFFFFF"/>
            <w:tcMar>
              <w:top w:w="60" w:type="dxa"/>
              <w:left w:w="100" w:type="dxa"/>
              <w:bottom w:w="60" w:type="dxa"/>
              <w:right w:w="100" w:type="dxa"/>
            </w:tcMar>
          </w:tcPr>
          <w:p w14:paraId="5C30BB59">
            <w:pPr>
              <w:spacing w:line="480" w:lineRule="auto"/>
              <w:jc w:val="both"/>
            </w:pPr>
            <w:r>
              <w:t>F1-Score</w:t>
            </w:r>
          </w:p>
        </w:tc>
        <w:tc>
          <w:tcPr>
            <w:tcW w:w="0" w:type="auto"/>
            <w:shd w:val="clear" w:color="auto" w:fill="FFFFFF"/>
            <w:tcMar>
              <w:top w:w="60" w:type="dxa"/>
              <w:left w:w="100" w:type="dxa"/>
              <w:bottom w:w="60" w:type="dxa"/>
              <w:right w:w="100" w:type="dxa"/>
            </w:tcMar>
          </w:tcPr>
          <w:p w14:paraId="54902FCE">
            <w:pPr>
              <w:spacing w:line="480" w:lineRule="auto"/>
              <w:jc w:val="both"/>
            </w:pPr>
            <w:r>
              <w:t>Unreliable (leakage)</w:t>
            </w:r>
          </w:p>
        </w:tc>
        <w:tc>
          <w:tcPr>
            <w:tcW w:w="0" w:type="auto"/>
            <w:shd w:val="clear" w:color="auto" w:fill="FFFFFF"/>
            <w:tcMar>
              <w:top w:w="60" w:type="dxa"/>
              <w:left w:w="100" w:type="dxa"/>
              <w:bottom w:w="60" w:type="dxa"/>
              <w:right w:w="100" w:type="dxa"/>
            </w:tcMar>
          </w:tcPr>
          <w:p w14:paraId="3A86CFF2">
            <w:pPr>
              <w:spacing w:line="480" w:lineRule="auto"/>
              <w:jc w:val="both"/>
            </w:pPr>
            <w:r>
              <w:t>0.9979</w:t>
            </w:r>
          </w:p>
        </w:tc>
        <w:tc>
          <w:tcPr>
            <w:tcW w:w="0" w:type="auto"/>
            <w:shd w:val="clear" w:color="auto" w:fill="FFFFFF"/>
            <w:tcMar>
              <w:top w:w="60" w:type="dxa"/>
              <w:left w:w="100" w:type="dxa"/>
              <w:bottom w:w="60" w:type="dxa"/>
              <w:right w:w="100" w:type="dxa"/>
            </w:tcMar>
          </w:tcPr>
          <w:p w14:paraId="60E45625">
            <w:pPr>
              <w:spacing w:line="480" w:lineRule="auto"/>
              <w:jc w:val="both"/>
            </w:pPr>
            <w:r>
              <w:t>0.8268</w:t>
            </w:r>
          </w:p>
        </w:tc>
      </w:tr>
      <w:tr w14:paraId="03900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shd w:val="clear" w:color="auto" w:fill="EBF3FB"/>
            <w:tcMar>
              <w:top w:w="60" w:type="dxa"/>
              <w:left w:w="100" w:type="dxa"/>
              <w:bottom w:w="60" w:type="dxa"/>
              <w:right w:w="100" w:type="dxa"/>
            </w:tcMar>
          </w:tcPr>
          <w:p w14:paraId="0183398A">
            <w:pPr>
              <w:spacing w:line="480" w:lineRule="auto"/>
              <w:jc w:val="both"/>
            </w:pPr>
            <w:r>
              <w:t>Web interface</w:t>
            </w:r>
          </w:p>
        </w:tc>
        <w:tc>
          <w:tcPr>
            <w:tcW w:w="0" w:type="auto"/>
            <w:shd w:val="clear" w:color="auto" w:fill="EBF3FB"/>
            <w:tcMar>
              <w:top w:w="60" w:type="dxa"/>
              <w:left w:w="100" w:type="dxa"/>
              <w:bottom w:w="60" w:type="dxa"/>
              <w:right w:w="100" w:type="dxa"/>
            </w:tcMar>
          </w:tcPr>
          <w:p w14:paraId="224325F9">
            <w:pPr>
              <w:spacing w:line="480" w:lineRule="auto"/>
              <w:jc w:val="both"/>
            </w:pPr>
            <w:r>
              <w:t>None</w:t>
            </w:r>
          </w:p>
        </w:tc>
        <w:tc>
          <w:tcPr>
            <w:tcW w:w="0" w:type="auto"/>
            <w:shd w:val="clear" w:color="auto" w:fill="EBF3FB"/>
            <w:tcMar>
              <w:top w:w="60" w:type="dxa"/>
              <w:left w:w="100" w:type="dxa"/>
              <w:bottom w:w="60" w:type="dxa"/>
              <w:right w:w="100" w:type="dxa"/>
            </w:tcMar>
          </w:tcPr>
          <w:p w14:paraId="051475D6">
            <w:pPr>
              <w:spacing w:line="480" w:lineRule="auto"/>
              <w:jc w:val="both"/>
            </w:pPr>
            <w:r>
              <w:t>Flask</w:t>
            </w:r>
          </w:p>
        </w:tc>
        <w:tc>
          <w:tcPr>
            <w:tcW w:w="0" w:type="auto"/>
            <w:shd w:val="clear" w:color="auto" w:fill="EBF3FB"/>
            <w:tcMar>
              <w:top w:w="60" w:type="dxa"/>
              <w:left w:w="100" w:type="dxa"/>
              <w:bottom w:w="60" w:type="dxa"/>
              <w:right w:w="100" w:type="dxa"/>
            </w:tcMar>
          </w:tcPr>
          <w:p w14:paraId="7CF95071">
            <w:pPr>
              <w:spacing w:line="480" w:lineRule="auto"/>
              <w:jc w:val="both"/>
            </w:pPr>
            <w:r>
              <w:t>Streamlit</w:t>
            </w:r>
          </w:p>
        </w:tc>
      </w:tr>
      <w:tr w14:paraId="2ED21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shd w:val="clear" w:color="auto" w:fill="FFFFFF"/>
            <w:tcMar>
              <w:top w:w="60" w:type="dxa"/>
              <w:left w:w="100" w:type="dxa"/>
              <w:bottom w:w="60" w:type="dxa"/>
              <w:right w:w="100" w:type="dxa"/>
            </w:tcMar>
          </w:tcPr>
          <w:p w14:paraId="46B77D08">
            <w:pPr>
              <w:spacing w:line="480" w:lineRule="auto"/>
              <w:jc w:val="both"/>
            </w:pPr>
            <w:r>
              <w:t>LLM explainability</w:t>
            </w:r>
          </w:p>
        </w:tc>
        <w:tc>
          <w:tcPr>
            <w:tcW w:w="0" w:type="auto"/>
            <w:shd w:val="clear" w:color="auto" w:fill="FFFFFF"/>
            <w:tcMar>
              <w:top w:w="60" w:type="dxa"/>
              <w:left w:w="100" w:type="dxa"/>
              <w:bottom w:w="60" w:type="dxa"/>
              <w:right w:w="100" w:type="dxa"/>
            </w:tcMar>
          </w:tcPr>
          <w:p w14:paraId="08446E2E">
            <w:pPr>
              <w:spacing w:line="480" w:lineRule="auto"/>
              <w:jc w:val="both"/>
            </w:pPr>
            <w:r>
              <w:t>None</w:t>
            </w:r>
          </w:p>
        </w:tc>
        <w:tc>
          <w:tcPr>
            <w:tcW w:w="0" w:type="auto"/>
            <w:shd w:val="clear" w:color="auto" w:fill="FFFFFF"/>
            <w:tcMar>
              <w:top w:w="60" w:type="dxa"/>
              <w:left w:w="100" w:type="dxa"/>
              <w:bottom w:w="60" w:type="dxa"/>
              <w:right w:w="100" w:type="dxa"/>
            </w:tcMar>
          </w:tcPr>
          <w:p w14:paraId="44439F1F">
            <w:pPr>
              <w:spacing w:line="480" w:lineRule="auto"/>
              <w:jc w:val="both"/>
            </w:pPr>
            <w:r>
              <w:t>None</w:t>
            </w:r>
          </w:p>
        </w:tc>
        <w:tc>
          <w:tcPr>
            <w:tcW w:w="0" w:type="auto"/>
            <w:shd w:val="clear" w:color="auto" w:fill="FFFFFF"/>
            <w:tcMar>
              <w:top w:w="60" w:type="dxa"/>
              <w:left w:w="100" w:type="dxa"/>
              <w:bottom w:w="60" w:type="dxa"/>
              <w:right w:w="100" w:type="dxa"/>
            </w:tcMar>
          </w:tcPr>
          <w:p w14:paraId="713C3BE1">
            <w:pPr>
              <w:spacing w:line="480" w:lineRule="auto"/>
              <w:jc w:val="both"/>
            </w:pPr>
            <w:r>
              <w:t>Llama-3.1 via Groq</w:t>
            </w:r>
          </w:p>
        </w:tc>
      </w:tr>
      <w:tr w14:paraId="5ED32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shd w:val="clear" w:color="auto" w:fill="EBF3FB"/>
            <w:tcMar>
              <w:top w:w="60" w:type="dxa"/>
              <w:left w:w="100" w:type="dxa"/>
              <w:bottom w:w="60" w:type="dxa"/>
              <w:right w:w="100" w:type="dxa"/>
            </w:tcMar>
          </w:tcPr>
          <w:p w14:paraId="4D835070">
            <w:pPr>
              <w:spacing w:line="480" w:lineRule="auto"/>
              <w:jc w:val="both"/>
            </w:pPr>
            <w:r>
              <w:t>PDF compliance report</w:t>
            </w:r>
          </w:p>
        </w:tc>
        <w:tc>
          <w:tcPr>
            <w:tcW w:w="0" w:type="auto"/>
            <w:shd w:val="clear" w:color="auto" w:fill="EBF3FB"/>
            <w:tcMar>
              <w:top w:w="60" w:type="dxa"/>
              <w:left w:w="100" w:type="dxa"/>
              <w:bottom w:w="60" w:type="dxa"/>
              <w:right w:w="100" w:type="dxa"/>
            </w:tcMar>
          </w:tcPr>
          <w:p w14:paraId="41B1B526">
            <w:pPr>
              <w:spacing w:line="480" w:lineRule="auto"/>
              <w:jc w:val="both"/>
            </w:pPr>
            <w:r>
              <w:t>None</w:t>
            </w:r>
          </w:p>
        </w:tc>
        <w:tc>
          <w:tcPr>
            <w:tcW w:w="0" w:type="auto"/>
            <w:shd w:val="clear" w:color="auto" w:fill="EBF3FB"/>
            <w:tcMar>
              <w:top w:w="60" w:type="dxa"/>
              <w:left w:w="100" w:type="dxa"/>
              <w:bottom w:w="60" w:type="dxa"/>
              <w:right w:w="100" w:type="dxa"/>
            </w:tcMar>
          </w:tcPr>
          <w:p w14:paraId="597F5230">
            <w:pPr>
              <w:spacing w:line="480" w:lineRule="auto"/>
              <w:jc w:val="both"/>
            </w:pPr>
            <w:r>
              <w:t>None</w:t>
            </w:r>
          </w:p>
        </w:tc>
        <w:tc>
          <w:tcPr>
            <w:tcW w:w="0" w:type="auto"/>
            <w:shd w:val="clear" w:color="auto" w:fill="EBF3FB"/>
            <w:tcMar>
              <w:top w:w="60" w:type="dxa"/>
              <w:left w:w="100" w:type="dxa"/>
              <w:bottom w:w="60" w:type="dxa"/>
              <w:right w:w="100" w:type="dxa"/>
            </w:tcMar>
          </w:tcPr>
          <w:p w14:paraId="0480DE0C">
            <w:pPr>
              <w:spacing w:line="480" w:lineRule="auto"/>
              <w:jc w:val="both"/>
            </w:pPr>
            <w:r>
              <w:t>Yes (fpdf2)</w:t>
            </w:r>
          </w:p>
        </w:tc>
      </w:tr>
      <w:tr w14:paraId="6C105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shd w:val="clear" w:color="auto" w:fill="FFFFFF"/>
            <w:tcMar>
              <w:top w:w="60" w:type="dxa"/>
              <w:left w:w="100" w:type="dxa"/>
              <w:bottom w:w="60" w:type="dxa"/>
              <w:right w:w="100" w:type="dxa"/>
            </w:tcMar>
          </w:tcPr>
          <w:p w14:paraId="6598D1D3">
            <w:pPr>
              <w:spacing w:line="480" w:lineRule="auto"/>
              <w:jc w:val="both"/>
            </w:pPr>
            <w:r>
              <w:t>Fraud advisor chat</w:t>
            </w:r>
          </w:p>
        </w:tc>
        <w:tc>
          <w:tcPr>
            <w:tcW w:w="0" w:type="auto"/>
            <w:shd w:val="clear" w:color="auto" w:fill="FFFFFF"/>
            <w:tcMar>
              <w:top w:w="60" w:type="dxa"/>
              <w:left w:w="100" w:type="dxa"/>
              <w:bottom w:w="60" w:type="dxa"/>
              <w:right w:w="100" w:type="dxa"/>
            </w:tcMar>
          </w:tcPr>
          <w:p w14:paraId="32B685B6">
            <w:pPr>
              <w:spacing w:line="480" w:lineRule="auto"/>
              <w:jc w:val="both"/>
            </w:pPr>
            <w:r>
              <w:t>None</w:t>
            </w:r>
          </w:p>
        </w:tc>
        <w:tc>
          <w:tcPr>
            <w:tcW w:w="0" w:type="auto"/>
            <w:shd w:val="clear" w:color="auto" w:fill="FFFFFF"/>
            <w:tcMar>
              <w:top w:w="60" w:type="dxa"/>
              <w:left w:w="100" w:type="dxa"/>
              <w:bottom w:w="60" w:type="dxa"/>
              <w:right w:w="100" w:type="dxa"/>
            </w:tcMar>
          </w:tcPr>
          <w:p w14:paraId="1F346CD6">
            <w:pPr>
              <w:spacing w:line="480" w:lineRule="auto"/>
              <w:jc w:val="both"/>
            </w:pPr>
            <w:r>
              <w:t>None</w:t>
            </w:r>
          </w:p>
        </w:tc>
        <w:tc>
          <w:tcPr>
            <w:tcW w:w="0" w:type="auto"/>
            <w:shd w:val="clear" w:color="auto" w:fill="FFFFFF"/>
            <w:tcMar>
              <w:top w:w="60" w:type="dxa"/>
              <w:left w:w="100" w:type="dxa"/>
              <w:bottom w:w="60" w:type="dxa"/>
              <w:right w:w="100" w:type="dxa"/>
            </w:tcMar>
          </w:tcPr>
          <w:p w14:paraId="39401FCA">
            <w:pPr>
              <w:spacing w:line="480" w:lineRule="auto"/>
              <w:jc w:val="both"/>
            </w:pPr>
            <w:r>
              <w:t>Yes (OpenRouter)</w:t>
            </w:r>
          </w:p>
        </w:tc>
      </w:tr>
      <w:tr w14:paraId="32873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shd w:val="clear" w:color="auto" w:fill="EBF3FB"/>
            <w:tcMar>
              <w:top w:w="60" w:type="dxa"/>
              <w:left w:w="100" w:type="dxa"/>
              <w:bottom w:w="60" w:type="dxa"/>
              <w:right w:w="100" w:type="dxa"/>
            </w:tcMar>
          </w:tcPr>
          <w:p w14:paraId="4AFC9D3C">
            <w:pPr>
              <w:spacing w:line="480" w:lineRule="auto"/>
              <w:jc w:val="both"/>
            </w:pPr>
            <w:r>
              <w:t>Theme support</w:t>
            </w:r>
          </w:p>
        </w:tc>
        <w:tc>
          <w:tcPr>
            <w:tcW w:w="0" w:type="auto"/>
            <w:shd w:val="clear" w:color="auto" w:fill="EBF3FB"/>
            <w:tcMar>
              <w:top w:w="60" w:type="dxa"/>
              <w:left w:w="100" w:type="dxa"/>
              <w:bottom w:w="60" w:type="dxa"/>
              <w:right w:w="100" w:type="dxa"/>
            </w:tcMar>
          </w:tcPr>
          <w:p w14:paraId="5828D47F">
            <w:pPr>
              <w:spacing w:line="480" w:lineRule="auto"/>
              <w:jc w:val="both"/>
            </w:pPr>
            <w:r>
              <w:t>None</w:t>
            </w:r>
          </w:p>
        </w:tc>
        <w:tc>
          <w:tcPr>
            <w:tcW w:w="0" w:type="auto"/>
            <w:shd w:val="clear" w:color="auto" w:fill="EBF3FB"/>
            <w:tcMar>
              <w:top w:w="60" w:type="dxa"/>
              <w:left w:w="100" w:type="dxa"/>
              <w:bottom w:w="60" w:type="dxa"/>
              <w:right w:w="100" w:type="dxa"/>
            </w:tcMar>
          </w:tcPr>
          <w:p w14:paraId="316CF3D7">
            <w:pPr>
              <w:spacing w:line="480" w:lineRule="auto"/>
              <w:jc w:val="both"/>
            </w:pPr>
            <w:r>
              <w:t>None</w:t>
            </w:r>
          </w:p>
        </w:tc>
        <w:tc>
          <w:tcPr>
            <w:tcW w:w="0" w:type="auto"/>
            <w:shd w:val="clear" w:color="auto" w:fill="EBF3FB"/>
            <w:tcMar>
              <w:top w:w="60" w:type="dxa"/>
              <w:left w:w="100" w:type="dxa"/>
              <w:bottom w:w="60" w:type="dxa"/>
              <w:right w:w="100" w:type="dxa"/>
            </w:tcMar>
          </w:tcPr>
          <w:p w14:paraId="3BD34191">
            <w:pPr>
              <w:spacing w:line="480" w:lineRule="auto"/>
              <w:jc w:val="both"/>
            </w:pPr>
            <w:r>
              <w:t>Light and dark mode</w:t>
            </w:r>
          </w:p>
        </w:tc>
      </w:tr>
    </w:tbl>
    <w:p w14:paraId="082CFF00">
      <w:pPr>
        <w:spacing w:line="480" w:lineRule="auto"/>
        <w:jc w:val="both"/>
      </w:pPr>
    </w:p>
    <w:p w14:paraId="413F4910">
      <w:pPr>
        <w:spacing w:after="200" w:line="480" w:lineRule="auto"/>
        <w:jc w:val="both"/>
      </w:pPr>
      <w:r>
        <w:t>Table 5: Comparison with Related Systems</w:t>
      </w:r>
    </w:p>
    <w:p w14:paraId="16D041CB">
      <w:pPr>
        <w:spacing w:after="200" w:line="480" w:lineRule="auto"/>
        <w:jc w:val="both"/>
      </w:pPr>
      <w:r>
        <w:t>System 1 applies SMOTE before the train/test split, introducing the data leakage error that Pozzolo et al. (2015) document and quantify. It saves a Decision Tree rather than a Random Forest as its final model. Because of the leakage, its evaluation metrics are unreliable. The complete absence of a web interface, explainability layer, or any user-facing features places it well below Aegis's scope.</w:t>
      </w:r>
    </w:p>
    <w:p w14:paraId="0810716F">
      <w:pPr>
        <w:spacing w:after="200" w:line="480" w:lineRule="auto"/>
        <w:jc w:val="both"/>
      </w:pPr>
      <w:r>
        <w:t>System 2 uses the fraudTrain.csv dataset, which contains raw, interpretable features such as geographic coordinates, merchant category, cardholder age, and a Unix timestamp. It applies multi-model comparison with GridSearchCV hyperparameter tuning and a Flask-based interface. Its reported F1-score of 0.9979 is substantially higher than Aegis's 0.8268.</w:t>
      </w:r>
    </w:p>
    <w:p w14:paraId="19B28286">
      <w:pPr>
        <w:spacing w:after="200" w:line="480" w:lineRule="auto"/>
        <w:jc w:val="both"/>
      </w:pPr>
      <w:r>
        <w:t>That comparison requires careful interpretation. The fraudTrain.csv dataset provides considerably richer discrimination signals. A transaction's geographic location, merchant category, and cardholder age are direct fraud indicators: a purchase at an unusual merchant type, in an unusual location, at an unusual time is interpretably suspicious. The model does not need to learn complex patterns across 28 anonymous PCA components. The ULB dataset is the harder and more widely cited academic benchmark, and achieving an F1 score of 0.8268 on it is consistent with the published literature.</w:t>
      </w:r>
    </w:p>
    <w:p w14:paraId="3A9E6740">
      <w:pPr>
        <w:spacing w:after="200" w:line="480" w:lineRule="auto"/>
        <w:jc w:val="both"/>
      </w:pPr>
      <w:r>
        <w:t>System 2's F1 of 0.9979 on an easier dataset should not be read as evidence of methodological superiority. The correct question is whether both systems are methodologically sound and whether Aegis offers comparable or superior user-facing features. On both counts, Aegis compares favourably with System 2 and substantially exceeds System 1.</w:t>
      </w:r>
    </w:p>
    <w:p w14:paraId="69EBD3B2">
      <w:pPr>
        <w:pStyle w:val="3"/>
        <w:spacing w:line="480" w:lineRule="auto"/>
      </w:pPr>
      <w:bookmarkStart w:id="77" w:name="_Toc228560791"/>
      <w:r>
        <w:t>5.7 Explainability Evaluation</w:t>
      </w:r>
      <w:bookmarkEnd w:id="77"/>
    </w:p>
    <w:p w14:paraId="0CF4154D">
      <w:pPr>
        <w:spacing w:after="200" w:line="480" w:lineRule="auto"/>
        <w:jc w:val="both"/>
        <w:rPr>
          <w:kern w:val="2"/>
          <w14:ligatures w14:val="standardContextual"/>
        </w:rPr>
      </w:pPr>
      <w:r>
        <w:t>LLM-generated reports were assessed qualitatively across repeated generations for representative fraud and legitimate cases. For the fraud sample (EUR 2.69, 406 seconds), reports consistently identified the very low amount as a potential card-testing indicator, described the early timing in the monitoring window as potentially higher risk, noted statistical deviation in predictive signals, and recommended card suspension and compliance escalation. For the legitimate sample (EUR 149.62, 28,800 seconds), reports consistently described the amount as within a normal range, the timing as typical daytime activity, and recommended routine monitoring. In no test run did a report reference a V-column name.</w:t>
      </w:r>
    </w:p>
    <w:p w14:paraId="341A2B0C">
      <w:pPr>
        <w:spacing w:after="200" w:line="480" w:lineRule="auto"/>
        <w:jc w:val="both"/>
        <w:rPr>
          <w:kern w:val="2"/>
          <w14:ligatures w14:val="standardContextual"/>
        </w:rPr>
      </w:pPr>
      <w:bookmarkStart w:id="78" w:name="_Toc228560792"/>
      <w:r>
        <w:t xml:space="preserve">Reports are not perfectly reproducible across runs because generation is stochastic when the </w:t>
      </w:r>
      <w:r>
        <w:rPr>
          <w:rFonts w:ascii="Courier New" w:hAnsi="Courier New" w:cs="Courier New"/>
        </w:rPr>
        <w:t>temperature</w:t>
      </w:r>
      <w:r>
        <w:t xml:space="preserve"> is non-zero. In evaluation, outputs were judged against three qualitative criteria: (1) factual consistency with the input context (amount, timing, risk band, and anomaly count), (2) actionability and appropriateness of recommended steps for a compliance audience, and (3) compliance with formatting constraints, especially the prohibition on V-column names. The core content and recommendations were stable across repeated generations, while phrasing varied. In an audit-focused deployment, setting </w:t>
      </w:r>
      <w:r>
        <w:rPr>
          <w:rFonts w:ascii="Courier New" w:hAnsi="Courier New" w:cs="Courier New"/>
        </w:rPr>
        <w:t>temperature=0</w:t>
      </w:r>
      <w:r>
        <w:t xml:space="preserve"> and using a more template-constrained output format would improve reproducibility. The </w:t>
      </w:r>
      <w:r>
        <w:rPr>
          <w:rFonts w:ascii="Courier New" w:hAnsi="Courier New" w:cs="Courier New"/>
        </w:rPr>
        <w:t>clean_markdown</w:t>
      </w:r>
      <w:r>
        <w:t xml:space="preserve"> function removed Markdown artefacts before display and PDF generation, and </w:t>
      </w:r>
      <w:r>
        <w:rPr>
          <w:rFonts w:ascii="Courier New" w:hAnsi="Courier New" w:cs="Courier New"/>
        </w:rPr>
        <w:t>clean_text</w:t>
      </w:r>
      <w:r>
        <w:t xml:space="preserve"> prevented Unicode-related PDF export failures during testing.</w:t>
      </w:r>
    </w:p>
    <w:p w14:paraId="354C6957">
      <w:pPr>
        <w:pStyle w:val="3"/>
        <w:spacing w:line="480" w:lineRule="auto"/>
      </w:pPr>
      <w:r>
        <w:t>5.8 Discussion</w:t>
      </w:r>
      <w:bookmarkEnd w:id="78"/>
    </w:p>
    <w:p w14:paraId="30718E43">
      <w:pPr>
        <w:spacing w:after="200" w:line="480" w:lineRule="auto"/>
        <w:jc w:val="both"/>
        <w:rPr>
          <w:kern w:val="2"/>
          <w14:ligatures w14:val="standardContextual"/>
        </w:rPr>
      </w:pPr>
      <w:r>
        <w:t>Overall, the evaluation indicates that Aegis meets the project’s core objectives: it implements a methodologically correct fraud-detection pipeline on a severely imbalanced benchmark, delivers competitive performance for a Random Forest model on the ULB dataset, and integrates an explanation layer that produces structured, compliance-oriented reports without relying on uninterpretable V-column narratives. In addition to model performance, the system demonstrates an end-to-end workflow suitable for analyst-facing decision support: transaction input, real-time inference, report generation, and optional PDF export within a single interface. The principal limitation is that performance is bounded by the information available in the anonymised dataset and by the absence of behavioural history and merchant metadata that would exist in a production setting.</w:t>
      </w:r>
    </w:p>
    <w:p w14:paraId="13F3DAD3">
      <w:pPr>
        <w:spacing w:after="200" w:line="480" w:lineRule="auto"/>
        <w:jc w:val="both"/>
        <w:rPr>
          <w:kern w:val="2"/>
          <w14:ligatures w14:val="standardContextual"/>
        </w:rPr>
      </w:pPr>
      <w:r>
        <w:t>The recall of 0.7789 deserves direct discussion because false negatives represent missed fraud. On this benchmark, Aegis detects 74 of the 95 fraudulent transactions in the test set at the default 0.5 threshold. As discussed in Section 5.2, the threshold can be lowered to increase recall if the operational priority is to minimise missed fraud, at the expense of generating more alerts for review. Aegis intentionally reports the default-threshold results to remain comparable with published ULB implementations, but a deployed system would select an operating point based on risk appetite, investigation capacity, and the customer friction associated with intervention. The remaining missed cases are also partly a dataset constraint: the ULB features contain no customer history, merchant category, geolocation, or velocity signals, all of which are commonly used in operational fraud monitoring to improve recall.</w:t>
      </w:r>
    </w:p>
    <w:p w14:paraId="79847069">
      <w:pPr>
        <w:spacing w:after="200" w:line="480" w:lineRule="auto"/>
        <w:jc w:val="both"/>
        <w:rPr>
          <w:kern w:val="2"/>
          <w14:ligatures w14:val="standardContextual"/>
        </w:rPr>
      </w:pPr>
      <w:bookmarkStart w:id="79" w:name="_Toc228560793"/>
      <w:r>
        <w:t>The comparison with the two related systems reinforces two points. First, methodological correctness matters: applying SMOTE before the train/test split produces inflated metrics and undermines any performance claims, which is why System 1 is not a meaningful benchmark despite reporting high scores. Second, headline F1-scores must be interpreted in context: System 2 operates on a different dataset with richer, interpretable features, so its near-perfect F1-score is not directly comparable with results on the anonymised ULB benchmark. On a like-for-like basis, Aegis’s performance is consistent with published ULB results, and its distinctive contribution is the integration of an analyst-facing explainability and reporting layer within a deployable prototype rather than a standalone modelling script.</w:t>
      </w:r>
    </w:p>
    <w:p w14:paraId="3A40E705">
      <w:pPr>
        <w:spacing w:after="200" w:line="480" w:lineRule="auto"/>
        <w:jc w:val="both"/>
        <w:rPr>
          <w:kern w:val="2"/>
          <w14:ligatures w14:val="standardContextual"/>
        </w:rPr>
      </w:pPr>
      <w:r>
        <w:t>Finally, the explainability design should be interpreted in light of the ULB dataset’s anonymisation. Because V1–V28 are PCA components, no method can truthfully map them back to concrete transaction behaviours without access to the original feature space. Aegis, therefore, treats explanation as a controlled translation problem rather than a claim of feature semantics: it reports interpretable signals (Amount and timing), quantifies statistical deviation in the most predictive components, and frames recommendations in terms of standard compliance practice. This approach is deliberately conservative, but it produces actionable outputs for analysts while remaining honest about what the model can and cannot explain.</w:t>
      </w:r>
    </w:p>
    <w:p w14:paraId="36D8ACE8">
      <w:pPr>
        <w:pStyle w:val="2"/>
        <w:spacing w:line="480" w:lineRule="auto"/>
      </w:pPr>
      <w:r>
        <w:t>CHAPTER 6</w:t>
      </w:r>
      <w:bookmarkEnd w:id="79"/>
    </w:p>
    <w:p w14:paraId="316E0D89">
      <w:pPr>
        <w:pStyle w:val="3"/>
        <w:spacing w:line="480" w:lineRule="auto"/>
      </w:pPr>
      <w:bookmarkStart w:id="80" w:name="_Toc228560794"/>
      <w:r>
        <w:t>Conclusions and Future Work</w:t>
      </w:r>
      <w:bookmarkEnd w:id="80"/>
    </w:p>
    <w:p w14:paraId="6609FEA9">
      <w:pPr>
        <w:pStyle w:val="3"/>
        <w:spacing w:line="480" w:lineRule="auto"/>
      </w:pPr>
      <w:bookmarkStart w:id="81" w:name="_Toc228560795"/>
      <w:r>
        <w:t>6.1 Conclusions</w:t>
      </w:r>
      <w:bookmarkEnd w:id="81"/>
    </w:p>
    <w:p w14:paraId="6583218C">
      <w:pPr>
        <w:spacing w:after="200" w:line="480" w:lineRule="auto"/>
        <w:jc w:val="both"/>
      </w:pPr>
      <w:r>
        <w:t>Aegis demonstrates that accurate fraud detection on a severely imbalanced dataset and operationally useful explanation of the resulting predictions can coexist in a single, well-designed prototype system.</w:t>
      </w:r>
    </w:p>
    <w:p w14:paraId="1EA8CCCA">
      <w:pPr>
        <w:spacing w:after="200" w:line="480" w:lineRule="auto"/>
        <w:jc w:val="both"/>
      </w:pPr>
      <w:r>
        <w:t xml:space="preserve">The training pipeline applies SMOTE correctly </w:t>
      </w:r>
      <w:r>
        <w:rPr>
          <w:lang w:val="en"/>
        </w:rPr>
        <w:t>,</w:t>
      </w:r>
      <w:r>
        <w:t xml:space="preserve"> after the stratified train/test split, on training data only </w:t>
      </w:r>
      <w:r>
        <w:rPr>
          <w:lang w:val="en"/>
        </w:rPr>
        <w:t>,</w:t>
      </w:r>
      <w:r>
        <w:t xml:space="preserve"> avoiding the data leakage error present in at least one comparable implementation examined in Chapter 5. The Random Forest achieves an F1 score of 0.8268 and an ROC-AUC of 0.9633 on the ULB benchmark, consistent with published academic work and confirming that the pipeline is methodologically sound.</w:t>
      </w:r>
    </w:p>
    <w:p w14:paraId="3F3413CD">
      <w:pPr>
        <w:spacing w:after="200" w:line="480" w:lineRule="auto"/>
        <w:jc w:val="both"/>
      </w:pPr>
      <w:r>
        <w:t>The LLM explainability layer is the main contribution distinguishing Aegis from comparable systems. The behavioural context translation function converts anonymous PCA signals into a fraud-domain language, producing reports that a compliance officer without machine-learning knowledge can read and act on, which is what explainability should mean in this operational context. The system is also honest about what it is doing: it describes predictions in terms of known fraud patterns rather than claiming to explain the model's internal reasoning for features it cannot interpret.</w:t>
      </w:r>
    </w:p>
    <w:p w14:paraId="31577A2A">
      <w:pPr>
        <w:spacing w:after="200" w:line="480" w:lineRule="auto"/>
        <w:jc w:val="both"/>
      </w:pPr>
      <w:r>
        <w:t xml:space="preserve">The web interface </w:t>
      </w:r>
      <w:r>
        <w:rPr>
          <w:lang w:val="en"/>
        </w:rPr>
        <w:t>,</w:t>
      </w:r>
      <w:r>
        <w:t xml:space="preserve"> with its three transaction input modes, light and dark mode, PDF download, and Fraud Prevention Advisor chat </w:t>
      </w:r>
      <w:r>
        <w:rPr>
          <w:lang w:val="en"/>
        </w:rPr>
        <w:t>,</w:t>
      </w:r>
      <w:r>
        <w:t xml:space="preserve"> presents as a complete product rather than a collection of scripts. The Custom Transaction mode demonstrates that the model makes genuine predictions on arbitrary inputs, addressing the risk that a two-sample-only demonstration would appear scripted rather than genuinely predictive.</w:t>
      </w:r>
    </w:p>
    <w:p w14:paraId="7549AB52">
      <w:pPr>
        <w:spacing w:after="200" w:line="480" w:lineRule="auto"/>
        <w:jc w:val="both"/>
      </w:pPr>
      <w:r>
        <w:t>Implementation also required resolving several non-trivial practical challenges: variation in Kaggle dataset paths, Windows permission restrictions on streamlit.exe, an OpenAI package installation failure and its requests-based workaround, Unicode rendering failures in fpdf2, the Streamlit form requirement for the advisor chat, the Groq model deprecation, and the clean_markdown requirement for LLM output. These are the kinds of problems that characterise professional software development and that do not appear in coursework.</w:t>
      </w:r>
    </w:p>
    <w:p w14:paraId="263E67DF">
      <w:pPr>
        <w:pStyle w:val="3"/>
        <w:spacing w:line="480" w:lineRule="auto"/>
      </w:pPr>
      <w:bookmarkStart w:id="82" w:name="_Toc228560796"/>
      <w:r>
        <w:t>6.2 Future Work</w:t>
      </w:r>
      <w:bookmarkEnd w:id="82"/>
    </w:p>
    <w:p w14:paraId="43238BE3">
      <w:pPr>
        <w:pStyle w:val="4"/>
        <w:spacing w:line="480" w:lineRule="auto"/>
      </w:pPr>
      <w:bookmarkStart w:id="83" w:name="_Toc228560797"/>
      <w:r>
        <w:t>6.2.1 Continual Learning</w:t>
      </w:r>
      <w:bookmarkEnd w:id="83"/>
    </w:p>
    <w:p w14:paraId="45BA4DF2">
      <w:pPr>
        <w:spacing w:after="200" w:line="480" w:lineRule="auto"/>
        <w:jc w:val="both"/>
      </w:pPr>
      <w:r>
        <w:t xml:space="preserve">Aegis's model is static: it does not update as fraud patterns evolve. Islam et al. (2025) demonstrate that systems with human feedback loops maintain better long-term performance than static models. The PDF report is a natural feedback artefact </w:t>
      </w:r>
      <w:r>
        <w:rPr>
          <w:lang w:val="en"/>
        </w:rPr>
        <w:t>,</w:t>
      </w:r>
      <w:r>
        <w:t xml:space="preserve"> an analyst who reviews and annotates a report implicitly signals the quality of the prediction. A database storing those annotations alongside prediction inputs would enable periodic model retraining. Given Aegis's modular structure, this extension is straightforward to implement.</w:t>
      </w:r>
    </w:p>
    <w:p w14:paraId="36E3C48F">
      <w:pPr>
        <w:pStyle w:val="4"/>
        <w:spacing w:line="480" w:lineRule="auto"/>
      </w:pPr>
      <w:bookmarkStart w:id="84" w:name="_Toc228560798"/>
      <w:r>
        <w:t>6.2.2 Production Deployment</w:t>
      </w:r>
      <w:bookmarkEnd w:id="84"/>
    </w:p>
    <w:p w14:paraId="5AF866BC">
      <w:pPr>
        <w:spacing w:after="200" w:line="480" w:lineRule="auto"/>
        <w:jc w:val="both"/>
      </w:pPr>
      <w:r>
        <w:t xml:space="preserve">Transitioning from prototype to deployed system requires user authentication, audit logging, and integration with a live transaction feed. Streamlit Community Cloud offers a deployment path for the current architecture. Still, production use would require a more robust backend </w:t>
      </w:r>
      <w:r>
        <w:rPr>
          <w:lang w:val="en"/>
        </w:rPr>
        <w:t>,</w:t>
      </w:r>
      <w:r>
        <w:t xml:space="preserve"> most likely replacing Streamlit with FastAPI and a React frontend to support concurrent users and persistent storage.</w:t>
      </w:r>
    </w:p>
    <w:p w14:paraId="068A15DD">
      <w:pPr>
        <w:pStyle w:val="4"/>
        <w:spacing w:line="480" w:lineRule="auto"/>
      </w:pPr>
      <w:bookmarkStart w:id="85" w:name="_Toc228560799"/>
      <w:r>
        <w:t>6.2.3 Explainability Improvements</w:t>
      </w:r>
      <w:bookmarkEnd w:id="85"/>
    </w:p>
    <w:p w14:paraId="7A757169">
      <w:pPr>
        <w:spacing w:after="200" w:line="480" w:lineRule="auto"/>
        <w:jc w:val="both"/>
      </w:pPr>
      <w:r>
        <w:t xml:space="preserve">The behavioural context builder could be extended to oversee velocity signals </w:t>
      </w:r>
      <w:r>
        <w:rPr>
          <w:lang w:val="en"/>
        </w:rPr>
        <w:t>,</w:t>
      </w:r>
      <w:r>
        <w:t xml:space="preserve"> multiple transactions within a short window </w:t>
      </w:r>
      <w:r>
        <w:rPr>
          <w:lang w:val="en"/>
        </w:rPr>
        <w:t>,</w:t>
      </w:r>
      <w:r>
        <w:t xml:space="preserve"> and merchant-type patterns where that data is available. A templated approach to report generation, where the LLM fills structured slots rather than generating free prose, would improve reproducibility across runs, which matters for compliance audit trails.</w:t>
      </w:r>
    </w:p>
    <w:p w14:paraId="068CB6D8">
      <w:pPr>
        <w:pStyle w:val="4"/>
        <w:spacing w:line="480" w:lineRule="auto"/>
      </w:pPr>
      <w:bookmarkStart w:id="86" w:name="_Toc228560800"/>
      <w:r>
        <w:t>6.2.4 Advisor Module</w:t>
      </w:r>
      <w:bookmarkEnd w:id="86"/>
    </w:p>
    <w:p w14:paraId="5F4F2CF2">
      <w:pPr>
        <w:spacing w:after="200" w:line="480" w:lineRule="auto"/>
        <w:jc w:val="both"/>
      </w:pPr>
      <w:r>
        <w:t>The advisor currently uses a free-tier OpenRouter model with variable latency. A production deployment would use a direct API connection with guaranteed latency and uptime. The system prompt could also be extended with specific regulatory guidance documents, making the advisor a genuine internal knowledge resource rather than a general-purpose chat interface.</w:t>
      </w:r>
    </w:p>
    <w:p w14:paraId="7B7C2DC1">
      <w:pPr>
        <w:pStyle w:val="3"/>
        <w:spacing w:line="480" w:lineRule="auto"/>
      </w:pPr>
      <w:bookmarkStart w:id="87" w:name="_Toc228560801"/>
      <w:r>
        <w:t>6.3 Legal, Social, Ethical and Professional Issues</w:t>
      </w:r>
      <w:bookmarkEnd w:id="87"/>
    </w:p>
    <w:p w14:paraId="65F45041">
      <w:pPr>
        <w:pStyle w:val="4"/>
        <w:spacing w:line="480" w:lineRule="auto"/>
      </w:pPr>
      <w:bookmarkStart w:id="88" w:name="_Toc228560802"/>
      <w:r>
        <w:t>6.3.1 Legal Issues</w:t>
      </w:r>
      <w:bookmarkEnd w:id="88"/>
    </w:p>
    <w:p w14:paraId="68B7B34A">
      <w:pPr>
        <w:pStyle w:val="5"/>
        <w:spacing w:line="480" w:lineRule="auto"/>
      </w:pPr>
      <w:r>
        <w:t>GDPR Article 22</w:t>
      </w:r>
    </w:p>
    <w:p w14:paraId="72CBD87B">
      <w:pPr>
        <w:spacing w:after="200" w:line="480" w:lineRule="auto"/>
        <w:jc w:val="both"/>
      </w:pPr>
      <w:r>
        <w:t xml:space="preserve">The General Data Protection Regulation, specifically Article 22, provides data subjects with the right not to be subject to solely automated decisions that produce significant legal effects, and </w:t>
      </w:r>
      <w:r>
        <w:rPr>
          <w:lang w:val="en"/>
        </w:rPr>
        <w:t>,</w:t>
      </w:r>
      <w:r>
        <w:t xml:space="preserve"> where such decisions are made </w:t>
      </w:r>
      <w:r>
        <w:rPr>
          <w:lang w:val="en"/>
        </w:rPr>
        <w:t>,</w:t>
      </w:r>
      <w:r>
        <w:t xml:space="preserve"> the right to obtain meaningful information about the logic involved. A fraud flag that results in a card being blocked, an account suspended, or an investigation opened is exactly the kind of decision Article 22 addresses. The financial and reputational consequences of a false positive can be considerable, particularly for cardholders with limited financial resources who rely on immediate access to their accounts.</w:t>
      </w:r>
    </w:p>
    <w:p w14:paraId="66058025">
      <w:pPr>
        <w:spacing w:after="200" w:line="480" w:lineRule="auto"/>
        <w:jc w:val="both"/>
      </w:pPr>
      <w:r>
        <w:t>Aegis's LLM report addresses Article 22's transparency requirement by providing a plain-English explanation of why a transaction was flagged, what characteristics of the transaction contributed to the prediction, and what actions are recommended. Whether this fully satisfies the 'meaningful information about the logic involved' standard in a specific regulatory context requires legal assessment: the report explains the prediction in terms of known fraud patterns rather than the model's internal reasoning, which may or may not meet the regulation's intent depending on how a supervisory authority interprets the provision.</w:t>
      </w:r>
    </w:p>
    <w:p w14:paraId="5A4BA0E7">
      <w:pPr>
        <w:spacing w:after="200" w:line="480" w:lineRule="auto"/>
        <w:jc w:val="both"/>
      </w:pPr>
      <w:r>
        <w:t xml:space="preserve">GDPR Recital 71 provides additional guidance, stating that automated decisions should use appropriate mathematical or statistical procedures and implement measures to prevent discriminatory effects. Aegis's use of SMOTE and cost-sensitive learning to address class imbalance is relevant here, reducing the risk that the model systematically misclassifies specific groups </w:t>
      </w:r>
      <w:r>
        <w:rPr>
          <w:lang w:val="en"/>
        </w:rPr>
        <w:t>,</w:t>
      </w:r>
      <w:r>
        <w:t xml:space="preserve"> though a formal fairness analysis would be required before any production deployment.</w:t>
      </w:r>
    </w:p>
    <w:p w14:paraId="22689CB4">
      <w:pPr>
        <w:pStyle w:val="5"/>
        <w:spacing w:line="480" w:lineRule="auto"/>
      </w:pPr>
      <w:r>
        <w:t>PSD2</w:t>
      </w:r>
    </w:p>
    <w:p w14:paraId="2250769D">
      <w:pPr>
        <w:spacing w:after="200" w:line="480" w:lineRule="auto"/>
        <w:jc w:val="both"/>
      </w:pPr>
      <w:r>
        <w:t>The Payment Services Directive 2 imposes specific requirements on payment service providers around fraud monitoring and strong customer authentication. Article 98 requires real-time transaction monitoring to assess fraud risk, and Aegis demonstrates that this is technically feasible. PSD2 also establishes liability rules for unauthorised transactions that create direct financial incentives for effective detection: issuers bear liability for card-not-present fraud in most circumstances, making false negatives directly costly.</w:t>
      </w:r>
    </w:p>
    <w:p w14:paraId="03E33AFB">
      <w:pPr>
        <w:pStyle w:val="5"/>
        <w:spacing w:line="480" w:lineRule="auto"/>
      </w:pPr>
      <w:r>
        <w:t>Computer Misuse Act 1990</w:t>
      </w:r>
    </w:p>
    <w:p w14:paraId="3F5A6FC6">
      <w:pPr>
        <w:spacing w:after="200" w:line="480" w:lineRule="auto"/>
        <w:jc w:val="both"/>
      </w:pPr>
      <w:r>
        <w:t>The Computer Misuse Act 1990 is relevant to this project's development methodology. Section 1 prohibits unauthorised access to computer material, Section 2 prohibits access with the intent to commit further offences, and Section 3 prohibits unauthorised acts that impair the operation of a computer. All data used in this project was obtained from a public Kaggle repository under appropriate research licensing terms. No live banking systems, production APIs, or customer data were accessed at any point during development. This is stated explicitly because any project involving financial transaction data requires clear documentation of data sourcing to demonstrate compliance with the Act.</w:t>
      </w:r>
    </w:p>
    <w:p w14:paraId="0B7EC870">
      <w:pPr>
        <w:pStyle w:val="5"/>
        <w:spacing w:line="480" w:lineRule="auto"/>
      </w:pPr>
      <w:r>
        <w:t>Intellectual Property</w:t>
      </w:r>
    </w:p>
    <w:p w14:paraId="19DC2B6F">
      <w:pPr>
        <w:spacing w:after="200" w:line="480" w:lineRule="auto"/>
        <w:jc w:val="both"/>
      </w:pPr>
      <w:r>
        <w:t>The ULB dataset is made available for research under terms that permit the academic use demonstrated here. The Llama 3 model family is licensed under the Meta Llama 3 Community Licence, which permits educational and research use. Commercial deployment of either would require a review of the applicable licence terms. The Aegis application code is original work.</w:t>
      </w:r>
    </w:p>
    <w:p w14:paraId="2E7B0463">
      <w:pPr>
        <w:pStyle w:val="4"/>
        <w:spacing w:line="480" w:lineRule="auto"/>
      </w:pPr>
      <w:bookmarkStart w:id="89" w:name="_Toc228560803"/>
      <w:r>
        <w:t>6.3.2 Social Issues</w:t>
      </w:r>
      <w:bookmarkEnd w:id="89"/>
    </w:p>
    <w:p w14:paraId="4064133F">
      <w:pPr>
        <w:pStyle w:val="5"/>
        <w:spacing w:line="480" w:lineRule="auto"/>
      </w:pPr>
      <w:r>
        <w:t>Individual Impact</w:t>
      </w:r>
    </w:p>
    <w:p w14:paraId="5A432416">
      <w:pPr>
        <w:spacing w:after="200" w:line="480" w:lineRule="auto"/>
        <w:jc w:val="both"/>
      </w:pPr>
      <w:r>
        <w:t xml:space="preserve">Fraud detection failures </w:t>
      </w:r>
      <w:r>
        <w:rPr>
          <w:lang w:val="en"/>
        </w:rPr>
        <w:t>,</w:t>
      </w:r>
      <w:r>
        <w:t xml:space="preserve"> both false negatives and false positives </w:t>
      </w:r>
      <w:r>
        <w:rPr>
          <w:lang w:val="en"/>
        </w:rPr>
        <w:t>,</w:t>
      </w:r>
      <w:r>
        <w:t xml:space="preserve"> have significant consequences for individual cardholders. A missed fraud case means a cardholder faces financial loss and a dispute resolution process that can take weeks. A false positive that blocks a legitimate transaction can prevent access to funds at critical moments, which is particularly problematic for cardholders who need to pay for emergency medical care, travel, or other time-sensitive expenses. Aegis's false positive count of 10 out of 56,651 legitimate test transactions (0.018%) is very low in absolute terms. Still, in a production deployment processing millions of transactions daily, even a 0.018% false positive rate would affect thousands of cardholders.</w:t>
      </w:r>
    </w:p>
    <w:p w14:paraId="5CCC55C7">
      <w:pPr>
        <w:pStyle w:val="5"/>
        <w:spacing w:line="480" w:lineRule="auto"/>
      </w:pPr>
      <w:r>
        <w:t>Algorithmic Bias</w:t>
      </w:r>
    </w:p>
    <w:p w14:paraId="2603A1D0">
      <w:pPr>
        <w:spacing w:after="200" w:line="480" w:lineRule="auto"/>
        <w:jc w:val="both"/>
      </w:pPr>
      <w:r>
        <w:t xml:space="preserve">Machine learning models trained on historical data encode historical patterns. If certain demographic groups have historically been more frequent victims of card-present fraud, their transaction patterns may appear more anomalous to a model trained on population averages, producing higher false positive rates for those groups </w:t>
      </w:r>
      <w:r>
        <w:rPr>
          <w:lang w:val="en"/>
        </w:rPr>
        <w:t>,</w:t>
      </w:r>
      <w:r>
        <w:t xml:space="preserve"> a form of algorithmic bias that creates disparate impact without any intentional discrimination. Aegis does not evaluate demographic fairness because the ULB dataset contains no demographic information. This is an acknowledged limitation: a formal fairness analysis using appropriate metrics such as demographic parity and equalised odds would be a necessary step before any production deployment.</w:t>
      </w:r>
    </w:p>
    <w:p w14:paraId="74637F54">
      <w:pPr>
        <w:pStyle w:val="5"/>
        <w:spacing w:line="480" w:lineRule="auto"/>
      </w:pPr>
      <w:r>
        <w:t>Financial Exclusion</w:t>
      </w:r>
    </w:p>
    <w:p w14:paraId="2818A065">
      <w:pPr>
        <w:spacing w:after="200" w:line="480" w:lineRule="auto"/>
        <w:jc w:val="both"/>
      </w:pPr>
      <w:r>
        <w:t>A related concern is that fraud detection systems can contribute to financial exclusion. If a model systematically flags transactions from specific geographic areas, merchant categories, or spending profiles as higher risk, cardholders whose legitimate spending patterns match those profiles may face disproportionate account disruption. Over time, this can erode trust in digital payment systems among the groups most affected, potentially reducing their participation in the formal financial system.</w:t>
      </w:r>
    </w:p>
    <w:p w14:paraId="53CE054D">
      <w:pPr>
        <w:pStyle w:val="4"/>
        <w:spacing w:line="480" w:lineRule="auto"/>
      </w:pPr>
      <w:bookmarkStart w:id="90" w:name="_Toc228560804"/>
      <w:r>
        <w:t>6.3.3 Ethical Issues</w:t>
      </w:r>
      <w:bookmarkEnd w:id="90"/>
    </w:p>
    <w:p w14:paraId="21AE472C">
      <w:pPr>
        <w:pStyle w:val="5"/>
        <w:spacing w:line="480" w:lineRule="auto"/>
      </w:pPr>
      <w:r>
        <w:t>Right to Explanation</w:t>
      </w:r>
    </w:p>
    <w:p w14:paraId="35ED218D">
      <w:pPr>
        <w:spacing w:after="200" w:line="480" w:lineRule="auto"/>
        <w:jc w:val="both"/>
      </w:pPr>
      <w:r>
        <w:t xml:space="preserve">The right to explanation is both a legal requirement under GDPR and an ethical obligation. Aegis addresses this through the LLM compliance report, which provides a readable justification for each prediction. The report explains predictions in terms of fraud-domain patterns rather than the model's internal technical reasoning, and whether these two forms of explanation are ethically equivalent is a non-trivial question. Arrieta et al. (2020) argue that operationally useful explanations </w:t>
      </w:r>
      <w:r>
        <w:rPr>
          <w:lang w:val="en"/>
        </w:rPr>
        <w:t>,</w:t>
      </w:r>
      <w:r>
        <w:t xml:space="preserve"> those that enable the affected individual to understand and act on the decision </w:t>
      </w:r>
      <w:r>
        <w:rPr>
          <w:lang w:val="en"/>
        </w:rPr>
        <w:t>,</w:t>
      </w:r>
      <w:r>
        <w:t xml:space="preserve"> satisfy the ethical requirement even where they do not provide a technically complete account of the model's reasoning. Aegis takes this position by design.</w:t>
      </w:r>
    </w:p>
    <w:p w14:paraId="652CEB66">
      <w:pPr>
        <w:pStyle w:val="5"/>
        <w:spacing w:line="480" w:lineRule="auto"/>
      </w:pPr>
      <w:r>
        <w:t>Algorithmic Accountability</w:t>
      </w:r>
    </w:p>
    <w:p w14:paraId="074F8558">
      <w:pPr>
        <w:spacing w:after="200" w:line="480" w:lineRule="auto"/>
        <w:jc w:val="both"/>
      </w:pPr>
      <w:r>
        <w:t>Aegis is designed as a decision support tool, not a decision-maker. The compliance report provides a recommendation and a justification, but the final decision rests with the human analyst. This human-in-the-loop design is an intentional ethical choice: automated systems in high-stakes domains should support human judgment rather than replace it. If an Aegis recommendation leads to a false positive that harms a cardholder, accountability rests with the analyst who acted on it and the institution that deployed the system. That accountability structure is only meaningful, however, if analysts genuinely review predictions rather than automatically implementing them.</w:t>
      </w:r>
    </w:p>
    <w:p w14:paraId="10BB39EB">
      <w:pPr>
        <w:pStyle w:val="5"/>
        <w:spacing w:line="480" w:lineRule="auto"/>
      </w:pPr>
      <w:r>
        <w:t>Synthetic Data Ethics</w:t>
      </w:r>
    </w:p>
    <w:p w14:paraId="79A9A1A4">
      <w:pPr>
        <w:spacing w:after="200" w:line="480" w:lineRule="auto"/>
        <w:jc w:val="both"/>
      </w:pPr>
      <w:r>
        <w:t xml:space="preserve">SMOTE-generated synthetic fraud examples are interpolations between genuine fraud cases </w:t>
      </w:r>
      <w:r>
        <w:rPr>
          <w:lang w:val="en"/>
        </w:rPr>
        <w:t>,</w:t>
      </w:r>
      <w:r>
        <w:t xml:space="preserve"> artificial data points treated as equivalent to genuine fraud observations during training. If the genuine fraud cases in the training set reflect historical biases, synthetic samples will inherit and potentially amplify them. SMOTE does not introduce new diversity into the fraud distribution; it extends existing patterns. This is not a reason to avoid SMOTE, but it is a reason to monitor model fairness carefully in any deployment context.</w:t>
      </w:r>
    </w:p>
    <w:p w14:paraId="7BAB1666">
      <w:pPr>
        <w:pStyle w:val="4"/>
        <w:spacing w:line="480" w:lineRule="auto"/>
      </w:pPr>
      <w:bookmarkStart w:id="91" w:name="_Toc228560805"/>
      <w:r>
        <w:t>6.3.4 Professional Issues</w:t>
      </w:r>
      <w:bookmarkEnd w:id="91"/>
    </w:p>
    <w:p w14:paraId="6D8730C7">
      <w:pPr>
        <w:pStyle w:val="5"/>
        <w:spacing w:line="480" w:lineRule="auto"/>
      </w:pPr>
      <w:r>
        <w:t>BCS Code of Conduct</w:t>
      </w:r>
    </w:p>
    <w:p w14:paraId="76672785">
      <w:pPr>
        <w:spacing w:after="200" w:line="480" w:lineRule="auto"/>
        <w:jc w:val="both"/>
      </w:pPr>
      <w:r>
        <w:t>The BCS Code of Conduct (BCS, 2022) requires computing professionals to act with integrity, prioritise public interest, maintain competence, and act responsibly. In the context of Aegis, professional integrity means being honest about the system's limitations rather than overstating its performance. This dissertation acknowledges the recall limitation of 77.9%, the variability in LLM report wording, the absence of a formal fairness analysis, and the gap between the prototype scope and the requirements of a production deployment. These are professional obligations, not optional admissions.</w:t>
      </w:r>
    </w:p>
    <w:p w14:paraId="6E640270">
      <w:pPr>
        <w:pStyle w:val="5"/>
        <w:spacing w:line="480" w:lineRule="auto"/>
      </w:pPr>
      <w:r>
        <w:t>Human Oversight</w:t>
      </w:r>
    </w:p>
    <w:p w14:paraId="0DBE7CE6">
      <w:pPr>
        <w:spacing w:after="200" w:line="480" w:lineRule="auto"/>
        <w:jc w:val="both"/>
      </w:pPr>
      <w:r>
        <w:t xml:space="preserve">The BCS Code's emphasis on human oversight of systems that affect people is reflected in Aegis's design as a decision support tool. A compliance officer reviews each prediction and the associated report before taking any action. This is not merely a practical limitation of a prototype </w:t>
      </w:r>
      <w:r>
        <w:rPr>
          <w:lang w:val="en"/>
        </w:rPr>
        <w:t>,</w:t>
      </w:r>
      <w:r>
        <w:t xml:space="preserve"> it is a deliberate ethical design choice. Automated fraud detection systems that block accounts without human review create accountability gaps that are difficult to manage in regulated financial environments.</w:t>
      </w:r>
    </w:p>
    <w:p w14:paraId="5FCA40EB">
      <w:pPr>
        <w:pStyle w:val="5"/>
        <w:spacing w:line="480" w:lineRule="auto"/>
      </w:pPr>
      <w:r>
        <w:t>Data Stewardship</w:t>
      </w:r>
    </w:p>
    <w:p w14:paraId="6D296E81">
      <w:pPr>
        <w:spacing w:after="200" w:line="480" w:lineRule="auto"/>
        <w:jc w:val="both"/>
      </w:pPr>
      <w:r>
        <w:t xml:space="preserve">Professional stewardship of data requires treating all transaction data </w:t>
      </w:r>
      <w:r>
        <w:rPr>
          <w:lang w:val="en"/>
        </w:rPr>
        <w:t>,</w:t>
      </w:r>
      <w:r>
        <w:t xml:space="preserve"> even anonymised and publicly available research data </w:t>
      </w:r>
      <w:r>
        <w:rPr>
          <w:lang w:val="en"/>
        </w:rPr>
        <w:t>,</w:t>
      </w:r>
      <w:r>
        <w:t xml:space="preserve"> with the same care as live production data. This includes ensuring secure storage of the model file, which encodes patterns learned from genuine fraud cases, reporting results responsibly without overstating performance, and clearly documenting data provenance and methodology. This dissertation aims to meet that standard throughout.</w:t>
      </w:r>
    </w:p>
    <w:p w14:paraId="698143B8">
      <w:pPr>
        <w:pStyle w:val="3"/>
        <w:spacing w:line="480" w:lineRule="auto"/>
      </w:pPr>
      <w:bookmarkStart w:id="92" w:name="_Toc228560806"/>
      <w:r>
        <w:t>6.4 Synoptic Reflections</w:t>
      </w:r>
      <w:bookmarkEnd w:id="92"/>
    </w:p>
    <w:p w14:paraId="1F0FE999">
      <w:pPr>
        <w:pStyle w:val="4"/>
        <w:spacing w:line="480" w:lineRule="auto"/>
      </w:pPr>
      <w:bookmarkStart w:id="93" w:name="_Toc228560807"/>
      <w:r>
        <w:t>6.4.1 Technical Skills Developed</w:t>
      </w:r>
      <w:bookmarkEnd w:id="93"/>
    </w:p>
    <w:p w14:paraId="3FBF48C1">
      <w:pPr>
        <w:spacing w:after="200" w:line="480" w:lineRule="auto"/>
        <w:jc w:val="both"/>
      </w:pPr>
      <w:r>
        <w:t>This project developed practical experience with the complete machine learning pipeline, from raw data to a deployed web application. Individual components have been covered in coursework modules, but the integration challenge is qualitatively different from implementing them in isolation.</w:t>
      </w:r>
    </w:p>
    <w:p w14:paraId="28F3A6D3">
      <w:pPr>
        <w:spacing w:after="200" w:line="480" w:lineRule="auto"/>
        <w:jc w:val="both"/>
      </w:pPr>
      <w:r>
        <w:t>Training the Random Forest on SMOTE-balanced data in a Kaggle notebook developed experience with cloud-based ML development workflows, including the specific constraints of the Kaggle environment</w:t>
      </w:r>
      <w:r>
        <w:rPr>
          <w:lang w:val="en"/>
        </w:rPr>
        <w:t>,</w:t>
      </w:r>
      <w:r>
        <w:t>dataset path variability, output directory structure, and session limitations. Implementing the Streamlit interface developed skills in rapid prototyping data-focused web applications, including the non-trivial aspects of customising Streamlit's default styling through injected CSS and working around its rerun model, which required a deeper understanding of Streamlit's execution behaviour than coursework exercises typically demand.</w:t>
      </w:r>
    </w:p>
    <w:p w14:paraId="745A9F51">
      <w:pPr>
        <w:spacing w:after="200" w:line="480" w:lineRule="auto"/>
        <w:jc w:val="both"/>
      </w:pPr>
      <w:r>
        <w:t>The LLM integration developed prompt engineering skills that are increasingly relevant in professional software development. Designing a prompt that consistently produces structured, operationally useful output in the correct format and tone, without V-column name references, required iterative refinement and a genuine understanding of how instruction-following models respond to different prompt structures. The clean_markdown and clean_text functions developed an understanding of Unicode handling and the specific constraints of PDF generation libraries.</w:t>
      </w:r>
    </w:p>
    <w:p w14:paraId="23382A48">
      <w:pPr>
        <w:spacing w:after="200" w:line="480" w:lineRule="auto"/>
        <w:jc w:val="both"/>
      </w:pPr>
      <w:r>
        <w:t xml:space="preserve">Debugging the environment-specific failures </w:t>
      </w:r>
      <w:r>
        <w:rPr>
          <w:lang w:val="en"/>
        </w:rPr>
        <w:t>,</w:t>
      </w:r>
      <w:r>
        <w:t xml:space="preserve"> the OpenAI package installation issue, the Windows streamlit.exe permission restriction, the fpdf2 Unicode rendering failures, and the Groq model deprecation </w:t>
      </w:r>
      <w:r>
        <w:rPr>
          <w:lang w:val="en"/>
        </w:rPr>
        <w:t>,</w:t>
      </w:r>
      <w:r>
        <w:t xml:space="preserve"> required systematic diagnosis rather than pattern-matching against the course material. Each failure demanded understanding the underlying cause before a solution was possible. That kind of debugging is a core professional competency that is difficult to develop through coursework alone.</w:t>
      </w:r>
    </w:p>
    <w:p w14:paraId="3CBAE0AD">
      <w:pPr>
        <w:pStyle w:val="4"/>
        <w:spacing w:line="480" w:lineRule="auto"/>
      </w:pPr>
      <w:bookmarkStart w:id="94" w:name="_Toc228560808"/>
      <w:r>
        <w:t>6.4.2 Professional Skills Developed</w:t>
      </w:r>
      <w:bookmarkEnd w:id="94"/>
    </w:p>
    <w:p w14:paraId="1D9C12EC">
      <w:pPr>
        <w:spacing w:after="200" w:line="480" w:lineRule="auto"/>
        <w:jc w:val="both"/>
        <w:rPr>
          <w:kern w:val="2"/>
          <w14:ligatures w14:val="standardContextual"/>
        </w:rPr>
      </w:pPr>
      <w:r>
        <w:t>Writing for multiple audiences simultaneously required careful attention throughout this project. The dissertation is written for academic readers familiar with machine learning. The LLM report prompts are designed to produce output for compliance officers who are not. The Streamlit interface is designed for end users with no technical background. Maintaining distinct yet consistent communication for each audience is a technical communication skill with broad professional application.</w:t>
      </w:r>
    </w:p>
    <w:p w14:paraId="7F1A06D9">
      <w:pPr>
        <w:spacing w:after="200" w:line="480" w:lineRule="auto"/>
        <w:jc w:val="both"/>
      </w:pPr>
      <w:r>
        <w:t xml:space="preserve">The decision to treat the methodology chapter honestly </w:t>
      </w:r>
      <w:r>
        <w:rPr>
          <w:lang w:val="en"/>
        </w:rPr>
        <w:t>,</w:t>
      </w:r>
      <w:r>
        <w:t xml:space="preserve"> acknowledging the models that were not implemented and explaining why, rather than papering over the gap </w:t>
      </w:r>
      <w:r>
        <w:rPr>
          <w:lang w:val="en"/>
        </w:rPr>
        <w:t>,</w:t>
      </w:r>
      <w:r>
        <w:t xml:space="preserve"> was itself a professional development. Academic writing often rewards the appearance of completeness; professional integrity requires honesty about limitations. Learning to write about limitations constructively, as design decisions rather than failures, is a skill that transfers directly to professional contexts where reporting on projects that did not achieve all their initial objectives is routine.</w:t>
      </w:r>
    </w:p>
    <w:p w14:paraId="2485B330">
      <w:pPr>
        <w:pStyle w:val="4"/>
        <w:spacing w:line="480" w:lineRule="auto"/>
      </w:pPr>
      <w:bookmarkStart w:id="95" w:name="_Toc228560809"/>
      <w:r>
        <w:t>6.4.3 Reflections on the Process</w:t>
      </w:r>
      <w:bookmarkEnd w:id="95"/>
    </w:p>
    <w:p w14:paraId="1F2E0D8E">
      <w:pPr>
        <w:spacing w:after="200" w:line="480" w:lineRule="auto"/>
        <w:jc w:val="both"/>
      </w:pPr>
      <w:r>
        <w:t>Several decisions would have been made differently in hindsight. The original project proposal listed too many candidate models, creating an implicit expectation of a comprehensive model comparison that was not delivered. A focused proposal that commits to Random Forest from the outset and specifies the LLM layer as the primary novel contribution would have been more honest about the project's actual scope.</w:t>
      </w:r>
    </w:p>
    <w:p w14:paraId="2F453D2B">
      <w:pPr>
        <w:spacing w:after="200" w:line="480" w:lineRule="auto"/>
        <w:jc w:val="both"/>
      </w:pPr>
      <w:r>
        <w:t>The dependency management challenges around the OpenAI package could have been anticipated with earlier prototyping of the advisor module. Identifying the request-based approach as the primary implementation strategy before significant development work was done would have saved several hours of debugging. The lesson is to prototype API integrations early, before the rest of the system is built around them.</w:t>
      </w:r>
    </w:p>
    <w:p w14:paraId="71F2CD12">
      <w:pPr>
        <w:spacing w:after="200" w:line="480" w:lineRule="auto"/>
        <w:jc w:val="both"/>
      </w:pPr>
      <w:r>
        <w:t>The decision to brand the system as Aegis and treat it as a consumer product was worth the investment. Having a coherent product identity made the design decisions feel purposeful rather than arbitrary, made the interface more compelling to demonstrate, and made the LSEPI section more concrete. Thinking about Aegis as something that could plausibly be deployed commercially made the regulatory and ethical implications far more tangible than they would have been if the system were simply a pipeline of scripts.</w:t>
      </w:r>
    </w:p>
    <w:p w14:paraId="0AB216FD">
      <w:pPr>
        <w:pStyle w:val="4"/>
        <w:spacing w:line="480" w:lineRule="auto"/>
      </w:pPr>
      <w:bookmarkStart w:id="96" w:name="_Toc228560810"/>
      <w:r>
        <w:t>6.4.4 Employment Aspirations</w:t>
      </w:r>
      <w:bookmarkEnd w:id="96"/>
    </w:p>
    <w:p w14:paraId="0AE0BCCC">
      <w:pPr>
        <w:spacing w:after="200" w:line="480" w:lineRule="auto"/>
        <w:jc w:val="both"/>
      </w:pPr>
      <w:r>
        <w:t>This project has reinforced an interest in working in machine learning engineering or data science in domains where automated systems make decisions with real consequences for people. Fraud detection is one such domain; healthcare risk stratification, credit risk assessment, and criminal justice risk scoring are others. What they share is a large gap between technical performance metrics and operational utility, and bridging that gap requires both technical competence and a genuine understanding of the human and regulatory context in which a system operates.</w:t>
      </w:r>
    </w:p>
    <w:p w14:paraId="1F1C9BE2">
      <w:pPr>
        <w:spacing w:after="200" w:line="480" w:lineRule="auto"/>
        <w:jc w:val="both"/>
      </w:pPr>
      <w:r>
        <w:t xml:space="preserve">Building an end-to-end system that began with a personal experience of fraud and ended with a prototype a compliance officer could plausibly use gave this project a clarity of purpose that coursework exercises rarely have. The technical choices made more sense in context because the end user </w:t>
      </w:r>
      <w:r>
        <w:rPr>
          <w:lang w:val="en"/>
        </w:rPr>
        <w:t>,</w:t>
      </w:r>
      <w:r>
        <w:t xml:space="preserve"> a person trying to decide whether to block a card </w:t>
      </w:r>
      <w:r>
        <w:rPr>
          <w:lang w:val="en"/>
        </w:rPr>
        <w:t>,</w:t>
      </w:r>
      <w:r>
        <w:t xml:space="preserve"> was always concrete rather than hypothetical.</w:t>
      </w:r>
    </w:p>
    <w:p w14:paraId="7E689213">
      <w:pPr>
        <w:spacing w:after="200" w:line="480" w:lineRule="auto"/>
        <w:jc w:val="both"/>
      </w:pPr>
      <w:r>
        <w:t xml:space="preserve">The methodological honesty required throughout </w:t>
      </w:r>
      <w:r>
        <w:rPr>
          <w:lang w:val="en"/>
        </w:rPr>
        <w:t>,</w:t>
      </w:r>
      <w:r>
        <w:t xml:space="preserve"> acknowledging limitations, explaining trade-offs, being precise about what metrics mean and what they do not </w:t>
      </w:r>
      <w:r>
        <w:rPr>
          <w:lang w:val="en"/>
        </w:rPr>
        <w:t>,</w:t>
      </w:r>
      <w:r>
        <w:t xml:space="preserve"> is directly applicable to professional practice. Machine learning models are routinely oversold. The ability to present results accurately, neither dismissing genuine achievements nor overstating a system's capabilities, is one of the more practically useful outcomes of this project.</w:t>
      </w:r>
    </w:p>
    <w:p w14:paraId="0CB8CDC1">
      <w:pPr>
        <w:pStyle w:val="2"/>
        <w:spacing w:line="480" w:lineRule="auto"/>
      </w:pPr>
      <w:bookmarkStart w:id="97" w:name="_Toc228560811"/>
      <w:r>
        <w:t>References</w:t>
      </w:r>
      <w:bookmarkEnd w:id="97"/>
    </w:p>
    <w:p w14:paraId="28BA197D">
      <w:pPr>
        <w:spacing w:after="120" w:line="480" w:lineRule="auto"/>
        <w:ind w:left="720" w:hanging="720"/>
        <w:jc w:val="both"/>
      </w:pPr>
      <w:r>
        <w:t>Amirineni, R. (2024) 'Embedding explainability within predictive analytics systems for financial governance', Journal of Banking and AI, 12(2). Available at: SciTePress [Accessed 10 April 2025].</w:t>
      </w:r>
    </w:p>
    <w:p w14:paraId="0670A8FB">
      <w:pPr>
        <w:spacing w:after="120" w:line="480" w:lineRule="auto"/>
        <w:ind w:left="720" w:hanging="720"/>
        <w:jc w:val="both"/>
      </w:pPr>
      <w:r>
        <w:t>Arrieta, A.B., Diaz-Rodriguez, N., Del Ser, J., Bennetot, A., Tabik, S., Barbado, A., Garcia, S., Gil-Lopez, S., Molina, D., Benjamins, R. and Chatila, R. (2020) 'Explainable Artificial Intelligence (XAI): Concepts, taxonomies, opportunities and challenges toward responsible AI', Information Fusion, 58, pp. 82-115.</w:t>
      </w:r>
    </w:p>
    <w:p w14:paraId="2B0F4D1F">
      <w:pPr>
        <w:spacing w:after="120" w:line="480" w:lineRule="auto"/>
        <w:ind w:left="720" w:hanging="720"/>
        <w:jc w:val="both"/>
      </w:pPr>
      <w:r>
        <w:t>BCS (2022) BCS Code of Conduct. Available at: https://www.bcs.org/membership-and-registrations/become-a-member/bcs-code-of-conduct/ [Accessed 15 April 2025].</w:t>
      </w:r>
    </w:p>
    <w:p w14:paraId="050E70FD">
      <w:pPr>
        <w:spacing w:after="120" w:line="480" w:lineRule="auto"/>
        <w:ind w:left="720" w:hanging="720"/>
        <w:jc w:val="both"/>
      </w:pPr>
      <w:r>
        <w:t>Bolton, R.J. and Hand, D.J. (2002) 'Statistical fraud detection: A review', Statistical Science, 17(3), pp. 235-255.</w:t>
      </w:r>
    </w:p>
    <w:p w14:paraId="16113B68">
      <w:pPr>
        <w:spacing w:after="120" w:line="480" w:lineRule="auto"/>
        <w:ind w:left="720" w:hanging="720"/>
        <w:jc w:val="both"/>
      </w:pPr>
      <w:r>
        <w:t>Breiman, L. (2001) 'Random Forests', Machine Learning, 45(1), pp. 5-32.</w:t>
      </w:r>
    </w:p>
    <w:p w14:paraId="2E20BFAD">
      <w:pPr>
        <w:spacing w:after="120" w:line="480" w:lineRule="auto"/>
        <w:ind w:left="720" w:hanging="720"/>
        <w:jc w:val="both"/>
      </w:pPr>
      <w:r>
        <w:t>Chawla, N.V., Bowyer, K.W., Hall, L.O. and Kegelmeyer, W.P. (2002) 'SMOTE: Synthetic Minority Over-sampling Technique', Journal of Artificial Intelligence Research, 16, pp. 321-357.</w:t>
      </w:r>
    </w:p>
    <w:p w14:paraId="396620D9">
      <w:pPr>
        <w:spacing w:after="120" w:line="480" w:lineRule="auto"/>
        <w:ind w:left="720" w:hanging="720"/>
        <w:jc w:val="both"/>
      </w:pPr>
      <w:r>
        <w:t>Dal Pozzolo, A., Caelen, O., Waterschoot, S. and Bontempi, G. (2015) 'Learning from imbalanced data in credit card fraud detection', IEEE Computational Intelligence Magazine, 10(4), pp. 27-41.</w:t>
      </w:r>
    </w:p>
    <w:p w14:paraId="1E06E5DF">
      <w:pPr>
        <w:spacing w:after="120" w:line="480" w:lineRule="auto"/>
        <w:ind w:left="720" w:hanging="720"/>
        <w:jc w:val="both"/>
      </w:pPr>
      <w:r>
        <w:t>European Parliament (2016) Regulation (EU) 2016/679 (General Data Protection Regulation). Official Journal of the European Union. Luxembourg: Publications Office.</w:t>
      </w:r>
    </w:p>
    <w:p w14:paraId="09AD68F7">
      <w:pPr>
        <w:spacing w:after="120" w:line="480" w:lineRule="auto"/>
        <w:ind w:left="720" w:hanging="720"/>
        <w:jc w:val="both"/>
      </w:pPr>
      <w:r>
        <w:t>European Parliament (2018) Directive (EU) 2015/2366 on Payment Services in the Internal Market (PSD2). Official Journal of the European Union. Luxembourg: Publications Office.</w:t>
      </w:r>
    </w:p>
    <w:p w14:paraId="5CA0941C">
      <w:pPr>
        <w:spacing w:after="120" w:line="480" w:lineRule="auto"/>
        <w:ind w:left="720" w:hanging="720"/>
        <w:jc w:val="both"/>
      </w:pPr>
      <w:r>
        <w:t>Gaav, G., Mohammadi, M., Hosseini, S. and Rezaei, A. (2025) 'Recent advances in credit card fraud detection: An analytical review of frameworks, methodologies, datasets, and challenges', Journal of Future Artificial Intelligence and Technologies, 2(3), pp. 343-370.</w:t>
      </w:r>
    </w:p>
    <w:p w14:paraId="175EE1D9">
      <w:pPr>
        <w:spacing w:after="120" w:line="480" w:lineRule="auto"/>
        <w:ind w:left="720" w:hanging="720"/>
        <w:jc w:val="both"/>
      </w:pPr>
      <w:r>
        <w:t>Islam, M.M., Ahmed, K. and Rahman, M. (2025) 'Building trust in AI fraud detection: A human-in-the-loop approach', ResearchGate Publications. Available at: https://www.researchgate.net [Accessed 8 April 2025].</w:t>
      </w:r>
    </w:p>
    <w:p w14:paraId="2E0AF5FC">
      <w:pPr>
        <w:spacing w:after="120" w:line="480" w:lineRule="auto"/>
        <w:ind w:left="720" w:hanging="720"/>
        <w:jc w:val="both"/>
      </w:pPr>
      <w:r>
        <w:t>Lundberg, S.M. and Lee, S.I. (2017) 'A unified approach to interpreting model predictions', Advances in Neural Information Processing Systems, 30, pp. 4765-4774.</w:t>
      </w:r>
    </w:p>
    <w:p w14:paraId="758B8834">
      <w:pPr>
        <w:spacing w:after="120" w:line="480" w:lineRule="auto"/>
        <w:ind w:left="720" w:hanging="720"/>
        <w:jc w:val="both"/>
      </w:pPr>
      <w:r>
        <w:t>Meta AI (2024). Introducing Llama 3: The Most Capable Openly Available LLM to Date. [Online]. Available at: https://ai.meta.com/blog/meta-llama-3/ [Accessed 5 April 2025].</w:t>
      </w:r>
    </w:p>
    <w:p w14:paraId="04F533EC">
      <w:pPr>
        <w:spacing w:after="120" w:line="480" w:lineRule="auto"/>
        <w:ind w:left="720" w:hanging="720"/>
        <w:jc w:val="both"/>
      </w:pPr>
      <w:r>
        <w:t>Nilson Report (2023) Card Fraud Losses Worldwide. Issue 1247. Carpinteria, CA: Nilson Report.</w:t>
      </w:r>
    </w:p>
    <w:p w14:paraId="4DD5901E">
      <w:pPr>
        <w:spacing w:after="120" w:line="480" w:lineRule="auto"/>
        <w:ind w:left="720" w:hanging="720"/>
        <w:jc w:val="both"/>
      </w:pPr>
      <w:r>
        <w:t>Obeng, S., Mensah, E. and Asante, B. (2024) 'Explainable AI for credit card fraud detection: Bridging the gap between accuracy and interpretability', World Journal of Advanced Research and Reviews, 25(02), pp. 1-12.</w:t>
      </w:r>
    </w:p>
    <w:p w14:paraId="1506AF42">
      <w:pPr>
        <w:spacing w:after="120" w:line="480" w:lineRule="auto"/>
        <w:ind w:left="720" w:hanging="720"/>
        <w:jc w:val="both"/>
      </w:pPr>
      <w:r>
        <w:t>Prusti, D. and Rath, S.K. (2019) 'Web service-based credit card fraud detection by applying machine learning techniques', in Proceedings of TENCON 2019 - IEEE Region 10 Conference, Kochi, India, 17-20 October. New York: IEEE, pp. 492-497.</w:t>
      </w:r>
    </w:p>
    <w:p w14:paraId="3C7E4115">
      <w:pPr>
        <w:spacing w:after="120" w:line="480" w:lineRule="auto"/>
        <w:ind w:left="720" w:hanging="720"/>
        <w:jc w:val="both"/>
      </w:pPr>
      <w:r>
        <w:t>UK Finance (2024) Annual Fraud Report 2024. London: UK Finance. Available at: https://www.ukfinance.org.uk [Accessed 3 April 2025].</w:t>
      </w:r>
    </w:p>
    <w:p w14:paraId="52938EC1">
      <w:pPr>
        <w:spacing w:after="120" w:line="480" w:lineRule="auto"/>
        <w:ind w:left="720" w:hanging="720"/>
        <w:jc w:val="both"/>
      </w:pPr>
      <w:r>
        <w:t>Varmedja, D., Karanovic, M., Sladojevic, S., Arsenovic, M. and Anderla, A. (2019) 'Credit card fraud detection - machine learning methods', in Proceedings of the 18th International Symposium INFOTEH-JAHORINA. New York: IEEE, pp. 1-5.</w:t>
      </w:r>
    </w:p>
    <w:p w14:paraId="01D870F0">
      <w:pPr>
        <w:spacing w:after="120" w:line="480" w:lineRule="auto"/>
        <w:ind w:left="720" w:hanging="720"/>
        <w:jc w:val="both"/>
      </w:pPr>
      <w:r>
        <w:t>Vijayanand, R. and Smrithy, G. (2025) 'XAI-enhanced ensemble learning for real-time mobile money fraud detection', FinTech Research Quarterly, 4(1). Available at: https://www.researchgate.net [Accessed 9 April 2025].</w:t>
      </w:r>
    </w:p>
    <w:p w14:paraId="67714D19">
      <w:pPr>
        <w:spacing w:after="120" w:line="480" w:lineRule="auto"/>
        <w:ind w:left="720" w:hanging="720"/>
        <w:jc w:val="both"/>
      </w:pPr>
      <w:r>
        <w:t>Wei, J., Wang, X., Schuurmans, D., Bosma, M., Ichter, B., Xia, F., Chi, E., Le, Q. and Zhou, D. (2022) 'Chain-of-thought prompting elicits reasoning in large language models', Advances in Neural Information Processing Systems, 35, pp. 24824-24837.</w:t>
      </w:r>
    </w:p>
    <w:p w14:paraId="00A7B4D8">
      <w:pPr>
        <w:spacing w:after="120" w:line="480" w:lineRule="auto"/>
        <w:ind w:left="720" w:hanging="720"/>
        <w:jc w:val="both"/>
      </w:pPr>
      <w:r>
        <w:t>Wu, X., Xiao, L., Sun, Y., Zhang, J., Ma, T. and He, L. (2022) 'A survey of human-in-the-loop for machine learning', Future Generation Computer Systems, 135, pp. 364-381.</w:t>
      </w:r>
    </w:p>
    <w:p w14:paraId="3CD17725">
      <w:pPr>
        <w:spacing w:after="120" w:line="480" w:lineRule="auto"/>
        <w:ind w:left="720" w:hanging="720"/>
        <w:jc w:val="both"/>
      </w:pPr>
      <w:r>
        <w:t>Xuan, S., Liu, G., Li, Z., Zheng, L., Wang, S. and Jiang, C. (2018) 'Random Forest for credit card fraud detection', in Proceedings of the 2018 IEEE 15th International Conference on Networking, Sensing and Control. New York: IEEE, pp. 1-6.</w:t>
      </w:r>
    </w:p>
    <w:p w14:paraId="4AD49484">
      <w:pPr>
        <w:spacing w:after="120" w:line="480" w:lineRule="auto"/>
        <w:ind w:left="720" w:hanging="720"/>
        <w:jc w:val="both"/>
      </w:pPr>
      <w:r>
        <w:t>Yadav, Y.S.K. (2024) 'Credit card fraud detection project leveraging Python and machine learning', Indian Scientific Journal of Research In, 8(6), pp. 1-5.</w:t>
      </w:r>
    </w:p>
    <w:p w14:paraId="58527B98">
      <w:pPr>
        <w:spacing w:after="120" w:line="480" w:lineRule="auto"/>
        <w:ind w:left="720" w:hanging="720"/>
        <w:jc w:val="both"/>
      </w:pPr>
      <w:r>
        <w:t>Zhao, W.X., Zhou, K., Li, J., Tang, T., Wang, X., Hou, Y., Min, Y., Zhang, B., Zhang, J., Dong, Z. and Du, Y. (2023) 'A survey of large language models', arXiv preprint arXiv:2303.18223. Available at: https://arxiv.org/abs/2303.18223 [Accessed 6 April 2025].</w:t>
      </w:r>
    </w:p>
    <w:p w14:paraId="6F5C68C8">
      <w:pPr>
        <w:spacing w:line="480" w:lineRule="auto"/>
        <w:jc w:val="both"/>
      </w:pPr>
      <w:r>
        <w:br w:type="page"/>
      </w:r>
    </w:p>
    <w:p w14:paraId="472CB672">
      <w:pPr>
        <w:pStyle w:val="2"/>
        <w:spacing w:line="480" w:lineRule="auto"/>
      </w:pPr>
      <w:bookmarkStart w:id="98" w:name="_Toc228560812"/>
      <w:r>
        <w:t>Bibliography</w:t>
      </w:r>
      <w:bookmarkEnd w:id="98"/>
    </w:p>
    <w:p w14:paraId="195FFB93">
      <w:pPr>
        <w:spacing w:after="200" w:line="480" w:lineRule="auto"/>
        <w:jc w:val="both"/>
      </w:pPr>
      <w:r>
        <w:t>The following sources were read for background and general context during the preparation of this project, but are not directly cited in the main text.</w:t>
      </w:r>
    </w:p>
    <w:p w14:paraId="1242E6CF">
      <w:pPr>
        <w:spacing w:line="480" w:lineRule="auto"/>
        <w:jc w:val="both"/>
      </w:pPr>
    </w:p>
    <w:p w14:paraId="2B9D53B7">
      <w:pPr>
        <w:spacing w:after="120" w:line="480" w:lineRule="auto"/>
        <w:ind w:left="720" w:hanging="720"/>
        <w:jc w:val="both"/>
      </w:pPr>
      <w:r>
        <w:t>Awoyemi, J.O., Adetunmbi, A.O. and Oluwadare, S.A. (2017) 'Credit card fraud detection using machine learning techniques: A comparative analysis', in 2017 International Conference on Computing Networking and Informatics. New York: IEEE, pp. 1-9.</w:t>
      </w:r>
    </w:p>
    <w:p w14:paraId="4DA15604">
      <w:pPr>
        <w:spacing w:after="120" w:line="480" w:lineRule="auto"/>
        <w:ind w:left="720" w:hanging="720"/>
        <w:jc w:val="both"/>
      </w:pPr>
      <w:r>
        <w:t>Branco, P., Torgo, L. and Ribeiro, R.P. (2016) 'A survey of predictive modelling under imbalanced distributions', ACM Computing Surveys, 49(2), pp. 1-50.</w:t>
      </w:r>
    </w:p>
    <w:p w14:paraId="416DBCAE">
      <w:pPr>
        <w:spacing w:after="120" w:line="480" w:lineRule="auto"/>
        <w:ind w:left="720" w:hanging="720"/>
        <w:jc w:val="both"/>
      </w:pPr>
      <w:r>
        <w:t>Goodfellow, I., Bengio, Y. and Courville, A. (2016). Deep Learning. Cambridge, MA: MIT Press.</w:t>
      </w:r>
    </w:p>
    <w:p w14:paraId="29EC4843">
      <w:pPr>
        <w:spacing w:after="120" w:line="480" w:lineRule="auto"/>
        <w:ind w:left="720" w:hanging="720"/>
        <w:jc w:val="both"/>
      </w:pPr>
      <w:r>
        <w:t>James, G., Witten, D., Hastie, T. and Tibshirani, R. (2021) An Introduction to Statistical Learning with Applications in R. 2nd edn. New York: Springer.</w:t>
      </w:r>
    </w:p>
    <w:p w14:paraId="689CFF24">
      <w:pPr>
        <w:spacing w:after="120" w:line="480" w:lineRule="auto"/>
        <w:ind w:left="720" w:hanging="720"/>
        <w:jc w:val="both"/>
      </w:pPr>
      <w:r>
        <w:t>Streamlit (2024) Streamlit Documentation. Available at: https://docs.streamlit.io [Accessed 12 April 2025].</w:t>
      </w:r>
    </w:p>
    <w:p w14:paraId="69F4E8E2">
      <w:pPr>
        <w:spacing w:line="480" w:lineRule="auto"/>
        <w:jc w:val="both"/>
      </w:pPr>
      <w:r>
        <w:br w:type="page"/>
      </w:r>
    </w:p>
    <w:p w14:paraId="73971A03">
      <w:pPr>
        <w:pStyle w:val="2"/>
        <w:spacing w:line="480" w:lineRule="auto"/>
      </w:pPr>
      <w:bookmarkStart w:id="99" w:name="_Toc228560813"/>
      <w:r>
        <w:t>Appendix A: System Setup and Running Instructions</w:t>
      </w:r>
      <w:bookmarkEnd w:id="99"/>
    </w:p>
    <w:p w14:paraId="06CDE539">
      <w:pPr>
        <w:pStyle w:val="3"/>
        <w:spacing w:line="480" w:lineRule="auto"/>
      </w:pPr>
      <w:bookmarkStart w:id="100" w:name="_Toc228560814"/>
      <w:r>
        <w:t>A.1 Prerequisites</w:t>
      </w:r>
      <w:bookmarkEnd w:id="100"/>
    </w:p>
    <w:p w14:paraId="23DF6033">
      <w:pPr>
        <w:spacing w:after="100" w:line="480" w:lineRule="auto"/>
        <w:ind w:left="720" w:hanging="360"/>
        <w:jc w:val="both"/>
      </w:pPr>
      <w:r>
        <w:t>•  Python 3.11 or later</w:t>
      </w:r>
    </w:p>
    <w:p w14:paraId="4B7A499C">
      <w:pPr>
        <w:spacing w:after="100" w:line="480" w:lineRule="auto"/>
        <w:ind w:left="720" w:hanging="360"/>
        <w:jc w:val="both"/>
      </w:pPr>
      <w:r>
        <w:t>•  Virtual environment: python -m venv .venv</w:t>
      </w:r>
    </w:p>
    <w:p w14:paraId="2D66D1A5">
      <w:pPr>
        <w:spacing w:after="100" w:line="480" w:lineRule="auto"/>
        <w:ind w:left="720" w:hanging="360"/>
        <w:jc w:val="both"/>
      </w:pPr>
      <w:r>
        <w:t>•  Dependencies: &amp; '.venv/Scripts/python.exe' -m pip install -r requirements.txt</w:t>
      </w:r>
    </w:p>
    <w:p w14:paraId="5C8576F7">
      <w:pPr>
        <w:spacing w:after="100" w:line="480" w:lineRule="auto"/>
        <w:ind w:left="720" w:hanging="360"/>
        <w:jc w:val="both"/>
      </w:pPr>
      <w:r>
        <w:t>•  fraud_model.pkl in the same directory as app.py</w:t>
      </w:r>
    </w:p>
    <w:p w14:paraId="0731BB46">
      <w:pPr>
        <w:spacing w:after="100" w:line="480" w:lineRule="auto"/>
        <w:ind w:left="720" w:hanging="360"/>
        <w:jc w:val="both"/>
      </w:pPr>
      <w:r>
        <w:t>•  Groq API key from console.groq.com</w:t>
      </w:r>
    </w:p>
    <w:p w14:paraId="19EA223B">
      <w:pPr>
        <w:spacing w:after="100" w:line="480" w:lineRule="auto"/>
        <w:ind w:left="720" w:hanging="360"/>
        <w:jc w:val="both"/>
      </w:pPr>
      <w:r>
        <w:t>•  OpenRouter API key from openrouter.ai</w:t>
      </w:r>
    </w:p>
    <w:p w14:paraId="462FF4F2">
      <w:pPr>
        <w:spacing w:line="480" w:lineRule="auto"/>
        <w:jc w:val="both"/>
      </w:pPr>
    </w:p>
    <w:p w14:paraId="38D4B4A4">
      <w:pPr>
        <w:pStyle w:val="3"/>
        <w:spacing w:line="480" w:lineRule="auto"/>
      </w:pPr>
      <w:bookmarkStart w:id="101" w:name="_Toc228560815"/>
      <w:r>
        <w:t>A.2 Training the Model (Kaggle)</w:t>
      </w:r>
      <w:bookmarkEnd w:id="101"/>
    </w:p>
    <w:p w14:paraId="5322D16B">
      <w:pPr>
        <w:spacing w:after="100" w:line="480" w:lineRule="auto"/>
        <w:ind w:left="720" w:hanging="360"/>
        <w:jc w:val="both"/>
      </w:pPr>
      <w:r>
        <w:t>•  Create a new notebook at kaggle.com</w:t>
      </w:r>
    </w:p>
    <w:p w14:paraId="79C8C78A">
      <w:pPr>
        <w:spacing w:after="100" w:line="480" w:lineRule="auto"/>
        <w:ind w:left="720" w:hanging="360"/>
        <w:jc w:val="both"/>
      </w:pPr>
      <w:r>
        <w:t>•  Add Data: search 'creditcardfraud' by ULB and attach</w:t>
      </w:r>
    </w:p>
    <w:p w14:paraId="269BF8E3">
      <w:pPr>
        <w:spacing w:after="100" w:line="480" w:lineRule="auto"/>
        <w:ind w:left="720" w:hanging="360"/>
        <w:jc w:val="both"/>
      </w:pPr>
      <w:r>
        <w:t>•  Upload or paste train_model.py into notebook cells</w:t>
      </w:r>
    </w:p>
    <w:p w14:paraId="48A7EAC4">
      <w:pPr>
        <w:spacing w:after="100" w:line="480" w:lineRule="auto"/>
        <w:ind w:left="720" w:hanging="360"/>
        <w:jc w:val="both"/>
      </w:pPr>
      <w:r>
        <w:t>•  Click Run All (takes approx 2-4 minutes)</w:t>
      </w:r>
    </w:p>
    <w:p w14:paraId="6CE633EC">
      <w:pPr>
        <w:spacing w:after="100" w:line="480" w:lineRule="auto"/>
        <w:ind w:left="720" w:hanging="360"/>
        <w:jc w:val="both"/>
      </w:pPr>
      <w:r>
        <w:t>•  Download fraud_model.pkl from the Output panel</w:t>
      </w:r>
    </w:p>
    <w:p w14:paraId="5662D2F4">
      <w:pPr>
        <w:spacing w:after="100" w:line="480" w:lineRule="auto"/>
        <w:ind w:left="720" w:hanging="360"/>
        <w:jc w:val="both"/>
      </w:pPr>
      <w:r>
        <w:t>•  Place in same directory as app.py</w:t>
      </w:r>
    </w:p>
    <w:p w14:paraId="2843BBF9">
      <w:pPr>
        <w:spacing w:line="480" w:lineRule="auto"/>
        <w:jc w:val="both"/>
      </w:pPr>
    </w:p>
    <w:p w14:paraId="498F176C">
      <w:pPr>
        <w:pStyle w:val="3"/>
        <w:spacing w:line="480" w:lineRule="auto"/>
      </w:pPr>
      <w:bookmarkStart w:id="102" w:name="_Toc228560816"/>
      <w:r>
        <w:t>A.3 Running the Application</w:t>
      </w:r>
      <w:bookmarkEnd w:id="102"/>
    </w:p>
    <w:p w14:paraId="11826D84">
      <w:pPr>
        <w:spacing w:after="200" w:line="480" w:lineRule="auto"/>
        <w:jc w:val="both"/>
      </w:pPr>
      <w:r>
        <w:t>Open a terminal in the project directory and run:</w:t>
      </w:r>
    </w:p>
    <w:p w14:paraId="53B02E47">
      <w:pPr>
        <w:spacing w:before="80" w:after="80" w:line="480" w:lineRule="auto"/>
        <w:ind w:left="720"/>
        <w:jc w:val="both"/>
      </w:pPr>
      <w:r>
        <w:rPr>
          <w:rFonts w:ascii="Courier New" w:hAnsi="Courier New" w:eastAsia="Courier New" w:cs="Courier New"/>
        </w:rPr>
        <w:t>python -m streamlit run app.py</w:t>
      </w:r>
    </w:p>
    <w:p w14:paraId="28EC4504">
      <w:pPr>
        <w:spacing w:after="200" w:line="480" w:lineRule="auto"/>
        <w:jc w:val="both"/>
      </w:pPr>
      <w:r>
        <w:t>The application opens at http://localhost:8501. Note: python app.py will not work on Windows due to permissions restrictions on streamlit.exe.</w:t>
      </w:r>
    </w:p>
    <w:p w14:paraId="0B208186">
      <w:pPr>
        <w:spacing w:line="480" w:lineRule="auto"/>
        <w:jc w:val="both"/>
      </w:pPr>
    </w:p>
    <w:p w14:paraId="7915A7B3">
      <w:pPr>
        <w:pStyle w:val="3"/>
        <w:spacing w:line="480" w:lineRule="auto"/>
      </w:pPr>
      <w:bookmarkStart w:id="103" w:name="_Toc228560817"/>
      <w:r>
        <w:t>A.4 API Key Configuration</w:t>
      </w:r>
      <w:bookmarkEnd w:id="103"/>
    </w:p>
    <w:p w14:paraId="4ECF7CCE">
      <w:pPr>
        <w:spacing w:after="200" w:line="480" w:lineRule="auto"/>
        <w:jc w:val="both"/>
      </w:pPr>
      <w:r>
        <w:t>API keys are stored in the GROQ_API_KEY and OPENROUTER_API_KEY variables in app.py. Replace the placeholder strings with valid keys. Do not commit the file to a public repository with live keys in place.</w:t>
      </w:r>
    </w:p>
    <w:p w14:paraId="08F3D191">
      <w:pPr>
        <w:spacing w:line="480" w:lineRule="auto"/>
        <w:jc w:val="both"/>
      </w:pPr>
    </w:p>
    <w:p w14:paraId="0CBB5C47">
      <w:pPr>
        <w:pStyle w:val="3"/>
        <w:spacing w:line="480" w:lineRule="auto"/>
      </w:pPr>
      <w:bookmarkStart w:id="104" w:name="_Toc228560818"/>
      <w:r>
        <w:t>A.5 Known Issues</w:t>
      </w:r>
      <w:bookmarkEnd w:id="104"/>
    </w:p>
    <w:p w14:paraId="0ACFD6E7">
      <w:pPr>
        <w:spacing w:after="100" w:line="480" w:lineRule="auto"/>
        <w:ind w:left="720" w:hanging="360"/>
        <w:jc w:val="both"/>
      </w:pPr>
      <w:r>
        <w:t>•  Windows permission error: use python -m streamlit run app.py</w:t>
      </w:r>
    </w:p>
    <w:p w14:paraId="62741DDA">
      <w:pPr>
        <w:spacing w:after="100" w:line="480" w:lineRule="auto"/>
        <w:ind w:left="720" w:hanging="360"/>
        <w:jc w:val="both"/>
      </w:pPr>
      <w:r>
        <w:t>•  PDF Unicode error: ensure clean_text is applied before export_pdf (already implemented)</w:t>
      </w:r>
    </w:p>
    <w:p w14:paraId="1BAA2E68">
      <w:pPr>
        <w:spacing w:after="100" w:line="480" w:lineRule="auto"/>
        <w:ind w:left="720" w:hanging="360"/>
        <w:jc w:val="both"/>
      </w:pPr>
      <w:r>
        <w:t>•  Advisor chat repeating ensure advisor input is wrapped in st.form (already implemented)</w:t>
      </w:r>
    </w:p>
    <w:p w14:paraId="6AC30912">
      <w:pPr>
        <w:spacing w:after="100" w:line="480" w:lineRule="auto"/>
        <w:ind w:left="720" w:hanging="360"/>
        <w:jc w:val="both"/>
      </w:pPr>
      <w:r>
        <w:t>•  Groq model decommissioned: update model string in generate_report to current model from console.groq.com/docs/deprecations</w:t>
      </w:r>
    </w:p>
    <w:sectPr>
      <w:footerReference r:id="rId3" w:type="default"/>
      <w:pgSz w:w="11906" w:h="16838"/>
      <w:pgMar w:top="1418" w:right="1418" w:bottom="1418" w:left="2268"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Verdana">
    <w:panose1 w:val="020B0604030504040204"/>
    <w:charset w:val="86"/>
    <w:family w:val="swiss"/>
    <w:pitch w:val="default"/>
    <w:sig w:usb0="A10006FF" w:usb1="4000205B" w:usb2="00000010" w:usb3="00000000" w:csb0="2000019F" w:csb1="00000000"/>
  </w:font>
  <w:font w:name="Aptos Display">
    <w:altName w:val="C059"/>
    <w:panose1 w:val="00000000000000000000"/>
    <w:charset w:val="00"/>
    <w:family w:val="swiss"/>
    <w:pitch w:val="default"/>
    <w:sig w:usb0="00000000" w:usb1="00000000" w:usb2="00000000" w:usb3="00000000" w:csb0="0000019F" w:csb1="00000000"/>
  </w:font>
  <w:font w:name="C059">
    <w:panose1 w:val="00000500000000000000"/>
    <w:charset w:val="00"/>
    <w:family w:val="auto"/>
    <w:pitch w:val="default"/>
    <w:sig w:usb0="00000287" w:usb1="00000800" w:usb2="00000000" w:usb3="00000000" w:csb0="6000009F" w:csb1="00000000"/>
  </w:font>
  <w:font w:name="等线 Light">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Aptos">
    <w:altName w:val="C059"/>
    <w:panose1 w:val="00000000000000000000"/>
    <w:charset w:val="00"/>
    <w:family w:val="swiss"/>
    <w:pitch w:val="default"/>
    <w:sig w:usb0="00000000" w:usb1="00000000" w:usb2="00000000" w:usb3="00000000" w:csb0="0000019F" w:csb1="00000000"/>
  </w:font>
  <w:font w:name="等线">
    <w:altName w:val="汉仪中等线KW"/>
    <w:panose1 w:val="00000000000000000000"/>
    <w:charset w:val="00"/>
    <w:family w:val="auto"/>
    <w:pitch w:val="default"/>
    <w:sig w:usb0="00000000" w:usb1="00000000" w:usb2="00000000" w:usb3="00000000" w:csb0="00000000" w:csb1="00000000"/>
  </w:font>
  <w:font w:name="Courier New">
    <w:panose1 w:val="02070309020205020404"/>
    <w:charset w:val="00"/>
    <w:family w:val="modern"/>
    <w:pitch w:val="default"/>
    <w:sig w:usb0="E0002AFF" w:usb1="C0007843" w:usb2="00000009" w:usb3="00000000" w:csb0="400001FF" w:csb1="FFFF0000"/>
  </w:font>
  <w:font w:name="Cambria Math">
    <w:altName w:val="Kingsoft Math"/>
    <w:panose1 w:val="02040503050406030204"/>
    <w:charset w:val="00"/>
    <w:family w:val="roman"/>
    <w:pitch w:val="default"/>
    <w:sig w:usb0="00000000" w:usb1="00000000" w:usb2="02000000" w:usb3="00000000" w:csb0="0000019F" w:csb1="00000000"/>
  </w:font>
  <w:font w:name="Kingsoft Math">
    <w:panose1 w:val="02040503050406030204"/>
    <w:charset w:val="00"/>
    <w:family w:val="auto"/>
    <w:pitch w:val="default"/>
    <w:sig w:usb0="00000081" w:usb1="02000068" w:usb2="02000000" w:usb3="00000000" w:csb0="00000001" w:csb1="00000000"/>
  </w:font>
  <w:font w:name="DejaVu Serif">
    <w:panose1 w:val="02060603050605020204"/>
    <w:charset w:val="00"/>
    <w:family w:val="auto"/>
    <w:pitch w:val="default"/>
    <w:sig w:usb0="E50006FF" w:usb1="5200F9FB" w:usb2="0A040020" w:usb3="00000000" w:csb0="6000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2CB487">
    <w:pPr>
      <w:jc w:val="center"/>
    </w:pPr>
    <w:r>
      <w:rPr>
        <w:color w:val="888888"/>
        <w:sz w:val="16"/>
        <w:szCs w:val="16"/>
      </w:rPr>
      <w:t xml:space="preserve">N1258521  |  Aegis: Real-Time Credit Card Fraud Detection  |  </w:t>
    </w:r>
    <w:r>
      <w:rPr>
        <w:color w:val="888888"/>
        <w:sz w:val="16"/>
        <w:szCs w:val="16"/>
      </w:rPr>
      <w:fldChar w:fldCharType="begin"/>
    </w:r>
    <w:r>
      <w:rPr>
        <w:color w:val="888888"/>
        <w:sz w:val="16"/>
        <w:szCs w:val="16"/>
      </w:rPr>
      <w:instrText xml:space="preserve">PAGE</w:instrText>
    </w:r>
    <w:r>
      <w:rPr>
        <w:color w:val="888888"/>
        <w:sz w:val="16"/>
        <w:szCs w:val="16"/>
      </w:rPr>
      <w:fldChar w:fldCharType="separate"/>
    </w:r>
    <w:r>
      <w:rPr>
        <w:color w:val="888888"/>
        <w:sz w:val="16"/>
        <w:szCs w:val="16"/>
      </w:rPr>
      <w:t>1</w:t>
    </w:r>
    <w:r>
      <w:rPr>
        <w:color w:val="888888"/>
        <w:sz w:val="16"/>
        <w:szCs w:val="16"/>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382436C"/>
    <w:multiLevelType w:val="multilevel"/>
    <w:tmpl w:val="6382436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09BB"/>
    <w:rsid w:val="000367ED"/>
    <w:rsid w:val="0008208E"/>
    <w:rsid w:val="000909BB"/>
    <w:rsid w:val="000A2D31"/>
    <w:rsid w:val="000C4F90"/>
    <w:rsid w:val="000F646C"/>
    <w:rsid w:val="00117874"/>
    <w:rsid w:val="0024334F"/>
    <w:rsid w:val="00256C74"/>
    <w:rsid w:val="002841F3"/>
    <w:rsid w:val="00286748"/>
    <w:rsid w:val="00312EF2"/>
    <w:rsid w:val="00397E30"/>
    <w:rsid w:val="003E3CB9"/>
    <w:rsid w:val="004A3BB8"/>
    <w:rsid w:val="004B61DD"/>
    <w:rsid w:val="00540BED"/>
    <w:rsid w:val="005F4E5A"/>
    <w:rsid w:val="00754CD6"/>
    <w:rsid w:val="008309C6"/>
    <w:rsid w:val="00834913"/>
    <w:rsid w:val="008A65D5"/>
    <w:rsid w:val="008A6C62"/>
    <w:rsid w:val="008D3B7E"/>
    <w:rsid w:val="008D5BA8"/>
    <w:rsid w:val="008E206D"/>
    <w:rsid w:val="00952734"/>
    <w:rsid w:val="0095579F"/>
    <w:rsid w:val="00964A00"/>
    <w:rsid w:val="00996133"/>
    <w:rsid w:val="00A00031"/>
    <w:rsid w:val="00A44306"/>
    <w:rsid w:val="00A520A3"/>
    <w:rsid w:val="00A620A3"/>
    <w:rsid w:val="00A81B1C"/>
    <w:rsid w:val="00A83E7A"/>
    <w:rsid w:val="00B25C2D"/>
    <w:rsid w:val="00B441B2"/>
    <w:rsid w:val="00BE2F4D"/>
    <w:rsid w:val="00BF4D87"/>
    <w:rsid w:val="00C02F15"/>
    <w:rsid w:val="00C0397E"/>
    <w:rsid w:val="00C74EB2"/>
    <w:rsid w:val="00CA1489"/>
    <w:rsid w:val="00D00BE8"/>
    <w:rsid w:val="00D22C73"/>
    <w:rsid w:val="00D7007F"/>
    <w:rsid w:val="00DB2953"/>
    <w:rsid w:val="00DC1E76"/>
    <w:rsid w:val="00DD08F6"/>
    <w:rsid w:val="00DE6197"/>
    <w:rsid w:val="00DF5B04"/>
    <w:rsid w:val="00F11ADC"/>
    <w:rsid w:val="00F163C8"/>
    <w:rsid w:val="00F55E3D"/>
    <w:rsid w:val="00FE2AED"/>
    <w:rsid w:val="00FF02F9"/>
    <w:rsid w:val="5FFC972A"/>
    <w:rsid w:val="AFF3EF5B"/>
  </w:rsids>
  <m:mathPr>
    <m:mathFont m:val="Cambria Math"/>
    <m:brkBin m:val="before"/>
    <m:brkBinSub m:val="--"/>
    <m:smallFrac m:val="0"/>
    <m:dispDef/>
    <m:lMargin m:val="0"/>
    <m:rMargin m:val="0"/>
    <m:defJc m:val="centerGroup"/>
    <m:wrapIndent m:val="1440"/>
    <m:intLim m:val="subSup"/>
    <m:naryLim m:val="undOvr"/>
  </m:mathPr>
  <w:doNotAutoCompressPictures/>
  <w:themeFontLang w:val="en-GB"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Verdana" w:hAnsi="Verdana" w:eastAsia="Verdana" w:cs="Verdana"/>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semiHidden="0" w:name="toc 4"/>
    <w:lsdException w:uiPriority="39" w:semiHidden="0" w:name="toc 5"/>
    <w:lsdException w:uiPriority="39" w:semiHidden="0" w:name="toc 6"/>
    <w:lsdException w:uiPriority="39" w:semiHidden="0" w:name="toc 7"/>
    <w:lsdException w:uiPriority="39" w:semiHidden="0" w:name="toc 8"/>
    <w:lsdException w:uiPriority="39" w:semiHidden="0"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Verdana" w:hAnsi="Verdana" w:eastAsia="Verdana" w:cs="Verdana"/>
      <w:lang w:val="en-GB" w:eastAsia="en-GB" w:bidi="ar-SA"/>
    </w:rPr>
  </w:style>
  <w:style w:type="paragraph" w:styleId="2">
    <w:name w:val="heading 1"/>
    <w:qFormat/>
    <w:uiPriority w:val="9"/>
    <w:pPr>
      <w:spacing w:before="280" w:after="140"/>
      <w:outlineLvl w:val="0"/>
    </w:pPr>
    <w:rPr>
      <w:rFonts w:ascii="Verdana" w:hAnsi="Verdana" w:eastAsia="Verdana" w:cs="Verdana"/>
      <w:b/>
      <w:bCs/>
      <w:sz w:val="28"/>
      <w:szCs w:val="28"/>
      <w:lang w:val="en-GB" w:eastAsia="en-GB" w:bidi="ar-SA"/>
    </w:rPr>
  </w:style>
  <w:style w:type="paragraph" w:styleId="3">
    <w:name w:val="heading 2"/>
    <w:unhideWhenUsed/>
    <w:qFormat/>
    <w:uiPriority w:val="9"/>
    <w:pPr>
      <w:spacing w:before="200" w:after="100"/>
      <w:outlineLvl w:val="1"/>
    </w:pPr>
    <w:rPr>
      <w:rFonts w:ascii="Verdana" w:hAnsi="Verdana" w:eastAsia="Verdana" w:cs="Verdana"/>
      <w:b/>
      <w:bCs/>
      <w:sz w:val="26"/>
      <w:szCs w:val="26"/>
      <w:lang w:val="en-GB" w:eastAsia="en-GB" w:bidi="ar-SA"/>
    </w:rPr>
  </w:style>
  <w:style w:type="paragraph" w:styleId="4">
    <w:name w:val="heading 3"/>
    <w:unhideWhenUsed/>
    <w:qFormat/>
    <w:uiPriority w:val="9"/>
    <w:pPr>
      <w:spacing w:before="160" w:after="80"/>
      <w:outlineLvl w:val="2"/>
    </w:pPr>
    <w:rPr>
      <w:rFonts w:ascii="Verdana" w:hAnsi="Verdana" w:eastAsia="Verdana" w:cs="Verdana"/>
      <w:b/>
      <w:bCs/>
      <w:sz w:val="24"/>
      <w:szCs w:val="24"/>
      <w:lang w:val="en-GB" w:eastAsia="en-GB" w:bidi="ar-SA"/>
    </w:rPr>
  </w:style>
  <w:style w:type="paragraph" w:styleId="5">
    <w:name w:val="heading 4"/>
    <w:unhideWhenUsed/>
    <w:qFormat/>
    <w:uiPriority w:val="9"/>
    <w:pPr>
      <w:outlineLvl w:val="3"/>
    </w:pPr>
    <w:rPr>
      <w:rFonts w:ascii="Verdana" w:hAnsi="Verdana" w:eastAsia="Verdana" w:cs="Verdana"/>
      <w:i/>
      <w:iCs/>
      <w:color w:val="2E74B5"/>
      <w:lang w:val="en-GB" w:eastAsia="en-GB" w:bidi="ar-SA"/>
    </w:rPr>
  </w:style>
  <w:style w:type="paragraph" w:styleId="6">
    <w:name w:val="heading 5"/>
    <w:semiHidden/>
    <w:unhideWhenUsed/>
    <w:qFormat/>
    <w:uiPriority w:val="9"/>
    <w:pPr>
      <w:outlineLvl w:val="4"/>
    </w:pPr>
    <w:rPr>
      <w:rFonts w:ascii="Verdana" w:hAnsi="Verdana" w:eastAsia="Verdana" w:cs="Verdana"/>
      <w:color w:val="2E74B5"/>
      <w:lang w:val="en-GB" w:eastAsia="en-GB" w:bidi="ar-SA"/>
    </w:rPr>
  </w:style>
  <w:style w:type="paragraph" w:styleId="7">
    <w:name w:val="heading 6"/>
    <w:semiHidden/>
    <w:unhideWhenUsed/>
    <w:qFormat/>
    <w:uiPriority w:val="9"/>
    <w:pPr>
      <w:outlineLvl w:val="5"/>
    </w:pPr>
    <w:rPr>
      <w:rFonts w:ascii="Verdana" w:hAnsi="Verdana" w:eastAsia="Verdana" w:cs="Verdana"/>
      <w:color w:val="1F4D78"/>
      <w:lang w:val="en-GB" w:eastAsia="en-GB" w:bidi="ar-SA"/>
    </w:rPr>
  </w:style>
  <w:style w:type="character" w:default="1" w:styleId="25">
    <w:name w:val="Default Paragraph Font"/>
    <w:semiHidden/>
    <w:unhideWhenUsed/>
    <w:uiPriority w:val="1"/>
  </w:style>
  <w:style w:type="table" w:default="1" w:styleId="24">
    <w:name w:val="Normal Table"/>
    <w:semiHidden/>
    <w:unhideWhenUsed/>
    <w:uiPriority w:val="99"/>
    <w:tblPr>
      <w:tblCellMar>
        <w:top w:w="0" w:type="dxa"/>
        <w:left w:w="108" w:type="dxa"/>
        <w:bottom w:w="0" w:type="dxa"/>
        <w:right w:w="108" w:type="dxa"/>
      </w:tblCellMar>
    </w:tblPr>
  </w:style>
  <w:style w:type="paragraph" w:styleId="8">
    <w:name w:val="toc 7"/>
    <w:basedOn w:val="1"/>
    <w:next w:val="1"/>
    <w:autoRedefine/>
    <w:unhideWhenUsed/>
    <w:uiPriority w:val="39"/>
    <w:pPr>
      <w:spacing w:after="100" w:line="278" w:lineRule="auto"/>
      <w:ind w:left="1440"/>
    </w:pPr>
    <w:rPr>
      <w:rFonts w:asciiTheme="minorHAnsi" w:hAnsiTheme="minorHAnsi" w:eastAsiaTheme="minorEastAsia" w:cstheme="minorBidi"/>
      <w:kern w:val="2"/>
      <w:sz w:val="24"/>
      <w:szCs w:val="24"/>
      <w14:ligatures w14:val="standardContextual"/>
    </w:rPr>
  </w:style>
  <w:style w:type="paragraph" w:styleId="9">
    <w:name w:val="toc 5"/>
    <w:basedOn w:val="1"/>
    <w:next w:val="1"/>
    <w:autoRedefine/>
    <w:unhideWhenUsed/>
    <w:uiPriority w:val="39"/>
    <w:pPr>
      <w:spacing w:after="100" w:line="278" w:lineRule="auto"/>
      <w:ind w:left="960"/>
    </w:pPr>
    <w:rPr>
      <w:rFonts w:asciiTheme="minorHAnsi" w:hAnsiTheme="minorHAnsi" w:eastAsiaTheme="minorEastAsia" w:cstheme="minorBidi"/>
      <w:kern w:val="2"/>
      <w:sz w:val="24"/>
      <w:szCs w:val="24"/>
      <w14:ligatures w14:val="standardContextual"/>
    </w:rPr>
  </w:style>
  <w:style w:type="paragraph" w:styleId="10">
    <w:name w:val="toc 3"/>
    <w:basedOn w:val="1"/>
    <w:next w:val="1"/>
    <w:autoRedefine/>
    <w:unhideWhenUsed/>
    <w:uiPriority w:val="39"/>
    <w:pPr>
      <w:spacing w:after="100"/>
      <w:ind w:left="400"/>
    </w:pPr>
  </w:style>
  <w:style w:type="paragraph" w:styleId="11">
    <w:name w:val="toc 8"/>
    <w:basedOn w:val="1"/>
    <w:next w:val="1"/>
    <w:autoRedefine/>
    <w:unhideWhenUsed/>
    <w:uiPriority w:val="39"/>
    <w:pPr>
      <w:spacing w:after="100" w:line="278" w:lineRule="auto"/>
      <w:ind w:left="1680"/>
    </w:pPr>
    <w:rPr>
      <w:rFonts w:asciiTheme="minorHAnsi" w:hAnsiTheme="minorHAnsi" w:eastAsiaTheme="minorEastAsia" w:cstheme="minorBidi"/>
      <w:kern w:val="2"/>
      <w:sz w:val="24"/>
      <w:szCs w:val="24"/>
      <w14:ligatures w14:val="standardContextual"/>
    </w:rPr>
  </w:style>
  <w:style w:type="paragraph" w:styleId="12">
    <w:name w:val="endnote text"/>
    <w:link w:val="32"/>
    <w:semiHidden/>
    <w:unhideWhenUsed/>
    <w:uiPriority w:val="99"/>
    <w:rPr>
      <w:rFonts w:ascii="Verdana" w:hAnsi="Verdana" w:eastAsia="Verdana" w:cs="Verdana"/>
      <w:lang w:val="en-GB" w:eastAsia="en-GB" w:bidi="ar-SA"/>
    </w:rPr>
  </w:style>
  <w:style w:type="paragraph" w:styleId="13">
    <w:name w:val="footer"/>
    <w:basedOn w:val="1"/>
    <w:link w:val="34"/>
    <w:unhideWhenUsed/>
    <w:uiPriority w:val="99"/>
    <w:pPr>
      <w:tabs>
        <w:tab w:val="center" w:pos="4513"/>
        <w:tab w:val="right" w:pos="9026"/>
      </w:tabs>
    </w:pPr>
  </w:style>
  <w:style w:type="paragraph" w:styleId="14">
    <w:name w:val="header"/>
    <w:basedOn w:val="1"/>
    <w:link w:val="33"/>
    <w:unhideWhenUsed/>
    <w:uiPriority w:val="99"/>
    <w:pPr>
      <w:tabs>
        <w:tab w:val="center" w:pos="4513"/>
        <w:tab w:val="right" w:pos="9026"/>
      </w:tabs>
    </w:pPr>
  </w:style>
  <w:style w:type="paragraph" w:styleId="15">
    <w:name w:val="toc 1"/>
    <w:basedOn w:val="1"/>
    <w:next w:val="1"/>
    <w:autoRedefine/>
    <w:unhideWhenUsed/>
    <w:uiPriority w:val="39"/>
    <w:pPr>
      <w:spacing w:after="100"/>
    </w:pPr>
  </w:style>
  <w:style w:type="paragraph" w:styleId="16">
    <w:name w:val="toc 4"/>
    <w:basedOn w:val="1"/>
    <w:next w:val="1"/>
    <w:autoRedefine/>
    <w:unhideWhenUsed/>
    <w:uiPriority w:val="39"/>
    <w:pPr>
      <w:spacing w:after="100" w:line="278" w:lineRule="auto"/>
      <w:ind w:left="720"/>
    </w:pPr>
    <w:rPr>
      <w:rFonts w:asciiTheme="minorHAnsi" w:hAnsiTheme="minorHAnsi" w:eastAsiaTheme="minorEastAsia" w:cstheme="minorBidi"/>
      <w:kern w:val="2"/>
      <w:sz w:val="24"/>
      <w:szCs w:val="24"/>
      <w14:ligatures w14:val="standardContextual"/>
    </w:rPr>
  </w:style>
  <w:style w:type="paragraph" w:styleId="17">
    <w:name w:val="Subtitle"/>
    <w:basedOn w:val="1"/>
    <w:next w:val="1"/>
    <w:link w:val="36"/>
    <w:qFormat/>
    <w:uiPriority w:val="11"/>
    <w:pPr>
      <w:spacing w:after="160"/>
    </w:pPr>
    <w:rPr>
      <w:rFonts w:asciiTheme="minorHAnsi" w:hAnsiTheme="minorHAnsi" w:eastAsiaTheme="minorEastAsia" w:cstheme="minorBidi"/>
      <w:color w:val="595959" w:themeColor="text1" w:themeTint="A6"/>
      <w:spacing w:val="15"/>
      <w:sz w:val="22"/>
      <w:szCs w:val="22"/>
      <w14:textFill>
        <w14:solidFill>
          <w14:schemeClr w14:val="tx1">
            <w14:lumMod w14:val="65000"/>
            <w14:lumOff w14:val="35000"/>
          </w14:schemeClr>
        </w14:solidFill>
      </w14:textFill>
    </w:rPr>
  </w:style>
  <w:style w:type="paragraph" w:styleId="18">
    <w:name w:val="footnote text"/>
    <w:link w:val="31"/>
    <w:semiHidden/>
    <w:unhideWhenUsed/>
    <w:uiPriority w:val="99"/>
    <w:rPr>
      <w:rFonts w:ascii="Verdana" w:hAnsi="Verdana" w:eastAsia="Verdana" w:cs="Verdana"/>
      <w:lang w:val="en-GB" w:eastAsia="en-GB" w:bidi="ar-SA"/>
    </w:rPr>
  </w:style>
  <w:style w:type="paragraph" w:styleId="19">
    <w:name w:val="toc 6"/>
    <w:basedOn w:val="1"/>
    <w:next w:val="1"/>
    <w:autoRedefine/>
    <w:unhideWhenUsed/>
    <w:uiPriority w:val="39"/>
    <w:pPr>
      <w:spacing w:after="100" w:line="278" w:lineRule="auto"/>
      <w:ind w:left="1200"/>
    </w:pPr>
    <w:rPr>
      <w:rFonts w:asciiTheme="minorHAnsi" w:hAnsiTheme="minorHAnsi" w:eastAsiaTheme="minorEastAsia" w:cstheme="minorBidi"/>
      <w:kern w:val="2"/>
      <w:sz w:val="24"/>
      <w:szCs w:val="24"/>
      <w14:ligatures w14:val="standardContextual"/>
    </w:rPr>
  </w:style>
  <w:style w:type="paragraph" w:styleId="20">
    <w:name w:val="toc 2"/>
    <w:basedOn w:val="1"/>
    <w:next w:val="1"/>
    <w:autoRedefine/>
    <w:unhideWhenUsed/>
    <w:uiPriority w:val="39"/>
    <w:pPr>
      <w:spacing w:after="100"/>
      <w:ind w:left="200"/>
    </w:pPr>
  </w:style>
  <w:style w:type="paragraph" w:styleId="21">
    <w:name w:val="toc 9"/>
    <w:basedOn w:val="1"/>
    <w:next w:val="1"/>
    <w:autoRedefine/>
    <w:unhideWhenUsed/>
    <w:uiPriority w:val="39"/>
    <w:pPr>
      <w:spacing w:after="100" w:line="278" w:lineRule="auto"/>
      <w:ind w:left="1920"/>
    </w:pPr>
    <w:rPr>
      <w:rFonts w:asciiTheme="minorHAnsi" w:hAnsiTheme="minorHAnsi" w:eastAsiaTheme="minorEastAsia" w:cstheme="minorBidi"/>
      <w:kern w:val="2"/>
      <w:sz w:val="24"/>
      <w:szCs w:val="24"/>
      <w14:ligatures w14:val="standardContextual"/>
    </w:rPr>
  </w:style>
  <w:style w:type="paragraph" w:styleId="22">
    <w:name w:val="Normal (Web)"/>
    <w:basedOn w:val="1"/>
    <w:semiHidden/>
    <w:unhideWhenUsed/>
    <w:uiPriority w:val="99"/>
    <w:rPr>
      <w:rFonts w:ascii="Times New Roman" w:hAnsi="Times New Roman" w:cs="Times New Roman"/>
      <w:sz w:val="24"/>
      <w:szCs w:val="24"/>
    </w:rPr>
  </w:style>
  <w:style w:type="paragraph" w:styleId="23">
    <w:name w:val="Title"/>
    <w:qFormat/>
    <w:uiPriority w:val="10"/>
    <w:rPr>
      <w:rFonts w:ascii="Verdana" w:hAnsi="Verdana" w:eastAsia="Verdana" w:cs="Verdana"/>
      <w:sz w:val="56"/>
      <w:szCs w:val="56"/>
      <w:lang w:val="en-GB" w:eastAsia="en-GB" w:bidi="ar-SA"/>
    </w:rPr>
  </w:style>
  <w:style w:type="character" w:styleId="26">
    <w:name w:val="endnote reference"/>
    <w:semiHidden/>
    <w:unhideWhenUsed/>
    <w:uiPriority w:val="99"/>
    <w:rPr>
      <w:vertAlign w:val="superscript"/>
    </w:rPr>
  </w:style>
  <w:style w:type="character" w:styleId="27">
    <w:name w:val="Hyperlink"/>
    <w:unhideWhenUsed/>
    <w:uiPriority w:val="99"/>
    <w:rPr>
      <w:color w:val="0563C1"/>
      <w:u w:val="single"/>
    </w:rPr>
  </w:style>
  <w:style w:type="character" w:styleId="28">
    <w:name w:val="footnote reference"/>
    <w:semiHidden/>
    <w:unhideWhenUsed/>
    <w:uiPriority w:val="99"/>
    <w:rPr>
      <w:vertAlign w:val="superscript"/>
    </w:rPr>
  </w:style>
  <w:style w:type="paragraph" w:customStyle="1" w:styleId="29">
    <w:name w:val="Strong1"/>
    <w:qFormat/>
    <w:uiPriority w:val="0"/>
    <w:rPr>
      <w:rFonts w:ascii="Verdana" w:hAnsi="Verdana" w:eastAsia="Verdana" w:cs="Verdana"/>
      <w:b/>
      <w:bCs/>
      <w:lang w:val="en-GB" w:eastAsia="en-GB" w:bidi="ar-SA"/>
    </w:rPr>
  </w:style>
  <w:style w:type="paragraph" w:styleId="30">
    <w:name w:val="List Paragraph"/>
    <w:qFormat/>
    <w:uiPriority w:val="0"/>
    <w:rPr>
      <w:rFonts w:ascii="Verdana" w:hAnsi="Verdana" w:eastAsia="Verdana" w:cs="Verdana"/>
      <w:lang w:val="en-GB" w:eastAsia="en-GB" w:bidi="ar-SA"/>
    </w:rPr>
  </w:style>
  <w:style w:type="character" w:customStyle="1" w:styleId="31">
    <w:name w:val="Footnote Text Char"/>
    <w:link w:val="18"/>
    <w:semiHidden/>
    <w:unhideWhenUsed/>
    <w:uiPriority w:val="99"/>
    <w:rPr>
      <w:sz w:val="20"/>
      <w:szCs w:val="20"/>
    </w:rPr>
  </w:style>
  <w:style w:type="character" w:customStyle="1" w:styleId="32">
    <w:name w:val="Endnote Text Char"/>
    <w:link w:val="12"/>
    <w:semiHidden/>
    <w:unhideWhenUsed/>
    <w:uiPriority w:val="99"/>
    <w:rPr>
      <w:sz w:val="20"/>
      <w:szCs w:val="20"/>
    </w:rPr>
  </w:style>
  <w:style w:type="character" w:customStyle="1" w:styleId="33">
    <w:name w:val="Header Char"/>
    <w:basedOn w:val="25"/>
    <w:link w:val="14"/>
    <w:uiPriority w:val="99"/>
  </w:style>
  <w:style w:type="character" w:customStyle="1" w:styleId="34">
    <w:name w:val="Footer Char"/>
    <w:basedOn w:val="25"/>
    <w:link w:val="13"/>
    <w:uiPriority w:val="99"/>
  </w:style>
  <w:style w:type="paragraph" w:customStyle="1" w:styleId="35">
    <w:name w:val="TOC Heading"/>
    <w:basedOn w:val="2"/>
    <w:next w:val="1"/>
    <w:unhideWhenUsed/>
    <w:qFormat/>
    <w:uiPriority w:val="39"/>
    <w:pPr>
      <w:keepNext/>
      <w:keepLines/>
      <w:spacing w:before="240" w:after="0" w:line="259" w:lineRule="auto"/>
      <w:outlineLvl w:val="9"/>
    </w:pPr>
    <w:rPr>
      <w:rFonts w:asciiTheme="majorHAnsi" w:hAnsiTheme="majorHAnsi" w:eastAsiaTheme="majorEastAsia" w:cstheme="majorBidi"/>
      <w:b w:val="0"/>
      <w:bCs w:val="0"/>
      <w:color w:val="104862" w:themeColor="accent1" w:themeShade="BF"/>
      <w:sz w:val="32"/>
      <w:szCs w:val="32"/>
      <w:lang w:val="en-US" w:eastAsia="en-US"/>
    </w:rPr>
  </w:style>
  <w:style w:type="character" w:customStyle="1" w:styleId="36">
    <w:name w:val="Subtitle Char"/>
    <w:basedOn w:val="25"/>
    <w:link w:val="17"/>
    <w:uiPriority w:val="11"/>
    <w:rPr>
      <w:rFonts w:asciiTheme="minorHAnsi" w:hAnsiTheme="minorHAnsi" w:eastAsiaTheme="minorEastAsia" w:cstheme="minorBidi"/>
      <w:color w:val="595959" w:themeColor="text1" w:themeTint="A6"/>
      <w:spacing w:val="15"/>
      <w:sz w:val="22"/>
      <w:szCs w:val="22"/>
      <w14:textFill>
        <w14:solidFill>
          <w14:schemeClr w14:val="tx1">
            <w14:lumMod w14:val="65000"/>
            <w14:lumOff w14:val="35000"/>
          </w14:schemeClr>
        </w14:solidFill>
      </w14:textFill>
    </w:rPr>
  </w:style>
  <w:style w:type="character" w:customStyle="1" w:styleId="37">
    <w:name w:val="Unresolved Mention"/>
    <w:basedOn w:val="25"/>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B254A6-EAF2-44C3-8E88-F601A72FF155}">
  <ds:schemaRefs/>
</ds:datastoreItem>
</file>

<file path=docProps/app.xml><?xml version="1.0" encoding="utf-8"?>
<Properties xmlns="http://schemas.openxmlformats.org/officeDocument/2006/extended-properties" xmlns:vt="http://schemas.openxmlformats.org/officeDocument/2006/docPropsVTypes">
  <Pages>66</Pages>
  <Words>15154</Words>
  <Characters>91985</Characters>
  <Lines>1877</Lines>
  <Paragraphs>824</Paragraphs>
  <TotalTime>269</TotalTime>
  <ScaleCrop>false</ScaleCrop>
  <LinksUpToDate>false</LinksUpToDate>
  <CharactersWithSpaces>106315</CharactersWithSpaces>
  <Application>WPS Office WWO_wpscloud_20260423115602-febe6525c7</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2026-05-01T21:15:00Z</dcterms:created>
  <dc:creator>Un-named</dc:creator>
  <cp:lastModifiedBy>Faisal Lawan</cp:lastModifiedBy>
  <dcterms:modified xsi:type="dcterms:W3CDTF">2026-05-12T14:16:49Z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26c3a270-1608-4e31-add5-bf867d42558b</vt:lpwstr>
  </property>
  <property fmtid="{D5CDD505-2E9C-101B-9397-08002B2CF9AE}" pid="3" name="KSOProductBuildVer">
    <vt:lpwstr>2052-12.9.0.26352</vt:lpwstr>
  </property>
  <property fmtid="{D5CDD505-2E9C-101B-9397-08002B2CF9AE}" pid="4" name="ICV">
    <vt:lpwstr>FE885F14E9913BBFD1C5026A1A8A0D4A_43</vt:lpwstr>
  </property>
</Properties>
</file>