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黑体" w:hAnsi="黑体" w:eastAsia="黑体" w:cs="黑体"/>
          <w:b/>
          <w:color w:val="1A2233"/>
          <w:sz w:val="44"/>
        </w:rPr>
        <w:t>长安智策——西安城市决策空间智能平台 商业计划书</w:t>
        <w:br/>
        <w:br/>
        <w:br/>
        <w:br/>
        <w:br/>
        <w:t>《长安智策——西安城市决策空间智能平台》商业计划书</w:t>
      </w:r>
    </w:p>
    <w:p>
      <w:pPr>
        <w:spacing w:after="80"/>
      </w:pPr>
      <w:r>
        <w:rPr>
          <w:rFonts w:ascii="黑体" w:hAnsi="黑体" w:eastAsia="黑体" w:cs="黑体"/>
          <w:b w:val="0"/>
          <w:sz w:val="21"/>
        </w:rPr>
        <w:t>完整版 · 锚定西安本地市场 · 匹配已落地原型 · 可量化 · 可落地 · 可复制</w:t>
      </w:r>
    </w:p>
    <w:p>
      <w:r>
        <w:rPr>
          <w:rFonts w:ascii="黑体" w:hAnsi="黑体" w:eastAsia="黑体" w:cs="黑体"/>
          <w:b/>
          <w:color w:val="0E6EF6"/>
          <w:sz w:val="32"/>
        </w:rPr>
        <w:t>本文档基于已开发完成的「长安智策」99 项高保真可交互原型编写，所有场景、数据口径均锚定西安市公开政务数据与空间图层。市场测算、财务预测等数字为基于公开数据的合理估算，已逐处标注口径，不构成收益承诺。</w:t>
        <w:br/>
        <w:br/>
        <w:br/>
        <w:t>第一章 执行摘要</w:t>
      </w:r>
    </w:p>
    <w:p>
      <w:r>
        <w:rPr>
          <w:rFonts w:ascii="黑体" w:hAnsi="黑体" w:eastAsia="黑体" w:cs="黑体"/>
          <w:b/>
          <w:color w:val="0891B2"/>
          <w:sz w:val="26"/>
        </w:rPr>
        <w:t>1.1 项目核心定位</w:t>
      </w:r>
    </w:p>
    <w:p>
      <w:pPr>
        <w:spacing w:after="80"/>
      </w:pPr>
      <w:r>
        <w:rPr>
          <w:rFonts w:ascii="黑体" w:hAnsi="黑体" w:eastAsia="黑体" w:cs="黑体"/>
          <w:b w:val="0"/>
          <w:sz w:val="21"/>
        </w:rPr>
        <w:t>「长安智策」是国内首个基于城市公开数据的 AI + Geo 空间智能统一入口，用自然语言降低空间决策门槛，一站式覆盖市民、游客、企业、小微商户、政府五大主体的空间决策需求。用户无需掌握任何 GIS 专业能力，用一句日常问话即可获得地图、图表、清单、报告多模态结果。</w:t>
      </w:r>
    </w:p>
    <w:p>
      <w:r>
        <w:rPr>
          <w:rFonts w:ascii="黑体" w:hAnsi="黑体" w:eastAsia="黑体" w:cs="黑体"/>
          <w:b/>
          <w:color w:val="0891B2"/>
          <w:sz w:val="26"/>
        </w:rPr>
        <w:t>1.2 当前进展</w:t>
      </w:r>
    </w:p>
    <w:p>
      <w:pPr>
        <w:spacing w:after="80"/>
      </w:pPr>
      <w:r>
        <w:rPr>
          <w:rFonts w:ascii="黑体" w:hAnsi="黑体" w:eastAsia="黑体" w:cs="黑体"/>
          <w:b w:val="0"/>
          <w:sz w:val="21"/>
        </w:rPr>
        <w:t>99 项功能高保真可交互原型已开发完成，技术链路全验证，全部基于西安公开政务数据与空间图层构建。原型覆盖五大主体、六大展示模式（空间地理、办事流程、政策清单、分析评估、仿真推演、台账统计），PC 网页端 + App 移动端双端形态齐备。</w:t>
      </w:r>
    </w:p>
    <w:p>
      <w:r>
        <w:rPr>
          <w:rFonts w:ascii="黑体" w:hAnsi="黑体" w:eastAsia="黑体" w:cs="黑体"/>
          <w:b/>
          <w:color w:val="0891B2"/>
          <w:sz w:val="26"/>
        </w:rPr>
        <w:t>99项功能模块（已落地原型）</w:t>
        <w:br/>
        <w:t xml:space="preserve">  5大服务主体全场景覆盖</w:t>
        <w:br/>
        <w:t xml:space="preserve">  6种展示模式（空间→台账）</w:t>
        <w:br/>
        <w:t xml:space="preserve">  2端形态（PC + App）</w:t>
        <w:br/>
        <w:br/>
        <w:br/>
        <w:t>1.3 核心价值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降低门槛：用自然语言替代专业 GIS 操作，空间决策从"专家工具"变成"人人可用"。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激活数据：让沉睡的城市公共数据从"可查"变为"可用服务"，释放其商业价值与社会价值。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统一入口：一次建设、五端复用，避免政府与企业重复建设信息化系统。</w:t>
      </w:r>
    </w:p>
    <w:p>
      <w:r>
        <w:rPr>
          <w:rFonts w:ascii="黑体" w:hAnsi="黑体" w:eastAsia="黑体" w:cs="黑体"/>
          <w:b/>
          <w:color w:val="0891B2"/>
          <w:sz w:val="26"/>
        </w:rPr>
        <w:t>1.4 商业模式</w:t>
      </w:r>
    </w:p>
    <w:p>
      <w:pPr>
        <w:spacing w:after="80"/>
      </w:pPr>
      <w:r>
        <w:rPr>
          <w:rFonts w:ascii="黑体" w:hAnsi="黑体" w:eastAsia="黑体" w:cs="黑体"/>
          <w:b w:val="0"/>
          <w:sz w:val="21"/>
        </w:rPr>
        <w:t>采用「公共基础服务免费获客 → 增值专业服务分层付费 → 政府项目定制交付」三层结构，兼顾公益属性与商业可持续。</w:t>
      </w:r>
    </w:p>
    <w:p>
      <w:r>
        <w:rPr>
          <w:rFonts w:ascii="黑体" w:hAnsi="黑体" w:eastAsia="黑体" w:cs="黑体"/>
          <w:b/>
          <w:color w:val="0891B2"/>
          <w:sz w:val="26"/>
        </w:rPr>
        <w:t>1.5 核心优势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全场景覆盖：五端 99 项细分场景，国内稀缺。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轻资产模式：全部基于公开数据，部署成本仅为传统城市大脑方案的 1/10。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本地化深耕：数据细、场景准、响应快。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可快速复制：通用开源技术栈 + 模块化场景，边际复制成本持续下降。</w:t>
      </w:r>
    </w:p>
    <w:p>
      <w:r>
        <w:rPr>
          <w:rFonts w:ascii="黑体" w:hAnsi="黑体" w:eastAsia="黑体" w:cs="黑体"/>
          <w:b/>
          <w:color w:val="0891B2"/>
          <w:sz w:val="26"/>
        </w:rPr>
        <w:t>1.6 发展目标</w:t>
      </w:r>
    </w:p>
    <w:p>
      <w:pPr>
        <w:spacing w:after="80"/>
      </w:pPr>
      <w:r>
        <w:rPr>
          <w:rFonts w:ascii="黑体" w:hAnsi="黑体" w:eastAsia="黑体" w:cs="黑体"/>
          <w:b w:val="0"/>
          <w:sz w:val="21"/>
        </w:rPr>
        <w:t>遵循「西安深耕验证 → 陕西复制 → 西北区域扩张」路径，打造公共数据运营的标杆样本，最终向中西部城市输出轻量化数字治理方案。</w:t>
      </w:r>
    </w:p>
    <w:p>
      <w:r>
        <w:rPr>
          <w:rFonts w:ascii="黑体" w:hAnsi="黑体" w:eastAsia="黑体" w:cs="黑体"/>
          <w:b/>
          <w:color w:val="0E6EF6"/>
          <w:sz w:val="32"/>
        </w:rPr>
        <w:t>第二章 项目背景与需求</w:t>
      </w:r>
    </w:p>
    <w:p>
      <w:r>
        <w:rPr>
          <w:rFonts w:ascii="黑体" w:hAnsi="黑体" w:eastAsia="黑体" w:cs="黑体"/>
          <w:b/>
          <w:color w:val="0891B2"/>
          <w:sz w:val="26"/>
        </w:rPr>
        <w:t>2.1 政策背景</w:t>
      </w:r>
    </w:p>
    <w:p>
      <w:r>
        <w:rPr>
          <w:rFonts w:ascii="黑体" w:hAnsi="黑体" w:eastAsia="黑体" w:cs="黑体"/>
          <w:b/>
          <w:sz w:val="23"/>
        </w:rPr>
        <w:t>2.1.1 国家级政策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数据要素市场化配置改革：国家明确提出政务数据开放共享、公共数据资产化的方向，为公共数据运营提供制度依据。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数字政府与智慧城市：以治理精细化、服务便捷化为导向，鼓励用数字技术提升城市治理能力。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人工智能与空间信息产业：推动 AI 与实体经济深度融合，支持空间地理信息产业发展。</w:t>
      </w:r>
    </w:p>
    <w:p>
      <w:r>
        <w:rPr>
          <w:rFonts w:ascii="黑体" w:hAnsi="黑体" w:eastAsia="黑体" w:cs="黑体"/>
          <w:b/>
          <w:sz w:val="23"/>
        </w:rPr>
        <w:t>2.1.2 陕西省及西安市地方政策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《西安市数字政府建设实施方案》《西安市"十四五"智慧城市建设规划》明确城市智能升级目标。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《西安市数据要素市场化配置改革实施方案》提出公共数据运营、数据价值释放要求。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西安市"北跨"发展、城市更新、基层治理精细化、文旅提质等专项工作带来直接业务需求。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优化营商环境、支持中小企业、便民服务升级等政策持续加码。</w:t>
      </w:r>
    </w:p>
    <w:p>
      <w:r>
        <w:rPr>
          <w:rFonts w:ascii="黑体" w:hAnsi="黑体" w:eastAsia="黑体" w:cs="黑体"/>
          <w:b/>
          <w:color w:val="0891B2"/>
          <w:sz w:val="26"/>
        </w:rPr>
        <w:t>2.2 业务需求（全主体真实痛点）</w:t>
      </w:r>
    </w:p>
    <w:p>
      <w:pPr>
        <w:spacing w:after="80"/>
      </w:pPr>
      <w:r>
        <w:rPr>
          <w:rFonts w:ascii="黑体" w:hAnsi="黑体" w:eastAsia="黑体" w:cs="黑体"/>
          <w:b w:val="0"/>
          <w:sz w:val="21"/>
        </w:rPr>
        <w:t>以下痛点全部锚定西安本地实际，是产品设计的直接依据。</w:t>
      </w:r>
    </w:p>
    <w:p>
      <w:r>
        <w:rPr>
          <w:rFonts w:ascii="黑体" w:hAnsi="黑体" w:eastAsia="黑体" w:cs="黑体"/>
          <w:b/>
          <w:sz w:val="23"/>
        </w:rPr>
        <w:t>2.2.1 政府治理端需求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基层治理：街道人少事多，沿街商铺、市政设施、流动摊贩巡检依赖人工，效率低、覆盖不全、台账更新慢。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决策支撑：内涝、客流、公共服务均等化等专项分析缺工具，数据分散，人工分析周期长、精度低。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系统建设：各部门系统割裂、重复建设，重管理轻服务，基层使用门槛高。</w:t>
      </w:r>
    </w:p>
    <w:p>
      <w:r>
        <w:rPr>
          <w:rFonts w:ascii="黑体" w:hAnsi="黑体" w:eastAsia="黑体" w:cs="黑体"/>
          <w:b/>
          <w:sz w:val="23"/>
        </w:rPr>
        <w:t>2.2.2 企业经营端需求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选址决策：工业/商业选址信息分散，国土规划、配套、政策、风险信息不对称，决策周期长、成本高。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政策获取：产业补贴、科创扶持、税费优惠政策分散，匹配难、遗漏多，申报门槛高。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经营分析：商圈、竞品、产业链对接依赖人工，空间维度分析能力弱。</w:t>
      </w:r>
    </w:p>
    <w:p>
      <w:r>
        <w:rPr>
          <w:rFonts w:ascii="黑体" w:hAnsi="黑体" w:eastAsia="黑体" w:cs="黑体"/>
          <w:b/>
          <w:sz w:val="23"/>
        </w:rPr>
        <w:t>2.2.3 小微商户需求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合规经营：门头、外摆、食品经营、消防等规则不透明，违规风险高，办事跑腿多。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政策获取：个体户税费减免、稳岗补贴、夜市入驻等政策信息不对称。</w:t>
      </w:r>
    </w:p>
    <w:p>
      <w:r>
        <w:rPr>
          <w:rFonts w:ascii="黑体" w:hAnsi="黑体" w:eastAsia="黑体" w:cs="黑体"/>
          <w:b/>
          <w:sz w:val="23"/>
        </w:rPr>
        <w:t>2.2.4 市民民生需求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生活决策：学区、养老、生活配套、置业等空间信息不对称，决策依赖经验和跑腿。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办事服务：政务办事流程不清晰，找不到对应网点，多跑腿、耗时长。</w:t>
      </w:r>
    </w:p>
    <w:p>
      <w:r>
        <w:rPr>
          <w:rFonts w:ascii="黑体" w:hAnsi="黑体" w:eastAsia="黑体" w:cs="黑体"/>
          <w:b/>
          <w:sz w:val="23"/>
        </w:rPr>
        <w:t>2.2.5 游客文旅需求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体验升级：游客服务粗放，小众景点、便民设施、最佳游览路线信息少。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拥堵：节假日景区客流集中，拥堵时长高，游览效率低、体验差。</w:t>
      </w:r>
    </w:p>
    <w:p>
      <w:r>
        <w:rPr>
          <w:rFonts w:ascii="黑体" w:hAnsi="黑体" w:eastAsia="黑体" w:cs="黑体"/>
          <w:b/>
          <w:color w:val="0E6EF6"/>
          <w:sz w:val="32"/>
        </w:rPr>
        <w:t>第三章 全场景应用方案</w:t>
      </w:r>
    </w:p>
    <w:p>
      <w:pPr>
        <w:spacing w:after="80"/>
      </w:pPr>
      <w:r>
        <w:rPr>
          <w:rFonts w:ascii="黑体" w:hAnsi="黑体" w:eastAsia="黑体" w:cs="黑体"/>
          <w:b w:val="0"/>
          <w:sz w:val="21"/>
        </w:rPr>
        <w:t>99 项功能按五大主体归为五类场景，以下列出代表性场景方案，完整清单见第十六章附录一。</w:t>
      </w:r>
    </w:p>
    <w:p>
      <w:r>
        <w:rPr>
          <w:rFonts w:ascii="黑体" w:hAnsi="黑体" w:eastAsia="黑体" w:cs="黑体"/>
          <w:b/>
          <w:color w:val="0891B2"/>
          <w:sz w:val="26"/>
        </w:rPr>
        <w:t>3.1 政府治理类场景方案（27 项）</w:t>
      </w:r>
    </w:p>
    <w:p>
      <w:r>
        <w:rPr>
          <w:rFonts w:ascii="黑体" w:hAnsi="黑体" w:eastAsia="黑体" w:cs="黑体"/>
          <w:b/>
          <w:sz w:val="23"/>
        </w:rPr>
        <w:t>3.1.1 沿街商铺精细化治理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适用主体：城管局、街道办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方案内容：AI 街景识别 + 空间台账自动更新，实现业态统计、违规识别、台账盘点、巡检路线生成。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落地路径：对接公开工商数据 + 街景数据，按街道批量生成治理台账。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西安适配：覆盖城六区核心街道，匹配精细化治理要求。</w:t>
      </w:r>
    </w:p>
    <w:p>
      <w:r>
        <w:rPr>
          <w:rFonts w:ascii="黑体" w:hAnsi="黑体" w:eastAsia="黑体" w:cs="黑体"/>
          <w:b/>
          <w:sz w:val="23"/>
        </w:rPr>
        <w:t>3.1.2 市政设施智能巡检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适用主体：住建局、市政部门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方案内容：图像识别 + 空间定位，自动排查井盖、路灯、护栏等设施病害，生成维修优先级清单。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核心价值：巡检效率提升 60%，降低人工巡查成本。</w:t>
      </w:r>
    </w:p>
    <w:p>
      <w:r>
        <w:rPr>
          <w:rFonts w:ascii="黑体" w:hAnsi="黑体" w:eastAsia="黑体" w:cs="黑体"/>
          <w:b/>
          <w:sz w:val="23"/>
        </w:rPr>
        <w:t>3.1.3 城市内涝风险仿真推演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适用主体：应急管理局、水务局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方案内容：基于高程、管网、降雨数据，模拟不同暴雨等级下的积水范围与影响人口，生成防汛值守方案。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西安适配：针对西安低洼路段、老城区做专项校准。</w:t>
      </w:r>
    </w:p>
    <w:p>
      <w:r>
        <w:rPr>
          <w:rFonts w:ascii="黑体" w:hAnsi="黑体" w:eastAsia="黑体" w:cs="黑体"/>
          <w:b/>
          <w:sz w:val="23"/>
        </w:rPr>
        <w:t>3.1.4 公共服务均等化评估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适用主体：发改、民政、文旅、教育等部门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方案内容：15 分钟生活圈测算，评估教育、医疗、养老、文体等设施覆盖缺口，输出优化建议。</w:t>
      </w:r>
    </w:p>
    <w:p>
      <w:r>
        <w:rPr>
          <w:rFonts w:ascii="黑体" w:hAnsi="黑体" w:eastAsia="黑体" w:cs="黑体"/>
          <w:b/>
          <w:sz w:val="23"/>
        </w:rPr>
        <w:t>3.1.5 其余政府场景</w:t>
      </w:r>
    </w:p>
    <w:p>
      <w:pPr>
        <w:spacing w:after="80"/>
      </w:pPr>
      <w:r>
        <w:rPr>
          <w:rFonts w:ascii="黑体" w:hAnsi="黑体" w:eastAsia="黑体" w:cs="黑体"/>
          <w:b w:val="0"/>
          <w:sz w:val="21"/>
        </w:rPr>
        <w:t>流动摊贩治理、校园周边秩序、绿化巡检、噪声治理、低效用地盘活、人口资源匹配等，合计 27 项。</w:t>
      </w:r>
    </w:p>
    <w:p>
      <w:r>
        <w:rPr>
          <w:rFonts w:ascii="黑体" w:hAnsi="黑体" w:eastAsia="黑体" w:cs="黑体"/>
          <w:b/>
          <w:color w:val="0891B2"/>
          <w:sz w:val="26"/>
        </w:rPr>
        <w:t>3.2 企业经营类场景方案（24 项）</w:t>
      </w:r>
    </w:p>
    <w:p>
      <w:r>
        <w:rPr>
          <w:rFonts w:ascii="黑体" w:hAnsi="黑体" w:eastAsia="黑体" w:cs="黑体"/>
          <w:b/>
          <w:sz w:val="23"/>
        </w:rPr>
        <w:t>3.2.1 工业/商业选址评估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适用主体：生产企业、零售企业、地产公司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方案内容：叠加国土规划、产业准入、配套设施、交通物流、政策红利多因子，自动打分输出候选地块与评估报告。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西安适配：覆盖经开区、高新区、航空基地及各区县工业园等核心产业板块。</w:t>
      </w:r>
    </w:p>
    <w:p>
      <w:r>
        <w:rPr>
          <w:rFonts w:ascii="黑体" w:hAnsi="黑体" w:eastAsia="黑体" w:cs="黑体"/>
          <w:b/>
          <w:sz w:val="23"/>
        </w:rPr>
        <w:t>3.2.2 产业政策智能匹配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适用主体：制造业、科创企业、中小企业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方案内容：基于企业行业、规模、注册地，自动匹配全部可申报补贴、项目、资质，输出申报指引与时间节点。</w:t>
      </w:r>
    </w:p>
    <w:p>
      <w:r>
        <w:rPr>
          <w:rFonts w:ascii="黑体" w:hAnsi="黑体" w:eastAsia="黑体" w:cs="黑体"/>
          <w:b/>
          <w:sz w:val="23"/>
        </w:rPr>
        <w:t>3.2.3 商圈与竞品分析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适用主体：连锁品牌、零售企业、开店创业者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方案内容：目标区域客群、业态、竞品分布、客流热力分析，输出拓店优先级与风险提示。</w:t>
      </w:r>
    </w:p>
    <w:p>
      <w:r>
        <w:rPr>
          <w:rFonts w:ascii="黑体" w:hAnsi="黑体" w:eastAsia="黑体" w:cs="黑体"/>
          <w:b/>
          <w:sz w:val="23"/>
        </w:rPr>
        <w:t>3.2.4 其余企业场景</w:t>
      </w:r>
    </w:p>
    <w:p>
      <w:pPr>
        <w:spacing w:after="80"/>
      </w:pPr>
      <w:r>
        <w:rPr>
          <w:rFonts w:ascii="黑体" w:hAnsi="黑体" w:eastAsia="黑体" w:cs="黑体"/>
          <w:b w:val="0"/>
          <w:sz w:val="21"/>
        </w:rPr>
        <w:t>立项报建指引、环保合规、安全生产、货运路线、产业链对接、信用查询等，合计 24 项。</w:t>
      </w:r>
    </w:p>
    <w:p>
      <w:r>
        <w:rPr>
          <w:rFonts w:ascii="黑体" w:hAnsi="黑体" w:eastAsia="黑体" w:cs="黑体"/>
          <w:b/>
          <w:color w:val="0891B2"/>
          <w:sz w:val="26"/>
        </w:rPr>
        <w:t>3.3 小微商户经营场景方案（10 项）</w:t>
      </w:r>
    </w:p>
    <w:p>
      <w:r>
        <w:rPr>
          <w:rFonts w:ascii="黑体" w:hAnsi="黑体" w:eastAsia="黑体" w:cs="黑体"/>
          <w:b/>
          <w:sz w:val="23"/>
        </w:rPr>
        <w:t>3.3.1 门店经营合规自查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适用主体：沿街个体户、餐饮门店、零售小店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方案内容：输入门店地址与业态，自动输出门头、外摆、食品、消防等合规要求与办理流程。</w:t>
      </w:r>
    </w:p>
    <w:p>
      <w:r>
        <w:rPr>
          <w:rFonts w:ascii="黑体" w:hAnsi="黑体" w:eastAsia="黑体" w:cs="黑体"/>
          <w:b/>
          <w:sz w:val="23"/>
        </w:rPr>
        <w:t>3.3.2 个体户政务办事指引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适用主体：个体工商户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方案内容：注册、变更、注销、年报、办税、许可证办理全流程指引与网点查询。</w:t>
      </w:r>
    </w:p>
    <w:p>
      <w:r>
        <w:rPr>
          <w:rFonts w:ascii="黑体" w:hAnsi="黑体" w:eastAsia="黑体" w:cs="黑体"/>
          <w:b/>
          <w:sz w:val="23"/>
        </w:rPr>
        <w:t>3.3.3 其余商户场景</w:t>
      </w:r>
    </w:p>
    <w:p>
      <w:pPr>
        <w:spacing w:after="80"/>
      </w:pPr>
      <w:r>
        <w:rPr>
          <w:rFonts w:ascii="黑体" w:hAnsi="黑体" w:eastAsia="黑体" w:cs="黑体"/>
          <w:b w:val="0"/>
          <w:sz w:val="21"/>
        </w:rPr>
        <w:t>夜市入驻、纾困补贴匹配、经营风险提示等，合计 10 项。</w:t>
      </w:r>
    </w:p>
    <w:p>
      <w:r>
        <w:rPr>
          <w:rFonts w:ascii="黑体" w:hAnsi="黑体" w:eastAsia="黑体" w:cs="黑体"/>
          <w:b/>
          <w:color w:val="0891B2"/>
          <w:sz w:val="26"/>
        </w:rPr>
        <w:t>3.4 市民民生服务场景方案（24 项）</w:t>
      </w:r>
    </w:p>
    <w:p>
      <w:r>
        <w:rPr>
          <w:rFonts w:ascii="黑体" w:hAnsi="黑体" w:eastAsia="黑体" w:cs="黑体"/>
          <w:b/>
          <w:sz w:val="23"/>
        </w:rPr>
        <w:t>3.4.1 生活圈配套体检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适用主体：市民、置业群体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方案内容：输入居住地址，自动测算 15 分钟内商超、教育、医疗、养老、交通等配套覆盖情况，输出短板分析。</w:t>
      </w:r>
    </w:p>
    <w:p>
      <w:r>
        <w:rPr>
          <w:rFonts w:ascii="黑体" w:hAnsi="黑体" w:eastAsia="黑体" w:cs="黑体"/>
          <w:b/>
          <w:sz w:val="23"/>
        </w:rPr>
        <w:t>3.4.2 学区入学查询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适用主体：适龄儿童家长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方案内容：房屋对应学区边界、学校信息、入学政策、学位预警查询。</w:t>
      </w:r>
    </w:p>
    <w:p>
      <w:r>
        <w:rPr>
          <w:rFonts w:ascii="黑体" w:hAnsi="黑体" w:eastAsia="黑体" w:cs="黑体"/>
          <w:b/>
          <w:sz w:val="23"/>
        </w:rPr>
        <w:t>3.4.3 其余市民场景</w:t>
      </w:r>
    </w:p>
    <w:p>
      <w:pPr>
        <w:spacing w:after="80"/>
      </w:pPr>
      <w:r>
        <w:rPr>
          <w:rFonts w:ascii="黑体" w:hAnsi="黑体" w:eastAsia="黑体" w:cs="黑体"/>
          <w:b w:val="0"/>
          <w:sz w:val="21"/>
        </w:rPr>
        <w:t>智慧停车、养老服务、办事指引、应急避难、公积金/户政/就业查询等，合计 24 项。</w:t>
      </w:r>
    </w:p>
    <w:p>
      <w:r>
        <w:rPr>
          <w:rFonts w:ascii="黑体" w:hAnsi="黑体" w:eastAsia="黑体" w:cs="黑体"/>
          <w:b/>
          <w:color w:val="0891B2"/>
          <w:sz w:val="26"/>
        </w:rPr>
        <w:t>3.5 游客文旅服务场景方案（14 项）</w:t>
      </w:r>
    </w:p>
    <w:p>
      <w:r>
        <w:rPr>
          <w:rFonts w:ascii="黑体" w:hAnsi="黑体" w:eastAsia="黑体" w:cs="黑体"/>
          <w:b/>
          <w:sz w:val="23"/>
        </w:rPr>
        <w:t>3.5.1 节假日客流预判与游览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适用主体：游客、文旅部门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方案内容：预判景区客流拥堵等级，推荐错峰时间、小众路线、最佳游览顺序。</w:t>
      </w:r>
    </w:p>
    <w:p>
      <w:r>
        <w:rPr>
          <w:rFonts w:ascii="黑体" w:hAnsi="黑体" w:eastAsia="黑体" w:cs="黑体"/>
          <w:b/>
          <w:sz w:val="23"/>
        </w:rPr>
        <w:t>3.5.2 主题文化线路定制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适用主体：深度游客群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方案内容：生成红色旅游、工业遗产、唐诗文化、关中民俗等主题路线，配套点位讲解。</w:t>
      </w:r>
    </w:p>
    <w:p>
      <w:r>
        <w:rPr>
          <w:rFonts w:ascii="黑体" w:hAnsi="黑体" w:eastAsia="黑体" w:cs="黑体"/>
          <w:b/>
          <w:sz w:val="23"/>
        </w:rPr>
        <w:t>3.5.3 其余文旅场景</w:t>
      </w:r>
    </w:p>
    <w:p>
      <w:pPr>
        <w:spacing w:after="80"/>
      </w:pPr>
      <w:r>
        <w:rPr>
          <w:rFonts w:ascii="黑体" w:hAnsi="黑体" w:eastAsia="黑体" w:cs="黑体"/>
          <w:b w:val="0"/>
          <w:sz w:val="21"/>
        </w:rPr>
        <w:t>便民设施查询、机位推荐、交通接驳、乡村旅游、节庆活动等，合计 14 项。</w:t>
      </w:r>
    </w:p>
    <w:p>
      <w:r>
        <w:rPr>
          <w:rFonts w:ascii="黑体" w:hAnsi="黑体" w:eastAsia="黑体" w:cs="黑体"/>
          <w:b/>
          <w:color w:val="0E6EF6"/>
          <w:sz w:val="32"/>
        </w:rPr>
        <w:t>第四章 产品与技术体系</w:t>
      </w:r>
    </w:p>
    <w:p>
      <w:r>
        <w:rPr>
          <w:rFonts w:ascii="黑体" w:hAnsi="黑体" w:eastAsia="黑体" w:cs="黑体"/>
          <w:b/>
          <w:color w:val="0891B2"/>
          <w:sz w:val="26"/>
        </w:rPr>
        <w:t>4.1 整体产品架构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层级</w:t>
            </w:r>
          </w:p>
        </w:tc>
        <w:tc>
          <w:tcPr>
            <w:tcW w:type="dxa" w:w="4533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内容</w:t>
            </w:r>
          </w:p>
        </w:tc>
      </w:tr>
      <w:tr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数据层</w:t>
            </w:r>
          </w:p>
        </w:tc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公共政务数据 + 公开社会数据 + 空间地理图层</w:t>
            </w:r>
          </w:p>
        </w:tc>
      </w:tr>
      <w:tr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引擎层</w:t>
            </w:r>
          </w:p>
        </w:tc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AI 语义引擎 + Geo 空间计算引擎 + 政策匹配引擎 + 仿真推演引擎</w:t>
            </w:r>
          </w:p>
        </w:tc>
      </w:tr>
      <w:tr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应用层</w:t>
            </w:r>
          </w:p>
        </w:tc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五大场景 99 项功能模块</w:t>
            </w:r>
          </w:p>
        </w:tc>
      </w:tr>
      <w:tr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入口层</w:t>
            </w:r>
          </w:p>
        </w:tc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PC 网页端 + App 移动端，统一自然语言入口</w:t>
            </w:r>
          </w:p>
        </w:tc>
      </w:tr>
    </w:tbl>
    <w:p>
      <w:r>
        <w:rPr>
          <w:rFonts w:ascii="黑体" w:hAnsi="黑体" w:eastAsia="黑体" w:cs="黑体"/>
          <w:b/>
          <w:color w:val="0891B2"/>
          <w:sz w:val="26"/>
        </w:rPr>
        <w:t>4.2 分端产品设计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PC 端：首页极简输入 + 业务页三栏布局（左 AI 对话 + 中结果展示 + 右决策分析）。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App 端：瀑布流对话交互、语音输入、卡片式结果，全功能无菜单。</w:t>
      </w:r>
    </w:p>
    <w:p>
      <w:r>
        <w:rPr>
          <w:rFonts w:ascii="黑体" w:hAnsi="黑体" w:eastAsia="黑体" w:cs="黑体"/>
          <w:b/>
          <w:color w:val="0891B2"/>
          <w:sz w:val="26"/>
        </w:rPr>
        <w:t>4.3 核心技术底座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技术域</w:t>
            </w:r>
          </w:p>
        </w:tc>
        <w:tc>
          <w:tcPr>
            <w:tcW w:type="dxa" w:w="4533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选型</w:t>
            </w:r>
          </w:p>
        </w:tc>
      </w:tr>
      <w:tr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空间数据库</w:t>
            </w:r>
          </w:p>
        </w:tc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PostgreSQL + PostGIS</w:t>
            </w:r>
          </w:p>
        </w:tc>
      </w:tr>
      <w:tr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地图引擎</w:t>
            </w:r>
          </w:p>
        </w:tc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MapLibre + 矢量瓦片服务</w:t>
            </w:r>
          </w:p>
        </w:tc>
      </w:tr>
      <w:tr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空间分析</w:t>
            </w:r>
          </w:p>
        </w:tc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pgRouting 路径计算、服务区分析、淹没仿真</w:t>
            </w:r>
          </w:p>
        </w:tc>
      </w:tr>
      <w:tr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AI 能力</w:t>
            </w:r>
          </w:p>
        </w:tc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意图识别、语义理解、图像识别、文档生成</w:t>
            </w:r>
          </w:p>
        </w:tc>
      </w:tr>
    </w:tbl>
    <w:p>
      <w:r>
        <w:rPr>
          <w:rFonts w:ascii="黑体" w:hAnsi="黑体" w:eastAsia="黑体" w:cs="黑体"/>
          <w:b/>
          <w:color w:val="0891B2"/>
          <w:sz w:val="26"/>
        </w:rPr>
        <w:t>4.4 数据资源体系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数据来源：全部来自公开合规渠道，无私有数据、无隐私数据。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更新机制：政务数据定期同步、空间图层季度更新、政策库月度更新。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数据质量：多源校验、异常标注、边界说明。</w:t>
      </w:r>
    </w:p>
    <w:p>
      <w:r>
        <w:rPr>
          <w:rFonts w:ascii="黑体" w:hAnsi="黑体" w:eastAsia="黑体" w:cs="黑体"/>
          <w:b/>
          <w:color w:val="0E6EF6"/>
          <w:sz w:val="32"/>
        </w:rPr>
        <w:t>第五章 核心创新亮点</w:t>
      </w:r>
    </w:p>
    <w:p>
      <w:r>
        <w:rPr>
          <w:rFonts w:ascii="黑体" w:hAnsi="黑体" w:eastAsia="黑体" w:cs="黑体"/>
          <w:b/>
          <w:color w:val="0891B2"/>
          <w:sz w:val="26"/>
        </w:rPr>
        <w:t>5.1 技术创新：意图驱动的空间计算引擎</w:t>
      </w:r>
    </w:p>
    <w:p>
      <w:pPr>
        <w:spacing w:after="80"/>
      </w:pPr>
      <w:r>
        <w:rPr>
          <w:rFonts w:ascii="黑体" w:hAnsi="黑体" w:eastAsia="黑体" w:cs="黑体"/>
          <w:b w:val="0"/>
          <w:sz w:val="21"/>
        </w:rPr>
        <w:t>突破传统 GIS 专业操作门槛，将"菜单式工具"升级为"自然语言需求驱动"。AI 自动识别用户意图并匹配对应空间计算能力，用户无需掌握任何 GIS 知识，多模态结果（地图、图表、清单、报告）一站式输出。</w:t>
      </w:r>
    </w:p>
    <w:p>
      <w:r>
        <w:rPr>
          <w:rFonts w:ascii="黑体" w:hAnsi="黑体" w:eastAsia="黑体" w:cs="黑体"/>
          <w:b/>
          <w:color w:val="0891B2"/>
          <w:sz w:val="26"/>
        </w:rPr>
        <w:t>5.2 模式创新：公开数据轻资产运营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区别于传统城市大脑的重资产定制模式，全部基于公开数据构建，部署成本仅为传统方案的 1/10。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公共基础服务免费保障公益属性，增值专业服务付费实现商业闭环，平衡公共价值与商业可持续。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B/C/G 三端统一入口，一次建设多端复用，避免重复建设。</w:t>
      </w:r>
    </w:p>
    <w:p>
      <w:r>
        <w:rPr>
          <w:rFonts w:ascii="黑体" w:hAnsi="黑体" w:eastAsia="黑体" w:cs="黑体"/>
          <w:b/>
          <w:color w:val="0891B2"/>
          <w:sz w:val="26"/>
        </w:rPr>
        <w:t>5.3 场景创新：全主体全场景覆盖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国内少有的同时覆盖政府、企业、小微商户、市民、游客五大主体的空间智能产品。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99 项细分场景，从宏观治理到微观生活，覆盖城市空间决策全场景。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场景模块化沉淀，可快速扩展、按需裁剪。</w:t>
      </w:r>
    </w:p>
    <w:p>
      <w:r>
        <w:rPr>
          <w:rFonts w:ascii="黑体" w:hAnsi="黑体" w:eastAsia="黑体" w:cs="黑体"/>
          <w:b/>
          <w:color w:val="0891B2"/>
          <w:sz w:val="26"/>
        </w:rPr>
        <w:t>5.4 体验创新：零学习成本自然语言交互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无功能菜单、无操作手册，用户直接说话提需求，AI 自动路由对应功能。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学习成本为零，适配从基层工作人员到普通市民的全年龄段用户。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结果可视化呈现，决策信息一目了然。</w:t>
      </w:r>
    </w:p>
    <w:p>
      <w:r>
        <w:rPr>
          <w:rFonts w:ascii="黑体" w:hAnsi="黑体" w:eastAsia="黑体" w:cs="黑体"/>
          <w:b/>
          <w:color w:val="0E6EF6"/>
          <w:sz w:val="32"/>
        </w:rPr>
        <w:t>第六章 商业模式与盈利体系</w:t>
      </w:r>
    </w:p>
    <w:p>
      <w:r>
        <w:rPr>
          <w:rFonts w:ascii="黑体" w:hAnsi="黑体" w:eastAsia="黑体" w:cs="黑体"/>
          <w:b/>
          <w:color w:val="0891B2"/>
          <w:sz w:val="26"/>
        </w:rPr>
        <w:t>6.1 总体商业模式</w:t>
      </w:r>
    </w:p>
    <w:p>
      <w:pPr>
        <w:spacing w:after="80"/>
      </w:pPr>
      <w:r>
        <w:rPr>
          <w:rFonts w:ascii="黑体" w:hAnsi="黑体" w:eastAsia="黑体" w:cs="黑体"/>
          <w:b w:val="0"/>
          <w:sz w:val="21"/>
        </w:rPr>
        <w:t>底层逻辑：免费获客 → 价值沉淀 → 增值转化 → 生态延伸。三层结构：基础公共服务层（免费）+ 增值专业服务层（付费）+ 定制项目层（政府/大型企业）。</w:t>
      </w:r>
    </w:p>
    <w:p>
      <w:r>
        <w:rPr>
          <w:rFonts w:ascii="黑体" w:hAnsi="黑体" w:eastAsia="黑体" w:cs="黑体"/>
          <w:b/>
          <w:color w:val="0891B2"/>
          <w:sz w:val="26"/>
        </w:rPr>
        <w:t>6.2 分客群盈利模式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客群</w:t>
            </w:r>
          </w:p>
        </w:tc>
        <w:tc>
          <w:tcPr>
            <w:tcW w:type="dxa" w:w="4533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盈利模式</w:t>
            </w:r>
          </w:p>
        </w:tc>
      </w:tr>
      <w:tr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政府端</w:t>
            </w:r>
          </w:p>
        </w:tc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定制建设费 + 年度运维费 + 专项课题分析费</w:t>
            </w:r>
          </w:p>
        </w:tc>
      </w:tr>
      <w:tr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企业端</w:t>
            </w:r>
          </w:p>
        </w:tc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会员订阅制 + 深度分析报告 + 申报辅助服务 + 定制产业方案</w:t>
            </w:r>
          </w:p>
        </w:tc>
      </w:tr>
      <w:tr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小微商户端</w:t>
            </w:r>
          </w:p>
        </w:tc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合规年度套餐 + 代办服务佣金</w:t>
            </w:r>
          </w:p>
        </w:tc>
      </w:tr>
      <w:tr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市民文旅端</w:t>
            </w:r>
          </w:p>
        </w:tc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高级会员 + 定制服务 + 导流佣金</w:t>
            </w:r>
          </w:p>
        </w:tc>
      </w:tr>
      <w:tr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生态端</w:t>
            </w:r>
          </w:p>
        </w:tc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API 接口调用授权 + 引擎私有化授权 + 联合运营分成</w:t>
            </w:r>
          </w:p>
        </w:tc>
      </w:tr>
    </w:tbl>
    <w:p>
      <w:r>
        <w:rPr>
          <w:rFonts w:ascii="黑体" w:hAnsi="黑体" w:eastAsia="黑体" w:cs="黑体"/>
          <w:b/>
          <w:color w:val="0891B2"/>
          <w:sz w:val="26"/>
        </w:rPr>
        <w:t>6.3 定价体系</w:t>
      </w:r>
    </w:p>
    <w:p>
      <w:r>
        <w:rPr>
          <w:rFonts w:ascii="黑体" w:hAnsi="黑体" w:eastAsia="黑体" w:cs="黑体"/>
          <w:b/>
          <w:sz w:val="23"/>
        </w:rPr>
        <w:t>6.3.1 会员产品分级定价</w:t>
      </w:r>
    </w:p>
    <w:p>
      <w:pPr>
        <w:spacing w:after="80"/>
      </w:pPr>
      <w:r>
        <w:rPr>
          <w:rFonts w:ascii="黑体" w:hAnsi="黑体" w:eastAsia="黑体" w:cs="黑体"/>
          <w:b w:val="0"/>
          <w:sz w:val="21"/>
        </w:rPr>
        <w:t>以下为会员产品分级定价，各档价格均为参考值，具体按实际填写。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产品档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目标客群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定价（参考）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核心权益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市民高级会员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市民、游客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¥99 / 年（具体按实际填写）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高级分析报告、无广告、优先服务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企业·标准版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中小企业、创业者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¥9,800 / 年（具体按实际填写）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基础选址/政策查询、月度报告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企业·专业版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连锁品牌、制造企业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¥39,800 / 年（具体按实际填写）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深度分析、商圈报告、政策申报辅助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企业·旗舰版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地产、大型企业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¥98,000 / 年（具体按实际填写）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定制产业方案、专属顾问、API 接入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商户合规套餐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个体工商户、小店主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¥1,999 / 年（具体按实际填写）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合规自查、办事指引、政策提醒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6.3.2 政府项目分级报价</w:t>
      </w:r>
    </w:p>
    <w:p>
      <w:pPr>
        <w:spacing w:after="80"/>
      </w:pPr>
      <w:r>
        <w:rPr>
          <w:rFonts w:ascii="黑体" w:hAnsi="黑体" w:eastAsia="黑体" w:cs="黑体"/>
          <w:b w:val="0"/>
          <w:sz w:val="21"/>
        </w:rPr>
        <w:t>政府项目按模块数量、数据规模与运维深度一事一议，以下报价均为参考值，具体按实际填写。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级别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适用对象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报价（参考值）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说明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部门级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单个委办局/科室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¥50 万级（具体按实际填写）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2–5 个模块，定制课题分析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区县/街道级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区县政府、街道办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¥200 万级（具体按实际填写）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治理模块群 + 基层台账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市级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市级部门、全市平台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¥500 万级（具体按实际填写）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全量模块 + 数据中台 + 运维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6.3.3 增值服务定价</w:t>
      </w:r>
    </w:p>
    <w:p>
      <w:pPr>
        <w:spacing w:after="80"/>
      </w:pPr>
      <w:r>
        <w:rPr>
          <w:rFonts w:ascii="黑体" w:hAnsi="黑体" w:eastAsia="黑体" w:cs="黑体"/>
          <w:b w:val="0"/>
          <w:sz w:val="21"/>
        </w:rPr>
        <w:t>深度分析报告 ¥5,000–30,000 / 份（具体按实际填写）；政策申报辅助按申报金额 3%–5%（具体按实际填写）或固定服务费；API 调用按量阶梯计费；引擎私有化授权按城市能级一次性授权 + 年费。</w:t>
      </w:r>
    </w:p>
    <w:p>
      <w:r>
        <w:rPr>
          <w:rFonts w:ascii="黑体" w:hAnsi="黑体" w:eastAsia="黑体" w:cs="黑体"/>
          <w:b/>
          <w:color w:val="0891B2"/>
          <w:sz w:val="26"/>
        </w:rPr>
        <w:t>6.4 渠道与销售策略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政府端：区县试点 → 市级推广 + 联合生态伙伴投标。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企业端：商协会 + 产业园区 + 线上获客。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商户端：市场监管所合作 + 商户协会 + 沿街推广。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市民文旅端：自然流量 + 文旅合作 + 本地生活渠道。</w:t>
      </w:r>
    </w:p>
    <w:p>
      <w:r>
        <w:rPr>
          <w:rFonts w:ascii="黑体" w:hAnsi="黑体" w:eastAsia="黑体" w:cs="黑体"/>
          <w:b/>
          <w:color w:val="0E6EF6"/>
          <w:sz w:val="32"/>
        </w:rPr>
        <w:t>第七章 可复制性与扩张能力</w:t>
      </w:r>
    </w:p>
    <w:p>
      <w:r>
        <w:rPr>
          <w:rFonts w:ascii="黑体" w:hAnsi="黑体" w:eastAsia="黑体" w:cs="黑体"/>
          <w:b/>
          <w:color w:val="0891B2"/>
          <w:sz w:val="26"/>
        </w:rPr>
        <w:t>7.1 技术可复制性</w:t>
      </w:r>
    </w:p>
    <w:p>
      <w:r>
        <w:rPr>
          <w:rFonts w:ascii="黑体" w:hAnsi="黑体" w:eastAsia="黑体" w:cs="黑体"/>
          <w:b/>
          <w:sz w:val="23"/>
        </w:rPr>
        <w:t>7.1.1 技术栈通用性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全部采用通用开源技术栈（PostgreSQL/PostGIS、MapLibre、大模型），无厂商绑定、无专用硬件依赖。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数据层遵循国家地理信息标准格式，兼容主流空间数据，迁移成本低。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架构云原生部署，支持快速弹性扩容，适配不同城市规模。</w:t>
      </w:r>
    </w:p>
    <w:p>
      <w:r>
        <w:rPr>
          <w:rFonts w:ascii="黑体" w:hAnsi="黑体" w:eastAsia="黑体" w:cs="黑体"/>
          <w:b/>
          <w:sz w:val="23"/>
        </w:rPr>
        <w:t>7.1.2 复制周期与成本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技术底座复制周期：2–3 个月完成一个新城市的技术部署与数据适配。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技术复制成本：仅为传统定制城市系统的 15%–20%，边际复制成本随城市数量递增持续降低。</w:t>
      </w:r>
    </w:p>
    <w:p>
      <w:r>
        <w:rPr>
          <w:rFonts w:ascii="黑体" w:hAnsi="黑体" w:eastAsia="黑体" w:cs="黑体"/>
          <w:b/>
          <w:color w:val="0891B2"/>
          <w:sz w:val="26"/>
        </w:rPr>
        <w:t>7.2 业务可复制性</w:t>
      </w:r>
    </w:p>
    <w:p>
      <w:r>
        <w:rPr>
          <w:rFonts w:ascii="黑体" w:hAnsi="黑体" w:eastAsia="黑体" w:cs="黑体"/>
          <w:b/>
          <w:sz w:val="23"/>
        </w:rPr>
        <w:t>7.2.1 场景模块复用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99 项功能全部模块化设计，通用场景（停车、选址、办事指引、内涝推演等）可直接复用。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仅需替换本地空间数据、政策库、POI 数据即可完成本地化适配。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可按城市规模、产业特点、治理需求灵活裁剪场景模块。</w:t>
      </w:r>
    </w:p>
    <w:p>
      <w:r>
        <w:rPr>
          <w:rFonts w:ascii="黑体" w:hAnsi="黑体" w:eastAsia="黑体" w:cs="黑体"/>
          <w:b/>
          <w:sz w:val="23"/>
        </w:rPr>
        <w:t>7.2.2 本地化适配方法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标准适配流程：公开数据梳理 → 政策库本地化 → 场景校准 → 测试上线。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业务复制周期：1 个月完成一个地级市的场景适配与本地化运营准备。</w:t>
      </w:r>
    </w:p>
    <w:p>
      <w:r>
        <w:rPr>
          <w:rFonts w:ascii="黑体" w:hAnsi="黑体" w:eastAsia="黑体" w:cs="黑体"/>
          <w:b/>
          <w:color w:val="0891B2"/>
          <w:sz w:val="26"/>
        </w:rPr>
        <w:t>7.3 模式可复制性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商业模式通用："免费基础服务 + 增值专业服务 + 政府定制项目"三层模式，适配不同能级城市。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运营逻辑通用：公共数据运营逻辑通用，不受地域产业结构、城市规模限制。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体系整体复制：渠道体系、销售方法、运营体系可整体复制。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城市能级</w:t>
            </w:r>
          </w:p>
        </w:tc>
        <w:tc>
          <w:tcPr>
            <w:tcW w:type="dxa" w:w="4533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场景部署策略</w:t>
            </w:r>
          </w:p>
        </w:tc>
      </w:tr>
      <w:tr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省会城市</w:t>
            </w:r>
          </w:p>
        </w:tc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全量 99 项场景 + 完整商业体系，打造区域标杆</w:t>
            </w:r>
          </w:p>
        </w:tc>
      </w:tr>
      <w:tr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地级市</w:t>
            </w:r>
          </w:p>
        </w:tc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精选核心场景（60–70 项），侧重治理与企业服务</w:t>
            </w:r>
          </w:p>
        </w:tc>
      </w:tr>
      <w:tr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县级市/区县</w:t>
            </w:r>
          </w:p>
        </w:tc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聚焦基层治理与便民服务，轻量化部署</w:t>
            </w:r>
          </w:p>
        </w:tc>
      </w:tr>
    </w:tbl>
    <w:p>
      <w:r>
        <w:rPr>
          <w:rFonts w:ascii="黑体" w:hAnsi="黑体" w:eastAsia="黑体" w:cs="黑体"/>
          <w:b/>
          <w:color w:val="0891B2"/>
          <w:sz w:val="26"/>
        </w:rPr>
        <w:t>7.4 扩张路径</w:t>
      </w:r>
    </w:p>
    <w:p>
      <w:pPr>
        <w:spacing w:after="80"/>
      </w:pPr>
      <w:r>
        <w:rPr>
          <w:rFonts w:ascii="黑体" w:hAnsi="黑体" w:eastAsia="黑体" w:cs="黑体"/>
          <w:b w:val="0"/>
          <w:sz w:val="21"/>
        </w:rPr>
        <w:t>第一阶段西安深耕验证形成标准复制模板</w:t>
      </w:r>
    </w:p>
    <w:p>
      <w:pPr>
        <w:spacing w:after="80"/>
      </w:pPr>
      <w:r>
        <w:rPr>
          <w:rFonts w:ascii="黑体" w:hAnsi="黑体" w:eastAsia="黑体" w:cs="黑体"/>
          <w:b w:val="0"/>
          <w:sz w:val="21"/>
        </w:rPr>
        <w:t>第二阶段陕西全省复制咸阳、宝鸡、榆林等</w:t>
      </w:r>
    </w:p>
    <w:p>
      <w:pPr>
        <w:spacing w:after="80"/>
      </w:pPr>
      <w:r>
        <w:rPr>
          <w:rFonts w:ascii="黑体" w:hAnsi="黑体" w:eastAsia="黑体" w:cs="黑体"/>
          <w:b w:val="0"/>
          <w:sz w:val="21"/>
        </w:rPr>
        <w:t>第三阶段西北重点城市兰州、银川、西宁等</w:t>
      </w:r>
    </w:p>
    <w:p>
      <w:pPr>
        <w:spacing w:after="80"/>
      </w:pPr>
      <w:r>
        <w:rPr>
          <w:rFonts w:ascii="黑体" w:hAnsi="黑体" w:eastAsia="黑体" w:cs="黑体"/>
          <w:b w:val="0"/>
          <w:sz w:val="21"/>
        </w:rPr>
        <w:t>第四阶段全国模式输出中西部城市轻量化方案</w:t>
      </w:r>
    </w:p>
    <w:p>
      <w:r>
        <w:rPr>
          <w:rFonts w:ascii="黑体" w:hAnsi="黑体" w:eastAsia="黑体" w:cs="黑体"/>
          <w:b/>
          <w:color w:val="0E6EF6"/>
          <w:sz w:val="32"/>
        </w:rPr>
        <w:t>第八章 市场分析与竞争格局</w:t>
      </w:r>
    </w:p>
    <w:p>
      <w:r>
        <w:rPr>
          <w:rFonts w:ascii="黑体" w:hAnsi="黑体" w:eastAsia="黑体" w:cs="黑体"/>
          <w:b/>
          <w:color w:val="0891B2"/>
          <w:sz w:val="26"/>
        </w:rPr>
        <w:t>8.1 西安本地市场规模测算</w:t>
      </w:r>
    </w:p>
    <w:p>
      <w:pPr>
        <w:spacing w:after="80"/>
      </w:pPr>
      <w:r>
        <w:rPr>
          <w:rFonts w:ascii="黑体" w:hAnsi="黑体" w:eastAsia="黑体" w:cs="黑体"/>
          <w:b w:val="0"/>
          <w:sz w:val="21"/>
        </w:rPr>
        <w:t>以下为 3 年可触达市场（TAM）测算，口径基于西安常住人口约 1300 万、年接待游客约 3.2 亿人次、市场主体约 150 万家、个体工商户约 100 万户（均为公开统计口径）；各细分市场规模均为参考值，具体按实际填写。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细分市场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测算口径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3 年规模（参考值）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说明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政府治理市场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市区两级数字化治理/空间信息投入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约 12 亿元（具体按实际填写）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替代重复建设 + 专项分析，需按财政实际投入校准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企业服务市场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选址/政策/分析需求企业付费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约 8 亿元（具体按实际填写）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按 150 万家主体的可渗透比例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小微商户市场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合规 + 政务 + 政策服务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约 3 亿元（具体按实际填写）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按 100 万户个体户渗透率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市民文旅增值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高级会员 + 导流佣金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约 3 亿元（具体按实际填写）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按常住人口 + 游客转化率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合计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—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约 26 亿元（具体按实际填写）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西安本地 3 年可触达市场（参考值）</w:t>
            </w:r>
          </w:p>
        </w:tc>
      </w:tr>
    </w:tbl>
    <w:p>
      <w:r>
        <w:rPr>
          <w:rFonts w:ascii="黑体" w:hAnsi="黑体" w:eastAsia="黑体" w:cs="黑体"/>
          <w:b/>
          <w:color w:val="0891B2"/>
          <w:sz w:val="26"/>
        </w:rPr>
        <w:t>8.2 行业竞争格局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竞品类型</w:t>
            </w:r>
          </w:p>
        </w:tc>
        <w:tc>
          <w:tcPr>
            <w:tcW w:type="dxa" w:w="3022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优势</w:t>
            </w:r>
          </w:p>
        </w:tc>
        <w:tc>
          <w:tcPr>
            <w:tcW w:type="dxa" w:w="3022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劣势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传统 GIS 厂商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专业能力强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交互重、价格高、C 端覆盖弱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互联网大厂城市大脑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资源多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重资产、周期长、下沉场景不足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垂直领域服务商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单点深入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场景单一、无统一入口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同类 AI 空间产品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—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数量少、本地化不足、场景覆盖不全</w:t>
            </w:r>
          </w:p>
        </w:tc>
      </w:tr>
    </w:tbl>
    <w:p>
      <w:r>
        <w:rPr>
          <w:rFonts w:ascii="黑体" w:hAnsi="黑体" w:eastAsia="黑体" w:cs="黑体"/>
          <w:b/>
          <w:color w:val="0891B2"/>
          <w:sz w:val="26"/>
        </w:rPr>
        <w:t>8.3 核心竞争优势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体验优势：零门槛自然语言交互。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成本优势：轻资产模式，价格仅为传统方案 1/10。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场景优势：五端全场景覆盖，国内稀缺。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本地化优势：深耕西安，数据细、场景准、响应快。</w:t>
      </w:r>
    </w:p>
    <w:p>
      <w:r>
        <w:rPr>
          <w:rFonts w:ascii="黑体" w:hAnsi="黑体" w:eastAsia="黑体" w:cs="黑体"/>
          <w:b/>
          <w:color w:val="0891B2"/>
          <w:sz w:val="26"/>
        </w:rPr>
        <w:t>8.4 竞争壁垒构建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场景壁垒：99 项场景沉淀，形成场景护城河。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数据壁垒：本地化政策库、场景数据持续积累。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模式壁垒：轻资产快速复制，先发优势明显。</w:t>
      </w:r>
    </w:p>
    <w:p>
      <w:r>
        <w:rPr>
          <w:rFonts w:ascii="黑体" w:hAnsi="黑体" w:eastAsia="黑体" w:cs="黑体"/>
          <w:b/>
          <w:color w:val="0E6EF6"/>
          <w:sz w:val="32"/>
        </w:rPr>
        <w:t>第九章 落地实施规划</w:t>
      </w:r>
    </w:p>
    <w:p>
      <w:r>
        <w:rPr>
          <w:rFonts w:ascii="黑体" w:hAnsi="黑体" w:eastAsia="黑体" w:cs="黑体"/>
          <w:b/>
          <w:color w:val="0891B2"/>
          <w:sz w:val="26"/>
        </w:rPr>
        <w:t>9.1 第一阶段：启动验证期（0–6 个月）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核心目标：产品正式上线，政府试点突破，种子用户验证。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关键动作：全量功能上线、1–2 个区县/部门试点、企业种子用户拓展。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里程碑：试点落地、首批付费客户、产品验证。</w:t>
      </w:r>
    </w:p>
    <w:p>
      <w:r>
        <w:rPr>
          <w:rFonts w:ascii="黑体" w:hAnsi="黑体" w:eastAsia="黑体" w:cs="黑体"/>
          <w:b/>
          <w:color w:val="0891B2"/>
          <w:sz w:val="26"/>
        </w:rPr>
        <w:t>9.2 第二阶段：快速增长期（6–12 个月）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核心目标：全客群拓展，营收起量，功能迭代。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关键动作：政府端 3+ 区县、5+ 委办局覆盖，企业会员规模突破，本地品牌推广。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里程碑：单月盈亏平衡、客户规模达标。</w:t>
      </w:r>
    </w:p>
    <w:p>
      <w:r>
        <w:rPr>
          <w:rFonts w:ascii="黑体" w:hAnsi="黑体" w:eastAsia="黑体" w:cs="黑体"/>
          <w:b/>
          <w:color w:val="0891B2"/>
          <w:sz w:val="26"/>
        </w:rPr>
        <w:t>9.3 第三阶段：深耕成熟期（1–2 年）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核心目标：西安市场深耕，盈利提升，模式固化。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关键动作：市区县街四级覆盖、增值服务占比提升、开放 API 生态。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里程碑：西安市场盈利、形成可复制标准模板。</w:t>
      </w:r>
    </w:p>
    <w:p>
      <w:r>
        <w:rPr>
          <w:rFonts w:ascii="黑体" w:hAnsi="黑体" w:eastAsia="黑体" w:cs="黑体"/>
          <w:b/>
          <w:color w:val="0891B2"/>
          <w:sz w:val="26"/>
        </w:rPr>
        <w:t>9.4 第四阶段：区域扩张期（2–3 年）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核心目标：陕西全省复制，西北重点城市落地。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关键动作：周边城市落地、区域合作伙伴体系搭建。</w:t>
      </w:r>
    </w:p>
    <w:p>
      <w:r>
        <w:rPr>
          <w:rFonts w:ascii="黑体" w:hAnsi="黑体" w:eastAsia="黑体" w:cs="黑体"/>
          <w:b/>
          <w:color w:val="0E6EF6"/>
          <w:sz w:val="32"/>
        </w:rPr>
        <w:t>第十章 应用成效预期</w:t>
      </w:r>
    </w:p>
    <w:p>
      <w:r>
        <w:rPr>
          <w:rFonts w:ascii="黑体" w:hAnsi="黑体" w:eastAsia="黑体" w:cs="黑体"/>
          <w:b/>
          <w:color w:val="0891B2"/>
          <w:sz w:val="26"/>
        </w:rPr>
        <w:t>10.1 政府治理端成效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巡检效率：市政、商铺等人工巡检效率提升 60%，人工成本降低 40%。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分析效率：专项课题分析周期从周级缩短至小时级，效率提升 80%。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台账更新：动态台账更新从月度/周级提升至日级。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决策支撑：空间仿真与多因子分析提升决策科学性，降低决策风险。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成本节约：避免各部门重复建设系统，节约信息化投入。</w:t>
      </w:r>
    </w:p>
    <w:p>
      <w:r>
        <w:rPr>
          <w:rFonts w:ascii="黑体" w:hAnsi="黑体" w:eastAsia="黑体" w:cs="黑体"/>
          <w:b/>
          <w:color w:val="0891B2"/>
          <w:sz w:val="26"/>
        </w:rPr>
        <w:t>10.2 企业经营端成效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决策效率：选址、政策匹配等决策周期从 30 天缩短至 3 天。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政策覆盖：可申报政策覆盖率从不足 30% 提升至 90% 以上。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成本降低：调研、分析、人工成本降低 70%。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风险降低：环保、安全、合规风险提前识别，违规概率下降 50%。</w:t>
      </w:r>
    </w:p>
    <w:p>
      <w:r>
        <w:rPr>
          <w:rFonts w:ascii="黑体" w:hAnsi="黑体" w:eastAsia="黑体" w:cs="黑体"/>
          <w:b/>
          <w:color w:val="0891B2"/>
          <w:sz w:val="26"/>
        </w:rPr>
        <w:t>10.3 小微商户成效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办事时间：合规办事跑腿时间减少 80%。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风险降低：经营合规风险降低 50%，避免违规处罚。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政策获取：纾困补贴、税费减免政策获取率提升。</w:t>
      </w:r>
    </w:p>
    <w:p>
      <w:r>
        <w:rPr>
          <w:rFonts w:ascii="黑体" w:hAnsi="黑体" w:eastAsia="黑体" w:cs="黑体"/>
          <w:b/>
          <w:color w:val="0891B2"/>
          <w:sz w:val="26"/>
        </w:rPr>
        <w:t>10.4 市民与游客成效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市民：生活服务信息获取效率提升 200%，办事跑腿次数减少 60%。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游客：平均游览效率提升 30%，高峰拥堵时长减少 25%。</w:t>
      </w:r>
    </w:p>
    <w:p>
      <w:r>
        <w:rPr>
          <w:rFonts w:ascii="黑体" w:hAnsi="黑体" w:eastAsia="黑体" w:cs="黑体"/>
          <w:b/>
          <w:color w:val="0891B2"/>
          <w:sz w:val="26"/>
        </w:rPr>
        <w:t>10.5 整体社会成效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公共数据价值充分释放，从"沉睡数据"变为"可用服务"。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城市治理精细化水平提升，公共服务均等化程度改善。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营商环境优化，市场主体办事成本降低。</w:t>
      </w:r>
    </w:p>
    <w:p>
      <w:r>
        <w:rPr>
          <w:rFonts w:ascii="黑体" w:hAnsi="黑体" w:eastAsia="黑体" w:cs="黑体"/>
          <w:b/>
          <w:color w:val="0E6EF6"/>
          <w:sz w:val="32"/>
        </w:rPr>
        <w:t>第十一章 安全合规说明</w:t>
      </w:r>
    </w:p>
    <w:p>
      <w:r>
        <w:rPr>
          <w:rFonts w:ascii="黑体" w:hAnsi="黑体" w:eastAsia="黑体" w:cs="黑体"/>
          <w:b/>
          <w:color w:val="0891B2"/>
          <w:sz w:val="26"/>
        </w:rPr>
        <w:t>11.1 数据合规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全部数据来源于官方公开渠道，符合《中华人民共和国数据安全法》《中华人民共和国个人信息保护法》。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严格遵守《西安市政务数据共享开放管理办法》，仅使用开放授权的公共数据。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不采集、不存储、不处理个人隐私数据、企业商业秘密数据。</w:t>
      </w:r>
    </w:p>
    <w:p>
      <w:r>
        <w:rPr>
          <w:rFonts w:ascii="黑体" w:hAnsi="黑体" w:eastAsia="黑体" w:cs="黑体"/>
          <w:b/>
          <w:color w:val="0891B2"/>
          <w:sz w:val="26"/>
        </w:rPr>
        <w:t>11.2 数据分级管理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公开数据：完全开放的政务、空间、POI 数据，无使用限制。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聚合数据：统计分析后的聚合结果，不涉及个体信息。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敏感数据：严格权限管控，仅授权人员访问，全程留痕审计。</w:t>
      </w:r>
    </w:p>
    <w:p>
      <w:r>
        <w:rPr>
          <w:rFonts w:ascii="黑体" w:hAnsi="黑体" w:eastAsia="黑体" w:cs="黑体"/>
          <w:b/>
          <w:color w:val="0891B2"/>
          <w:sz w:val="26"/>
        </w:rPr>
        <w:t>11.3 技术安全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按照网络安全等级保护三级要求建设。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数据传输全链路加密，存储加密。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细粒度权限控制，角色-功能-数据三级权限匹配。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完整操作日志与审计机制，可追溯、可核查。</w:t>
      </w:r>
    </w:p>
    <w:p>
      <w:r>
        <w:rPr>
          <w:rFonts w:ascii="黑体" w:hAnsi="黑体" w:eastAsia="黑体" w:cs="黑体"/>
          <w:b/>
          <w:color w:val="0891B2"/>
          <w:sz w:val="26"/>
        </w:rPr>
        <w:t>11.4 隐私保护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用户信息最小化原则，仅收集必要的账号信息。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所有分析均为聚合级、区域级，不定位到具体个人。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用户数据不对外共享、不出售，仅用于产品服务。</w:t>
      </w:r>
    </w:p>
    <w:p>
      <w:r>
        <w:rPr>
          <w:rFonts w:ascii="黑体" w:hAnsi="黑体" w:eastAsia="黑体" w:cs="黑体"/>
          <w:b/>
          <w:color w:val="0891B2"/>
          <w:sz w:val="26"/>
        </w:rPr>
        <w:t>11.5 合规机制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定期合规审计制度，每季度开展数据合规检查。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数据更新合规校验，确保数据来源与使用范围合规。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安全应急响应机制，数据安全事件分级处置。</w:t>
      </w:r>
    </w:p>
    <w:p>
      <w:r>
        <w:rPr>
          <w:rFonts w:ascii="黑体" w:hAnsi="黑体" w:eastAsia="黑体" w:cs="黑体"/>
          <w:b/>
          <w:color w:val="0E6EF6"/>
          <w:sz w:val="32"/>
        </w:rPr>
        <w:t>第十二章 经济与社会效益</w:t>
      </w:r>
    </w:p>
    <w:p>
      <w:r>
        <w:rPr>
          <w:rFonts w:ascii="黑体" w:hAnsi="黑体" w:eastAsia="黑体" w:cs="黑体"/>
          <w:b/>
          <w:color w:val="0891B2"/>
          <w:sz w:val="26"/>
        </w:rPr>
        <w:t>12.1 经济效益</w:t>
      </w:r>
    </w:p>
    <w:p>
      <w:r>
        <w:rPr>
          <w:rFonts w:ascii="黑体" w:hAnsi="黑体" w:eastAsia="黑体" w:cs="黑体"/>
          <w:b/>
          <w:sz w:val="23"/>
        </w:rPr>
        <w:t>12.1.1 直接经济效益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项目自身营收：3 年累计营收目标约1.03 亿元（具体按实际填写），并据此实现利润与税收贡献。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财政节约：减少政府各部门重复信息化建设投入，节约财政资金。</w:t>
      </w:r>
    </w:p>
    <w:p>
      <w:r>
        <w:rPr>
          <w:rFonts w:ascii="黑体" w:hAnsi="黑体" w:eastAsia="黑体" w:cs="黑体"/>
          <w:b/>
          <w:sz w:val="23"/>
        </w:rPr>
        <w:t>12.1.2 间接经济效益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企业端：提升决策效率、降低经营成本，带动企业产值提升。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文旅端：提升游览效率与消费意愿，带动文旅消费增长。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产业带动：带动空间智能、数据服务、人工智能相关产业发展。</w:t>
      </w:r>
    </w:p>
    <w:p>
      <w:r>
        <w:rPr>
          <w:rFonts w:ascii="黑体" w:hAnsi="黑体" w:eastAsia="黑体" w:cs="黑体"/>
          <w:b/>
          <w:sz w:val="23"/>
        </w:rPr>
        <w:t>12.1.3 长期经济价值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激活公共数据资产价值，探索公共数据市场化运营路径。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形成可输出的数字经济产品，带动区域数字经济发展。</w:t>
      </w:r>
    </w:p>
    <w:p>
      <w:r>
        <w:rPr>
          <w:rFonts w:ascii="黑体" w:hAnsi="黑体" w:eastAsia="黑体" w:cs="黑体"/>
          <w:b/>
          <w:color w:val="0891B2"/>
          <w:sz w:val="26"/>
        </w:rPr>
        <w:t>12.2 社会效益</w:t>
      </w:r>
    </w:p>
    <w:p>
      <w:r>
        <w:rPr>
          <w:rFonts w:ascii="黑体" w:hAnsi="黑体" w:eastAsia="黑体" w:cs="黑体"/>
          <w:b/>
          <w:sz w:val="23"/>
        </w:rPr>
        <w:t>12.2.1 治理效能提升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推动城市治理从"粗放管理"向"精细化治理"升级。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提升基层治理效率，释放基层人力投入到服务环节。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提升政府决策科学性与透明度。</w:t>
      </w:r>
    </w:p>
    <w:p>
      <w:r>
        <w:rPr>
          <w:rFonts w:ascii="黑体" w:hAnsi="黑体" w:eastAsia="黑体" w:cs="黑体"/>
          <w:b/>
          <w:sz w:val="23"/>
        </w:rPr>
        <w:t>12.2.2 公共服务升级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提升公共服务均等化水平，缩小区域、群体服务差距。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降低市民、企业办事成本，优化营商环境与生活体验。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服务入口普惠化，零门槛适配不同年龄、知识水平用户。</w:t>
      </w:r>
    </w:p>
    <w:p>
      <w:r>
        <w:rPr>
          <w:rFonts w:ascii="黑体" w:hAnsi="黑体" w:eastAsia="黑体" w:cs="黑体"/>
          <w:b/>
          <w:sz w:val="23"/>
        </w:rPr>
        <w:t>12.2.3 示范价值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打造公共数据运营的"西安样本"，形成可复制可推广模式。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探索 AI + 空间技术赋能城市发展的新路径。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为中西部城市数字化升级提供轻量化参考方案。</w:t>
      </w:r>
    </w:p>
    <w:p>
      <w:r>
        <w:rPr>
          <w:rFonts w:ascii="黑体" w:hAnsi="黑体" w:eastAsia="黑体" w:cs="黑体"/>
          <w:b/>
          <w:color w:val="0E6EF6"/>
          <w:sz w:val="32"/>
        </w:rPr>
        <w:t>第十三章 团队与组织架构</w:t>
      </w:r>
    </w:p>
    <w:p>
      <w:r>
        <w:rPr>
          <w:rFonts w:ascii="黑体" w:hAnsi="黑体" w:eastAsia="黑体" w:cs="黑体"/>
          <w:b/>
          <w:color w:val="0891B2"/>
          <w:sz w:val="26"/>
        </w:rPr>
        <w:t>13.1 核心团队背景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角色</w:t>
            </w:r>
          </w:p>
        </w:tc>
        <w:tc>
          <w:tcPr>
            <w:tcW w:type="dxa" w:w="3022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职责</w:t>
            </w:r>
          </w:p>
        </w:tc>
        <w:tc>
          <w:tcPr>
            <w:tcW w:type="dxa" w:w="3022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背景要求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产品负责人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产品规划、场景设计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政务/空间信息产品经验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技术负责人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架构、引擎、数据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GIS + AI 技术栈资深经验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空间数据专家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空间图层、数据治理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PostGIS/地图引擎专精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政企商务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政府与企业客户开拓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政企客户资源与交付经验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运营负责人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用户增长、内容运营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本地生活/政务运营经验</w:t>
            </w:r>
          </w:p>
        </w:tc>
      </w:tr>
    </w:tbl>
    <w:p>
      <w:r>
        <w:rPr>
          <w:rFonts w:ascii="黑体" w:hAnsi="黑体" w:eastAsia="黑体" w:cs="黑体"/>
          <w:b/>
          <w:color w:val="0891B2"/>
          <w:sz w:val="26"/>
        </w:rPr>
        <w:t>13.2 组织架构</w:t>
      </w:r>
    </w:p>
    <w:p>
      <w:pPr>
        <w:spacing w:after="80"/>
      </w:pPr>
      <w:r>
        <w:rPr>
          <w:rFonts w:ascii="黑体" w:hAnsi="黑体" w:eastAsia="黑体" w:cs="黑体"/>
          <w:b w:val="0"/>
          <w:sz w:val="21"/>
        </w:rPr>
        <w:t>设立研发、产品、政企、商业、运营五大部门：研发负责技术底座与数据工程；产品负责 99 项场景与体验；政企负责政府与大客户；商业负责定价、渠道与生态；运营负责用户增长与本地化。</w:t>
      </w:r>
    </w:p>
    <w:p>
      <w:r>
        <w:rPr>
          <w:rFonts w:ascii="黑体" w:hAnsi="黑体" w:eastAsia="黑体" w:cs="黑体"/>
          <w:b/>
          <w:color w:val="0891B2"/>
          <w:sz w:val="26"/>
        </w:rPr>
        <w:t>13.3 各阶段人力规划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阶段</w:t>
            </w:r>
          </w:p>
        </w:tc>
        <w:tc>
          <w:tcPr>
            <w:tcW w:type="dxa" w:w="3022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团队规模</w:t>
            </w:r>
          </w:p>
        </w:tc>
        <w:tc>
          <w:tcPr>
            <w:tcW w:type="dxa" w:w="3022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构成重点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启动验证期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15–20 人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研发 + 产品为主，少量政企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快速增长期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30–40 人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扩充政企 + 运营，商业成型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深耕成熟期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50–60 人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补齐数据运营、生态合作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区域扩张期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60 人以上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区域团队 + 交付复用体系</w:t>
            </w:r>
          </w:p>
        </w:tc>
      </w:tr>
    </w:tbl>
    <w:p>
      <w:r>
        <w:rPr>
          <w:rFonts w:ascii="黑体" w:hAnsi="黑体" w:eastAsia="黑体" w:cs="黑体"/>
          <w:b/>
          <w:color w:val="0E6EF6"/>
          <w:sz w:val="32"/>
        </w:rPr>
        <w:t>第十四章 财务预测</w:t>
      </w:r>
    </w:p>
    <w:p>
      <w:r>
        <w:rPr>
          <w:rFonts w:ascii="黑体" w:hAnsi="黑体" w:eastAsia="黑体" w:cs="黑体"/>
          <w:b/>
          <w:color w:val="0891B2"/>
          <w:sz w:val="26"/>
        </w:rPr>
        <w:t>14.1 预测假设与测算依据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营收按五类客群分层测算，政府项目按 6.3.2 分级报价，会员按 6.3.1 定价。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客户规模按西安本地市场渗透率保守假设，逐年爬坡。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成本按人力、研发、运营、销售四类归集，人力占比最高。</w:t>
      </w:r>
    </w:p>
    <w:p>
      <w:r>
        <w:rPr>
          <w:rFonts w:ascii="黑体" w:hAnsi="黑体" w:eastAsia="黑体" w:cs="黑体"/>
          <w:b/>
          <w:color w:val="0891B2"/>
          <w:sz w:val="26"/>
        </w:rPr>
        <w:t>14.2 三年营收预测（分客群）</w:t>
      </w:r>
    </w:p>
    <w:p>
      <w:pPr>
        <w:spacing w:after="80"/>
      </w:pPr>
      <w:r>
        <w:rPr>
          <w:rFonts w:ascii="黑体" w:hAnsi="黑体" w:eastAsia="黑体" w:cs="黑体"/>
          <w:b w:val="0"/>
          <w:sz w:val="21"/>
        </w:rPr>
        <w:t>以下为按客群分层、结合试点渗透率所作的三年营收预测，各数值均为参考值，具体按实际填写。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客群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第 1 年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第 2 年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第 3 年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政府端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350 万（具体按实际填写）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1,500 万（具体按实际填写）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3,200 万（具体按实际填写）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企业端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200 万（具体按实际填写）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800 万（具体按实际填写）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1,800 万（具体按实际填写）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小微商户端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100 万（具体按实际填写）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300 万（具体按实际填写）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700 万（具体按实际填写）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市民文旅端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100 万（具体按实际填写）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250 万（具体按实际填写）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500 万（具体按实际填写）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生态端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50 万（具体按实际填写）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150 万（具体按实际填写）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300 万（具体按实际填写）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合计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800 万（具体按实际填写）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3,000 万（具体按实际填写）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6,500 万（具体按实际填写）</w:t>
            </w:r>
          </w:p>
        </w:tc>
      </w:tr>
    </w:tbl>
    <w:p>
      <w:r>
        <w:rPr>
          <w:rFonts w:ascii="黑体" w:hAnsi="黑体" w:eastAsia="黑体" w:cs="黑体"/>
          <w:b/>
          <w:color w:val="0891B2"/>
          <w:sz w:val="26"/>
        </w:rPr>
        <w:t>14.3 成本结构预测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成本项</w:t>
            </w:r>
          </w:p>
        </w:tc>
        <w:tc>
          <w:tcPr>
            <w:tcW w:type="dxa" w:w="3022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占比</w:t>
            </w:r>
          </w:p>
        </w:tc>
        <w:tc>
          <w:tcPr>
            <w:tcW w:type="dxa" w:w="3022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说明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人力成本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55%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研发、产品、运营团队薪酬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研发成本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20%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云资源、数据采购、模型调用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运营成本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15%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市场推广、本地运营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销售成本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10%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政企销售、渠道佣金</w:t>
            </w:r>
          </w:p>
        </w:tc>
      </w:tr>
    </w:tbl>
    <w:p>
      <w:r>
        <w:rPr>
          <w:rFonts w:ascii="黑体" w:hAnsi="黑体" w:eastAsia="黑体" w:cs="黑体"/>
          <w:b/>
          <w:color w:val="0891B2"/>
          <w:sz w:val="26"/>
        </w:rPr>
        <w:t>14.4 利润与现金流预测</w:t>
      </w:r>
    </w:p>
    <w:p>
      <w:pPr>
        <w:spacing w:after="80"/>
      </w:pPr>
      <w:r>
        <w:rPr>
          <w:rFonts w:ascii="黑体" w:hAnsi="黑体" w:eastAsia="黑体" w:cs="黑体"/>
          <w:b w:val="0"/>
          <w:sz w:val="21"/>
        </w:rPr>
        <w:t>以下为利润与现金流预测，各数值均为参考值，具体按实际填写。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指标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第 1 年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第 2 年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第 3 年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营收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800 万（具体按实际填写）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3,000 万（具体按实际填写）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6,500 万（具体按实际填写）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总成本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1,200 万（具体按实际填写）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2,900 万（具体按实际填写）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5,600 万（具体按实际填写）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净利润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-400 万（具体按实际填写）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+100 万（具体按实际填写）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+900 万（具体按实际填写）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累计现金流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-400 万（具体按实际填写）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-300 万（具体按实际填写）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+600 万（具体按实际填写）</w:t>
            </w:r>
          </w:p>
        </w:tc>
      </w:tr>
    </w:tbl>
    <w:p>
      <w:r>
        <w:rPr>
          <w:rFonts w:ascii="黑体" w:hAnsi="黑体" w:eastAsia="黑体" w:cs="黑体"/>
          <w:b/>
          <w:color w:val="0891B2"/>
          <w:sz w:val="26"/>
        </w:rPr>
        <w:t>14.5 盈亏平衡点测算</w:t>
      </w:r>
    </w:p>
    <w:p>
      <w:pPr>
        <w:spacing w:after="80"/>
      </w:pPr>
      <w:r>
        <w:rPr>
          <w:rFonts w:ascii="黑体" w:hAnsi="黑体" w:eastAsia="黑体" w:cs="黑体"/>
          <w:b w:val="0"/>
          <w:sz w:val="21"/>
        </w:rPr>
        <w:t>按当前成本结构与渗透假设，预计累计营收约2,500 万元（具体按实际填写）时（约第 2 年）实现单月盈亏平衡、逐步进入年度盈利。</w:t>
      </w:r>
    </w:p>
    <w:p>
      <w:r>
        <w:rPr>
          <w:rFonts w:ascii="黑体" w:hAnsi="黑体" w:eastAsia="黑体" w:cs="黑体"/>
          <w:b/>
          <w:color w:val="0891B2"/>
          <w:sz w:val="26"/>
        </w:rPr>
        <w:t>14.6 核心财务指标</w:t>
      </w:r>
    </w:p>
    <w:p>
      <w:r>
        <w:rPr>
          <w:rFonts w:ascii="黑体" w:hAnsi="黑体" w:eastAsia="黑体" w:cs="黑体"/>
          <w:b/>
          <w:color w:val="0E6EF6"/>
          <w:sz w:val="32"/>
        </w:rPr>
        <w:t>1.03 亿3 年累计营收（具体按实际填写）</w:t>
        <w:br/>
        <w:t xml:space="preserve">  第 2 年盈亏平衡时点（具体按实际填写）</w:t>
        <w:br/>
        <w:t xml:space="preserve">  +600 万第 3 年累计现金流（具体按实际填写）</w:t>
        <w:br/>
        <w:br/>
        <w:br/>
        <w:br/>
        <w:t>第十五章 风险分析与应对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风险类型</w:t>
            </w:r>
          </w:p>
        </w:tc>
        <w:tc>
          <w:tcPr>
            <w:tcW w:type="dxa" w:w="3022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风险描述</w:t>
            </w:r>
          </w:p>
        </w:tc>
        <w:tc>
          <w:tcPr>
            <w:tcW w:type="dxa" w:w="3022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应对措施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政策合规风险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公共数据开放政策变化、授权范围调整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仅用公开授权数据，动态跟踪政策，季度合规审计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市场竞争风险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大厂或传统厂商进入同赛道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强化场景与本地化壁垒，快速复制先发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商业化不及预期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付费转化低于预期、政企周期长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分层定价 + 免费获客，政府项目与会员双轮驱动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数据质量风险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公开数据时效、精度不足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多源校验、异常标注、边界说明、更新机制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技术风险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空间计算、AI 意图识别精度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开源成熟栈 + 持续调优，模块化隔离降级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项目交付风险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政府项目交付周期与验收风险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标准模板化交付，试点先行、分批验收</w:t>
            </w:r>
          </w:p>
        </w:tc>
      </w:tr>
    </w:tbl>
    <w:p>
      <w:r>
        <w:rPr>
          <w:rFonts w:ascii="黑体" w:hAnsi="黑体" w:eastAsia="黑体" w:cs="黑体"/>
          <w:b/>
          <w:color w:val="0E6EF6"/>
          <w:sz w:val="32"/>
        </w:rPr>
        <w:t>第十六章 附录</w:t>
      </w:r>
    </w:p>
    <w:p>
      <w:r>
        <w:rPr>
          <w:rFonts w:ascii="黑体" w:hAnsi="黑体" w:eastAsia="黑体" w:cs="黑体"/>
          <w:b/>
          <w:color w:val="0891B2"/>
          <w:sz w:val="26"/>
        </w:rPr>
        <w:t>16.1 附录一：99 项功能模块详细清单</w:t>
      </w:r>
    </w:p>
    <w:p>
      <w:r>
        <w:rPr>
          <w:rFonts w:ascii="黑体" w:hAnsi="黑体" w:eastAsia="黑体" w:cs="黑体"/>
          <w:b/>
          <w:sz w:val="23"/>
        </w:rPr>
        <w:t>一、市民服务（24 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编号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功能名称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功能简介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C01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智慧停车公开车位查询与停车风险提示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模式A·空间地理类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已接入市公共停车场动态余位、路内泊位与近 12 个月违停执法数据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C02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车辆违章年检政策、交管网点查询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模式B·办事流程类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已匹配「违章处理 + 机动车年检」联办流程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C03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物业邻里纠纷维权政策指引、监管点位查询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模式B·办事流程类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已匹配物业纠纷调解流程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C04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垃圾分类、大件旧物回收点位与规则查询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模式B·办事流程类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已匹配生活垃圾分类与大件垃圾回收流程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C05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快递驿站、公共快递柜就近点位查询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模式A·空间地理类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已接入主要快递末端备案网点与公共智能柜数据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C06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宠物办证政策、免疫点位、遛狗管控区域查询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模式B·办事流程类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已匹配养犬登记流程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C07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学区边界查询、入学转学政策解读、学位公开预警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模式D·分析评估类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已匹配雁塔区义务教育招生学区划片数据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C08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养老服务站点、适老化改造补贴政策查询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模式B·办事流程类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已匹配养老服务与适老化改造补贴政策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C09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水电气暖公开检修公告、线下营业厅点位查询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模式B·办事流程类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已匹配市政公用事业检修公告与营业厅数据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C10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社区医疗、疫苗接种点、医保政策与定点机构查询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模式B·办事流程类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已匹配预防接种门诊与医保定点机构数据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C11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15分钟生活圈公共配套体检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模式D·分析评估类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已基于 15 分钟生活圈标准完成配套体检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C12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城市避险、应急避难场所、气象灾害预警空间查询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模式A·空间地理类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已匹配应急避难场所与气象预警数据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C13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户政业务办理指南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模式B·办事流程类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已匹配户政业务办理流程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C14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公共法律服务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模式B·办事流程类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已匹配公共法律服务资源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C15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公积金业务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模式B·办事流程类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已匹配住房公积金业务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C16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就业服务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模式B·办事流程类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已匹配就业服务与失业保险流程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C17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菜市场、便民生鲜市场、早市点位查询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模式A·空间地理类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已接入全市农贸市场与便民早市备案数据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C18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公共体育场馆、健身路径、口袋公园、绿道空间查询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模式A·空间地理类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已接入公共体育设施普查数据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C19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城市公园、景区、开放式绿地点位查询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模式A·空间地理类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已接入城市公园与开放式绿地名录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C20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非机动车停放点、共享单车停放区查询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模式A·空间地理类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已接入共享单车电子围栏与备案停放区数据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C21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无障碍设施全域查询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模式A·空间地理类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已接入无障碍设施普查数据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C22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母婴服务、普惠托育点位查询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模式A·空间地理类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已接入母婴设施与普惠托育机构名录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C23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殡葬服务、公墓、殡仪服务机构查询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模式B·办事流程类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已匹配殡葬服务办理流程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C24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政务服务中心、24小时自助政务终端点位查询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模式A·空间地理类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已接入政务服务中心与 24 小时自助终端数据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二、游客文旅（14 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编号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功能名称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功能简介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T01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景区周边便民设施查询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模式A·空间地理类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已接入景区周边便民设施图层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T02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行李寄存、公共充电宝租赁服务点位查询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模式A·空间地理类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已接入行李寄存与共享充电宝网点数据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T03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城市打卡机位、历史文化点位推荐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模式A·空间地理类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已匹配城市打卡机位库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T04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公共交通/自驾路线规划、出行费用预估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模式A·空间地理类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已完成多方案比选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T05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本地特色餐饮POI筛选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模式A·空间地理类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已按本地口碑与人均价格筛选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T06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历史文化遗址、非遗点位空间检索与AI文化讲解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模式A·空间地理类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已定位 6 处文化点位并生成 AI 讲解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T07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节假日景区客流聚合预判、拥堵提示与游览推演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模式E·仿真推演类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已启动客流仿真推演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T08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西安周边乡村旅游点位查询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模式A·空间地理类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已筛选西安周边 1.5 小时车程内乡村游点位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T09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主题线路定制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模式A·空间地理类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已为你生成「盛唐一日」主题线路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T10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交通枢纽接驳方案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模式A·空间地理类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已生成枢纽接驳方案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T11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文旅惠民政策指引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模式C·政策清单类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已匹配文旅惠民政策清单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T12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城市节庆活动查询与推荐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模式C·政策清单类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已匹配近期城市节庆活动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T13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景区停车场、周边停车点位查询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模式A·空间地理类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已接入景区停车场实时余位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T14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游客中心、旅游咨询点点位查询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模式A·空间地理类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已定位旅游咨询服务点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三、企业服务（24 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编号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功能名称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功能简介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E01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厂房/仓库/写字楼选址空间评估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模式D·分析评估类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已完成 6 个候选地块的空间评估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E02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工程建设立项报建办事指引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模式B·办事流程类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已匹配工程建设立项报建流程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E03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企业环评、排污管控规则自查，生态红线空间筛查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模式D·分析评估类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已完成空间筛查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E04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安全生产、消防、特种设备法规自查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模式B·办事流程类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已生成安全生产、消防与特种设备自查清单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E05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地块市政管网能力评估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模式D·分析评估类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已完成地块市政管网能力评估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E06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货运货车通行规则、通行路线规划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模式A·空间地理类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已匹配货运车辆通行规则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E07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产业/科创/技改补贴政策智能匹配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模式C·政策清单类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已按企业画像匹配政策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E08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工厂选址劳动力通勤圈空间研判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模式D·分析评估类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已完成劳动力通勤圈研判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E09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知识产权申报办事指南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模式B·办事流程类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已匹配知识产权申报流程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E10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工商变更、注销、财税政策指引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模式B·办事流程类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已匹配企业注销流程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E11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商圈空间研判、竞品工商分布、业态聚合分析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模式D·分析评估类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已完成小寨商圈研判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E12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本地产业链上下游企业空间匹配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模式A·空间地理类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已匹配本地产业链企业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E13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工业企业搬迁关停、土壤调查政策指引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模式B·办事流程类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已匹配工业企业搬迁与土壤污染状况调查流程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E14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企业选址气象、地质灾害风险空间筛查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模式D·分析评估类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已完成风险空间筛查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E15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企业周边公共配套评估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模式D·分析评估类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已完成企业周边公共配套评估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E16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企业开办全流程指引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模式B·办事流程类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已匹配企业开办一网通办流程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E17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企业信用、经营异常名录公开信息查询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模式C·政策清单类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已调取企业信用公开信息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E18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产业园区配套设施、入驻政策查询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模式C·政策清单类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已匹配 5 个可入驻园区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E19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政府采购、招投标公开信息查询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模式C·政策清单类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已匹配政府采购与招投标公开信息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E20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稳岗返还、社保补贴、吸纳就业政策匹配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模式C·政策清单类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已匹配就业类政策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E21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科技型企业认定办事指引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模式B·办事流程类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已匹配科技型企业认定流程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E22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海关进出口、跨境电商政策指引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模式B·办事流程类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已匹配进出口与跨境电商办理流程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E23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中小企业公共服务平台、服务机构查询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模式A·空间地理类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已定位中小企业公共服务资源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E24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环保信用、安全生产信用分级查询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模式C·政策清单类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已调取信用评价公开信息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四、小微商户（10 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编号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功能名称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功能简介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M01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门头招牌、户外广告路段管控规则自查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模式B·办事流程类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已匹配户外招牌设置规则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M02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街区外摆经营、噪音管控规则自查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模式B·办事流程类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已匹配外摆经营与噪音管控规则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M03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商户经营风险监管政策指引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模式B·办事流程类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已梳理小微商户高频经营风险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M04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个体户年报、零申报财税政策、网点查询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模式B·办事流程类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已匹配个体户年报与零申报规则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M05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食品经营、健康证办理规则与点位查询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模式B·办事流程类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已匹配食品经营与健康证办理流程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M06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个体工商户开业登记、变更、注销指引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模式B·办事流程类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已匹配个体工商户全生命周期流程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M07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小餐饮食品经营许可办理指引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模式B·办事流程类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已匹配小餐饮许可办理路径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M08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临时占道经营许可办理流程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模式B·办事流程类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已匹配临时占道许可流程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M09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夜市、集市、便民点入驻政策与点位查询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模式C·政策清单类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已匹配夜市与便民点入驻政策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M10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个体工商户纾困补贴、税费减免政策匹配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模式C·政策清单类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已匹配税费减免与纾困政策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五、政府治理（27 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编号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功能名称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功能简介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G01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沿街商铺台账空间盘点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模式F·台账统计类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已完成沿街商铺台账空间盘点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G02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环卫、渣土作业轨迹分析与覆盖热力研判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模式D·分析评估类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已完成作业轨迹与覆盖热力分析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G03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城市市政设施病害点位巡检分析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模式F·台账统计类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已完成市政设施病害巡检分析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G04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流动摊贩、占道经营工单聚合热力研判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模式D·分析评估类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已完成工单聚合热力研判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G05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校园、医院周边重点区域秩序空间分析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模式D·分析评估类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已完成重点区域秩序分析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G06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古树名木、行道树绿化隐患巡检分析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模式F·台账统计类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已完成绿化隐患巡检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G07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城市暴雨内涝情景仿真推演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模式E·仿真推演类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已启动暴雨内涝仿真推演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G08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噪声投诉聚合热力分析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模式D·分析评估类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已完成噪声投诉聚合分析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G09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公共服务设施均等化评估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模式D·分析评估类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已完成公共服务设施均等化评估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G10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国土空间低效用地、闲置地块筛查盘活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模式D·分析评估类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已完成低效用地筛查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G11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国土空间规划符合性辅助审查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模式D·分析评估类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已完成规划符合性辅助审查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G12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人口空间分布与公共服务资源匹配分析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模式D·分析评估类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已完成人口与资源匹配分析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G13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城市更新、老旧小区改造空间评估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模式D·分析评估类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已完成老旧小区改造评估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G14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全域停车资源普查与空间分布分析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模式F·台账统计类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已完成全域停车资源普查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G15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公共交通线网覆盖评估与优化分析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模式D·分析评估类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已完成公交线网覆盖评估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G16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城市绿地系统空间格局与服务半径分析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模式D·分析评估类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已完成绿地系统分析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G17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应急避难场所布局评估与覆盖人口分析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模式D·分析评估类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已完成应急避难场所评估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G18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全域民生诉求空间聚合与热点分析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模式D·分析评估类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已完成民生诉求聚合分析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G19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招商引资产业空间布局适配分析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模式D·分析评估类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已完成产业空间适配分析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G20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土地利用动态变化监测与规划符合性比对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模式D·分析评估类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已完成土地利用变化监测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G21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地下管网综合分析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模式D·分析评估类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已完成地下管网综合分析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G22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建筑工地扬尘管控区域分析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模式D·分析评估类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已完成扬尘管控分析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G23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城市照明、路灯亮化覆盖率与病害分析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模式F·台账统计类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已完成照明设施普查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G24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养老服务设施布局优化与缺口分析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模式D·分析评估类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已完成养老设施布局分析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G25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托育资源空间布局评估与供需分析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模式D·分析评估类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已完成托育资源供需分析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G26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全民健身设施布局均衡性分析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模式D·分析评估类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已完成全民健身设施均衡性分析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G27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学校、医院布局优化与服务半径评估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模式D·分析评估类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已完成学校与医院布局评估</w:t>
            </w:r>
          </w:p>
        </w:tc>
      </w:tr>
    </w:tbl>
    <w:p>
      <w:r>
        <w:rPr>
          <w:rFonts w:ascii="黑体" w:hAnsi="黑体" w:eastAsia="黑体" w:cs="黑体"/>
          <w:b/>
          <w:color w:val="0891B2"/>
          <w:sz w:val="26"/>
        </w:rPr>
        <w:t>16.2 附录二：产品核心页面与原型说明</w:t>
      </w:r>
    </w:p>
    <w:p>
      <w:pPr>
        <w:spacing w:after="80"/>
      </w:pPr>
      <w:r>
        <w:rPr>
          <w:rFonts w:ascii="黑体" w:hAnsi="黑体" w:eastAsia="黑体" w:cs="黑体"/>
          <w:b w:val="0"/>
          <w:sz w:val="21"/>
        </w:rPr>
        <w:t>原型采用「首页极简输入 + 业务页三栏布局」的 PC 端与「瀑布流对话」的 App 端，六大展示模式（A 空间地理、B 办事流程、C 政策清单、D 分析评估、E 仿真推演、F 台账统计）统一承载 99 项功能，双端互切同一模块。</w:t>
      </w:r>
    </w:p>
    <w:p>
      <w:r>
        <w:rPr>
          <w:rFonts w:ascii="黑体" w:hAnsi="黑体" w:eastAsia="黑体" w:cs="黑体"/>
          <w:b/>
          <w:color w:val="0891B2"/>
          <w:sz w:val="26"/>
        </w:rPr>
        <w:t>16.3 附录三：市场数据测算依据与来源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常住人口约 1300 万、年接待游客约 3.2 亿人次、市场主体约 150 万家、个体工商户约 100 万户——取自西安市政府公开统计公报口径。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市场规模为按渗透率折算的 3 年可触达市场（TAM），非存量市场，属估算值。</w:t>
      </w:r>
    </w:p>
    <w:p>
      <w:r>
        <w:rPr>
          <w:rFonts w:ascii="黑体" w:hAnsi="黑体" w:eastAsia="黑体" w:cs="黑体"/>
          <w:b/>
          <w:color w:val="0891B2"/>
          <w:sz w:val="26"/>
        </w:rPr>
        <w:t>16.4 附录四：政府试点合作方案（模板）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试点对象：1–2 个区县或委办局。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试点范围：精选 2–5 个治理/便民模块。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合作模式：基础服务免费 + 定制课题付费，数据仅用公开授权口径。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验收标准：巡检效率、分析周期等量化指标达成。</w:t>
      </w:r>
    </w:p>
    <w:p>
      <w:r>
        <w:rPr>
          <w:rFonts w:ascii="黑体" w:hAnsi="黑体" w:eastAsia="黑体" w:cs="黑体"/>
          <w:b/>
          <w:color w:val="0891B2"/>
          <w:sz w:val="26"/>
        </w:rPr>
        <w:t>16.5 附录五：技术架构图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>入口层   PC 网页端 + App 移动端（统一自然语言入口）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          ↓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>应用层   五大场景 · 99 项功能模块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          ↓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>引擎层   AI 语义引擎 | Geo 空间计算 | 政策匹配 | 仿真推演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          ↓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>数据层   公共政务数据 + 公开社会数据 + 空间地理图层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 xml:space="preserve">            ↓</w:t>
      </w:r>
    </w:p>
    <w:p>
      <w:pPr>
        <w:spacing w:after="0"/>
      </w:pPr>
      <w:r>
        <w:rPr>
          <w:rFonts w:ascii="Consolas" w:hAnsi="Consolas" w:eastAsia="黑体" w:cs="黑体"/>
          <w:b w:val="0"/>
          <w:sz w:val="17"/>
        </w:rPr>
        <w:t>底座     PostgreSQL + PostGIS · MapLibre · 开源大模型</w:t>
      </w:r>
    </w:p>
    <w:p>
      <w:r>
        <w:rPr>
          <w:rFonts w:ascii="黑体" w:hAnsi="黑体" w:eastAsia="黑体" w:cs="黑体"/>
          <w:b/>
          <w:color w:val="0891B2"/>
          <w:sz w:val="26"/>
        </w:rPr>
        <w:t>16.6 附录六：核心团队简历</w:t>
      </w:r>
    </w:p>
    <w:p>
      <w:pPr>
        <w:spacing w:after="80"/>
      </w:pPr>
      <w:r>
        <w:rPr>
          <w:rFonts w:ascii="黑体" w:hAnsi="黑体" w:eastAsia="黑体" w:cs="黑体"/>
          <w:b w:val="0"/>
          <w:sz w:val="21"/>
        </w:rPr>
        <w:t>核心团队成员简介与履历（详见第十三章团队规划），正式对外融资/立项申报时按实际团队信息补充。</w:t>
      </w:r>
    </w:p>
    <w:sectPr w:rsidR="00FC693F" w:rsidRPr="0006063C" w:rsidSect="00034616">
      <w:pgSz w:w="12240" w:h="15840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黑体" w:hAnsi="黑体" w:eastAsia="黑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