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b/>
          <w:bCs/>
          <w:color w:val="1F4E79"/>
          <w:sz w:val="28"/>
          <w:szCs w:val="28"/>
        </w:rPr>
        <w:t xml:space="preserve">UNIVERSITÉ NANGUI ABROGOUA</w:t>
      </w:r>
    </w:p>
    <w:p>
      <w:pPr>
        <w:spacing w:after="120"/>
        <w:jc w:val="center"/>
      </w:pPr>
      <w:r>
        <w:rPr>
          <w:color w:val="595959"/>
          <w:sz w:val="22"/>
          <w:szCs w:val="22"/>
        </w:rPr>
        <w:t xml:space="preserve">UFR Sciences Fondamentales et Appliquées</w:t>
      </w:r>
    </w:p>
    <w:p>
      <w:pPr>
        <w:spacing w:after="800"/>
        <w:jc w:val="center"/>
      </w:pPr>
      <w:r>
        <w:rPr>
          <w:i/>
          <w:iCs/>
          <w:color w:val="595959"/>
          <w:sz w:val="22"/>
          <w:szCs w:val="22"/>
        </w:rPr>
        <w:t xml:space="preserve">Master 2 — Génie Informatique</w:t>
      </w:r>
    </w:p>
    <w:p>
      <w:pPr>
        <w:spacing w:after="200"/>
        <w:jc w:val="center"/>
      </w:pPr>
      <w:r>
        <w:rPr>
          <w:b/>
          <w:bCs/>
          <w:color w:val="2E75B6"/>
          <w:sz w:val="24"/>
          <w:szCs w:val="24"/>
        </w:rPr>
        <w:t xml:space="preserve">MODULE D'ANALYSE NUMÉRIQUE</w:t>
      </w:r>
    </w:p>
    <w:p>
      <w:pPr>
        <w:spacing w:after="200" w:before="200"/>
        <w:jc w:val="center"/>
      </w:pPr>
      <w:r>
        <w:rPr>
          <w:b/>
          <w:bCs/>
          <w:color w:val="595959"/>
          <w:sz w:val="28"/>
          <w:szCs w:val="28"/>
        </w:rPr>
        <w:t xml:space="preserve">PROJET 3</w:t>
      </w:r>
    </w:p>
    <w:p>
      <w:pPr>
        <w:pBdr>
          <w:top w:val="single" w:color="1F4E79" w:sz="12" w:space="12"/>
          <w:bottom w:val="single" w:color="1F4E79" w:sz="12" w:space="12"/>
        </w:pBdr>
        <w:spacing w:after="200" w:before="400"/>
        <w:jc w:val="center"/>
      </w:pPr>
      <w:r>
        <w:rPr>
          <w:b/>
          <w:bCs/>
          <w:color w:val="1F4E79"/>
          <w:sz w:val="40"/>
          <w:szCs w:val="40"/>
        </w:rPr>
        <w:t xml:space="preserve">SOLARVILLAGE</w:t>
      </w:r>
    </w:p>
    <w:p>
      <w:pPr>
        <w:spacing w:after="800" w:before="200"/>
        <w:jc w:val="center"/>
      </w:pPr>
      <w:r>
        <w:rPr>
          <w:i/>
          <w:iCs/>
          <w:color w:val="595959"/>
          <w:sz w:val="24"/>
          <w:szCs w:val="24"/>
        </w:rPr>
        <w:t xml:space="preserve">Dimensionnement optimal de systèmes solaires pour villages enclavés</w:t>
      </w:r>
    </w:p>
    <w:p>
      <w:pPr>
        <w:spacing w:after="100" w:before="400"/>
        <w:jc w:val="center"/>
      </w:pPr>
      <w:r>
        <w:rPr>
          <w:i/>
          <w:iCs/>
          <w:color w:val="2E75B6"/>
          <w:sz w:val="22"/>
          <w:szCs w:val="22"/>
        </w:rPr>
        <w:t xml:space="preserve">Cahier des charges, architecture mathématique et découpage en livrables</w:t>
      </w:r>
    </w:p>
    <w:p>
      <w:pPr>
        <w:spacing w:after="100" w:before="1400"/>
        <w:jc w:val="center"/>
      </w:pPr>
      <w:r>
        <w:rPr>
          <w:b/>
          <w:bCs/>
          <w:sz w:val="22"/>
          <w:szCs w:val="22"/>
        </w:rPr>
        <w:t xml:space="preserve">Présenté par : DAOUDA</w:t>
      </w:r>
    </w:p>
    <w:p>
      <w:pPr>
        <w:spacing w:after="100"/>
        <w:jc w:val="center"/>
      </w:pPr>
      <w:r>
        <w:rPr>
          <w:color w:val="595959"/>
          <w:sz w:val="20"/>
          <w:szCs w:val="20"/>
        </w:rPr>
        <w:t xml:space="preserve">Étudiant en Master 2 Génie Informatique</w:t>
      </w:r>
    </w:p>
    <w:p>
      <w:pPr>
        <w:spacing w:after="100"/>
        <w:jc w:val="center"/>
      </w:pPr>
      <w:r>
        <w:rPr>
          <w:color w:val="595959"/>
          <w:sz w:val="20"/>
          <w:szCs w:val="20"/>
        </w:rPr>
        <w:t xml:space="preserve">Année académique 2025 – 2026</w:t>
      </w:r>
    </w:p>
    <w:p>
      <w:pPr>
        <w:spacing w:after="100"/>
        <w:jc w:val="center"/>
      </w:pPr>
      <w:r>
        <w:rPr>
          <w:i/>
          <w:iCs/>
          <w:color w:val="595959"/>
          <w:sz w:val="20"/>
          <w:szCs w:val="20"/>
        </w:rPr>
        <w:t xml:space="preserve">Abidjan, Côte d'Ivoire</w:t>
      </w:r>
    </w:p>
    <w:p>
      <w:r>
        <w:br w:type="page"/>
      </w:r>
    </w:p>
    <w:p>
      <w:pPr>
        <w:pStyle w:val="Heading1"/>
        <w:spacing w:after="300" w:before="200"/>
      </w:pPr>
      <w: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t xml:space="preserve">1. Présentation du projet</w:t>
      </w:r>
    </w:p>
    <w:p>
      <w:pPr>
        <w:spacing w:after="120" w:line="300"/>
        <w:jc w:val="both"/>
      </w:pPr>
      <w:r>
        <w:t xml:space="preserve">SolarVillage est une application de dimensionnement optimal de systèmes solaires photovoltaïques autonomes pour villages enclavés d'Afrique subsaharienne. Le projet combine la modélisation physique de la production solaire, la simulation dynamique de systèmes énergétiques et l'optimisation multi-objectifs pour calculer le couple optimal panneaux-batteries.</w:t>
      </w:r>
    </w:p>
    <w:p>
      <w:pPr>
        <w:spacing w:after="120" w:line="300"/>
        <w:jc w:val="both"/>
      </w:pPr>
      <w:r>
        <w:t xml:space="preserve">Le projet mobilise un large spectre des méthodes étudiées en analyse numérique : interpolation spline 2D, intégration numérique d'ordre élevé, optimisation non linéaire et techniques de Monte-Carlo. Il offre par ailleurs une extension naturelle vers l'instrumentation IoT, en synergie avec le projet M'BoNéo.</w:t>
      </w:r>
    </w:p>
    <w:p>
      <w:pPr>
        <w:pStyle w:val="Heading1"/>
        <w:spacing w:after="200" w:before="360"/>
      </w:pPr>
      <w:r>
        <w:t xml:space="preserve">2. Cahier des charges</w:t>
      </w:r>
    </w:p>
    <w:p>
      <w:pPr>
        <w:pStyle w:val="Heading2"/>
        <w:spacing w:after="160" w:before="280"/>
      </w:pPr>
      <w:r>
        <w:t xml:space="preserve">2.1 Contexte et justification</w:t>
      </w:r>
    </w:p>
    <w:p>
      <w:pPr>
        <w:spacing w:after="120" w:line="300"/>
        <w:jc w:val="both"/>
      </w:pPr>
      <w:r>
        <w:t xml:space="preserve">Plus de 600 millions d'Africains demeurent privés d'accès à l'électricité, dans des zones où l'extension du réseau national n'est pas économiquement viable. Le solaire photovoltaïque off-grid couplé à un stockage par batteries constitue la solution technique de référence, mais le dimensionnement reste un défi : surdimensionner alourdit le coût initial, sous-dimensionner provoque des coupures fréquentes qui décrédibilisent le service.</w:t>
      </w:r>
    </w:p>
    <w:p>
      <w:pPr>
        <w:spacing w:after="120" w:line="300"/>
        <w:jc w:val="both"/>
      </w:pPr>
      <w:r>
        <w:t xml:space="preserve">SolarVillage propose une application calculant le couple optimal (puissance crête, capacité batterie) pour un village donné, à partir des données géographiques, météorologiques et du profil de consommation prévisionnel.</w:t>
      </w:r>
    </w:p>
    <w:p>
      <w:pPr>
        <w:pStyle w:val="Heading2"/>
        <w:spacing w:after="160" w:before="280"/>
      </w:pPr>
      <w:r>
        <w:t xml:space="preserve">2.2 Objectifs fonctionnels</w:t>
      </w:r>
    </w:p>
    <w:p>
      <w:pPr>
        <w:pStyle w:val="ListParagraph"/>
        <w:numPr>
          <w:ilvl w:val="0"/>
          <w:numId w:val="2"/>
        </w:numPr>
        <w:spacing w:after="80" w:line="280"/>
        <w:jc w:val="both"/>
      </w:pPr>
      <w:r>
        <w:t xml:space="preserve">Estimation de l'irradiance solaire annuelle au point GPS du village.</w:t>
      </w:r>
    </w:p>
    <w:p>
      <w:pPr>
        <w:pStyle w:val="ListParagraph"/>
        <w:numPr>
          <w:ilvl w:val="0"/>
          <w:numId w:val="2"/>
        </w:numPr>
        <w:spacing w:after="80" w:line="280"/>
        <w:jc w:val="both"/>
      </w:pPr>
      <w:r>
        <w:t xml:space="preserve">Modélisation de la production photovoltaïque horaire sur une année type.</w:t>
      </w:r>
    </w:p>
    <w:p>
      <w:pPr>
        <w:pStyle w:val="ListParagraph"/>
        <w:numPr>
          <w:ilvl w:val="0"/>
          <w:numId w:val="2"/>
        </w:numPr>
        <w:spacing w:after="80" w:line="280"/>
        <w:jc w:val="both"/>
      </w:pPr>
      <w:r>
        <w:t xml:space="preserve">Modélisation de profils de consommation typiques (foyer, école, dispensaire, pompage).</w:t>
      </w:r>
    </w:p>
    <w:p>
      <w:pPr>
        <w:pStyle w:val="ListParagraph"/>
        <w:numPr>
          <w:ilvl w:val="0"/>
          <w:numId w:val="2"/>
        </w:numPr>
        <w:spacing w:after="80" w:line="280"/>
        <w:jc w:val="both"/>
      </w:pPr>
      <w:r>
        <w:t xml:space="preserve">Optimisation du couple (Pcrête, Cbatterie) sous contrainte de fiabilité (LPSP).</w:t>
      </w:r>
    </w:p>
    <w:p>
      <w:pPr>
        <w:pStyle w:val="ListParagraph"/>
        <w:numPr>
          <w:ilvl w:val="0"/>
          <w:numId w:val="2"/>
        </w:numPr>
        <w:spacing w:after="80" w:line="280"/>
        <w:jc w:val="both"/>
      </w:pPr>
      <w:r>
        <w:t xml:space="preserve">Génération automatique d'un rapport technique de dimensionnement.</w:t>
      </w:r>
    </w:p>
    <w:p>
      <w:pPr>
        <w:pStyle w:val="Heading2"/>
        <w:spacing w:after="160" w:before="280"/>
      </w:pPr>
      <w:r>
        <w:t xml:space="preserve">2.3 Utilisateurs cibles</w:t>
      </w:r>
    </w:p>
    <w:p>
      <w:pPr>
        <w:pStyle w:val="ListParagraph"/>
        <w:numPr>
          <w:ilvl w:val="0"/>
          <w:numId w:val="2"/>
        </w:numPr>
        <w:spacing w:after="80" w:line="280"/>
        <w:jc w:val="both"/>
      </w:pPr>
      <w:r>
        <w:t xml:space="preserve">ONG d'électrification rurale (Energy 4 Impact, Practical Action, Lighting Africa).</w:t>
      </w:r>
    </w:p>
    <w:p>
      <w:pPr>
        <w:pStyle w:val="ListParagraph"/>
        <w:numPr>
          <w:ilvl w:val="0"/>
          <w:numId w:val="2"/>
        </w:numPr>
        <w:spacing w:after="80" w:line="280"/>
        <w:jc w:val="both"/>
      </w:pPr>
      <w:r>
        <w:t xml:space="preserve">Bureaux d'études en énergies renouvelables et installateurs locaux.</w:t>
      </w:r>
    </w:p>
    <w:p>
      <w:pPr>
        <w:pStyle w:val="ListParagraph"/>
        <w:numPr>
          <w:ilvl w:val="0"/>
          <w:numId w:val="2"/>
        </w:numPr>
        <w:spacing w:after="80" w:line="280"/>
        <w:jc w:val="both"/>
      </w:pPr>
      <w:r>
        <w:t xml:space="preserve">Coopératives villageoises et structures de gestion communautaires.</w:t>
      </w:r>
    </w:p>
    <w:p>
      <w:pPr>
        <w:pStyle w:val="ListParagraph"/>
        <w:numPr>
          <w:ilvl w:val="0"/>
          <w:numId w:val="2"/>
        </w:numPr>
        <w:spacing w:after="80" w:line="280"/>
        <w:jc w:val="both"/>
      </w:pPr>
      <w:r>
        <w:t xml:space="preserve">Bailleurs de fonds (Banque Mondiale, BAD, AFD) pour études de faisabilité.</w:t>
      </w:r>
    </w:p>
    <w:p>
      <w:pPr>
        <w:pStyle w:val="Heading2"/>
        <w:spacing w:after="160" w:before="280"/>
      </w:pPr>
      <w:r>
        <w:t xml:space="preserve">2.4 Contraintes techniques et qualité</w:t>
      </w:r>
    </w:p>
    <w:p>
      <w:pPr>
        <w:pStyle w:val="ListParagraph"/>
        <w:numPr>
          <w:ilvl w:val="0"/>
          <w:numId w:val="2"/>
        </w:numPr>
        <w:spacing w:after="80" w:line="280"/>
        <w:jc w:val="both"/>
      </w:pPr>
      <w:r>
        <w:t xml:space="preserve">Connexion possible à des capteurs IoT pour calibration in situ (extension du projet M'BoNéo).</w:t>
      </w:r>
    </w:p>
    <w:p>
      <w:pPr>
        <w:pStyle w:val="ListParagraph"/>
        <w:numPr>
          <w:ilvl w:val="0"/>
          <w:numId w:val="2"/>
        </w:numPr>
        <w:spacing w:after="80" w:line="280"/>
        <w:jc w:val="both"/>
      </w:pPr>
      <w:r>
        <w:t xml:space="preserve">Fonctionnement entièrement hors ligne après synchronisation initiale des données.</w:t>
      </w:r>
    </w:p>
    <w:p>
      <w:pPr>
        <w:pStyle w:val="ListParagraph"/>
        <w:numPr>
          <w:ilvl w:val="0"/>
          <w:numId w:val="2"/>
        </w:numPr>
        <w:spacing w:after="80" w:line="280"/>
        <w:jc w:val="both"/>
      </w:pPr>
      <w:r>
        <w:t xml:space="preserve">Précision exigée : erreur relative inférieure à 8 pour cent sur l'énergie produite annuelle.</w:t>
      </w:r>
    </w:p>
    <w:p>
      <w:pPr>
        <w:pStyle w:val="ListParagraph"/>
        <w:numPr>
          <w:ilvl w:val="0"/>
          <w:numId w:val="2"/>
        </w:numPr>
        <w:spacing w:after="80" w:line="280"/>
        <w:jc w:val="both"/>
      </w:pPr>
      <w:r>
        <w:t xml:space="preserve">Interface bilingue français-anglais pour usage régional.</w:t>
      </w:r>
    </w:p>
    <w:p>
      <w:pPr>
        <w:pStyle w:val="Heading2"/>
        <w:spacing w:after="160" w:before="280"/>
      </w:pPr>
      <w:r>
        <w:t xml:space="preserve">2.5 Livrables finaux</w:t>
      </w:r>
    </w:p>
    <w:p>
      <w:pPr>
        <w:pStyle w:val="ListParagraph"/>
        <w:numPr>
          <w:ilvl w:val="0"/>
          <w:numId w:val="2"/>
        </w:numPr>
        <w:spacing w:after="80" w:line="280"/>
        <w:jc w:val="both"/>
      </w:pPr>
      <w:r>
        <w:t xml:space="preserve">Application desktop CustomTkinter et module Python réutilisable.</w:t>
      </w:r>
    </w:p>
    <w:p>
      <w:pPr>
        <w:pStyle w:val="ListParagraph"/>
        <w:numPr>
          <w:ilvl w:val="0"/>
          <w:numId w:val="2"/>
        </w:numPr>
        <w:spacing w:after="80" w:line="280"/>
        <w:jc w:val="both"/>
      </w:pPr>
      <w:r>
        <w:t xml:space="preserve">Rapport scientifique complet avec annexes techniques.</w:t>
      </w:r>
    </w:p>
    <w:p>
      <w:pPr>
        <w:pStyle w:val="ListParagraph"/>
        <w:numPr>
          <w:ilvl w:val="0"/>
          <w:numId w:val="2"/>
        </w:numPr>
        <w:spacing w:after="80" w:line="280"/>
        <w:jc w:val="both"/>
      </w:pPr>
      <w:r>
        <w:t xml:space="preserve">Étude de cas approfondie sur un village ivoirien réel.</w:t>
      </w:r>
    </w:p>
    <w:p>
      <w:pPr>
        <w:pStyle w:val="ListParagraph"/>
        <w:numPr>
          <w:ilvl w:val="0"/>
          <w:numId w:val="2"/>
        </w:numPr>
        <w:spacing w:after="80" w:line="280"/>
        <w:jc w:val="both"/>
      </w:pPr>
      <w:r>
        <w:t xml:space="preserve">Documentation technique pour intégration éventuelle de capteurs IoT.</w:t>
      </w:r>
    </w:p>
    <w:p>
      <w:pPr>
        <w:pStyle w:val="Heading1"/>
        <w:spacing w:after="200" w:before="360"/>
      </w:pPr>
      <w:r>
        <w:t xml:space="preserve">3. Architecture mathématique</w:t>
      </w:r>
    </w:p>
    <w:p>
      <w:pPr>
        <w:pStyle w:val="Heading2"/>
        <w:spacing w:after="160" w:before="280"/>
      </w:pPr>
      <w:r>
        <w:t xml:space="preserve">3.1 Formulation du problème d'optimisation</w:t>
      </w:r>
    </w:p>
    <w:p>
      <w:pPr>
        <w:spacing w:after="120" w:line="300"/>
        <w:jc w:val="both"/>
      </w:pPr>
      <w:r>
        <w:t xml:space="preserve">Le problème central est un problème d'optimisation sous contrainte multi-objectifs cherchant à minimiser le coût total du système tout en garantissant un niveau de fiabilité acceptable :</w:t>
      </w:r>
    </w:p>
    <w:p>
      <w:pPr>
        <w:spacing w:after="200" w:before="200"/>
        <w:jc w:val="center"/>
      </w:pPr>
      <w:r>
        <w:rPr>
          <w:rFonts w:ascii="Cambria Math" w:cs="Cambria Math" w:eastAsia="Cambria Math" w:hAnsi="Cambria Math"/>
          <w:i/>
          <w:iCs/>
          <w:sz w:val="24"/>
          <w:szCs w:val="24"/>
        </w:rPr>
        <w:t xml:space="preserve">min   COÛT(Pc, Cb)   sous contrainte   LPSP(Pc, Cb) ≤ ε</w:t>
      </w:r>
    </w:p>
    <w:p>
      <w:pPr>
        <w:spacing w:after="120" w:line="300"/>
        <w:jc w:val="both"/>
      </w:pPr>
      <w:r>
        <w:t xml:space="preserve">où Pc désigne la puissance crête installée du champ photovoltaïque (en kWc), Cb la capacité utile du parc de batteries (en kWh), et LPSP (Loss of Power Supply Probability) la probabilité de défaut de fourniture, calculée par simulation horaire sur une année type. Le seuil ε est typiquement fixé entre 1 et 5 pour cent selon le niveau de service souhaité.</w:t>
      </w:r>
    </w:p>
    <w:p>
      <w:pPr>
        <w:pStyle w:val="Heading2"/>
        <w:spacing w:after="160" w:before="280"/>
      </w:pPr>
      <w:r>
        <w:t xml:space="preserve">3.2 Méthodes numériques mobilisées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3926"/>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b/>
                <w:bCs/>
                <w:color w:val="FFFFFF"/>
                <w:sz w:val="20"/>
                <w:szCs w:val="20"/>
              </w:rPr>
              <w:t xml:space="preserve">Étape</w:t>
            </w:r>
          </w:p>
        </w:tc>
        <w:tc>
          <w:tcPr>
            <w:tcW w:type="dxa" w:w="27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b/>
                <w:bCs/>
                <w:color w:val="FFFFFF"/>
                <w:sz w:val="20"/>
                <w:szCs w:val="20"/>
              </w:rPr>
              <w:t xml:space="preserve">Méthode</w:t>
            </w:r>
          </w:p>
        </w:tc>
        <w:tc>
          <w:tcPr>
            <w:tcW w:type="dxa" w:w="3926"/>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vAlign w:val="center"/>
          </w:tcPr>
          <w:p>
            <w:pPr>
              <w:jc w:val="left"/>
            </w:pPr>
            <w:r>
              <w:rPr>
                <w:b/>
                <w:bCs/>
                <w:color w:val="FFFFFF"/>
                <w:sz w:val="20"/>
                <w:szCs w:val="20"/>
              </w:rPr>
              <w:t xml:space="preserve">Justification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bCs/>
                <w:sz w:val="20"/>
                <w:szCs w:val="20"/>
              </w:rPr>
              <w:t xml:space="preserve">Interpolation irradiance NASA POWER</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val="false"/>
                <w:bCs w:val="false"/>
                <w:sz w:val="20"/>
                <w:szCs w:val="20"/>
              </w:rPr>
              <w:t xml:space="preserve">Splines bicubiques 2D</w:t>
            </w:r>
          </w:p>
        </w:tc>
        <w:tc>
          <w:tcPr>
            <w:tcW w:type="dxa" w:w="39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val="false"/>
                <w:bCs w:val="false"/>
                <w:sz w:val="20"/>
                <w:szCs w:val="20"/>
              </w:rPr>
              <w:t xml:space="preserve">Données mailles 0,5° × 0,5°, lissage spatial sans oscillations</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b/>
                <w:bCs/>
                <w:sz w:val="20"/>
                <w:szCs w:val="20"/>
              </w:rPr>
              <w:t xml:space="preserve">Désagrégation horaire</w:t>
            </w:r>
          </w:p>
        </w:tc>
        <w:tc>
          <w:tcPr>
            <w:tcW w:type="dxa" w:w="2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b w:val="false"/>
                <w:bCs w:val="false"/>
                <w:sz w:val="20"/>
                <w:szCs w:val="20"/>
              </w:rPr>
              <w:t xml:space="preserve">Splines cubiques et modèle de Liu-Jordan</w:t>
            </w:r>
          </w:p>
        </w:tc>
        <w:tc>
          <w:tcPr>
            <w:tcW w:type="dxa" w:w="3926"/>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b w:val="false"/>
                <w:bCs w:val="false"/>
                <w:sz w:val="20"/>
                <w:szCs w:val="20"/>
              </w:rPr>
              <w:t xml:space="preserve">Reconstruction du profil journalier à partir des moyennes journalières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bCs/>
                <w:sz w:val="20"/>
                <w:szCs w:val="20"/>
              </w:rPr>
              <w:t xml:space="preserve">Position du soleil</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val="false"/>
                <w:bCs w:val="false"/>
                <w:sz w:val="20"/>
                <w:szCs w:val="20"/>
              </w:rPr>
              <w:t xml:space="preserve">Algorithme NREL Solar Position Algorithm</w:t>
            </w:r>
          </w:p>
        </w:tc>
        <w:tc>
          <w:tcPr>
            <w:tcW w:type="dxa" w:w="39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val="false"/>
                <w:bCs w:val="false"/>
                <w:sz w:val="20"/>
                <w:szCs w:val="20"/>
              </w:rPr>
              <w:t xml:space="preserve">Précision angulaire de référence (&lt; 0,01°)</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b/>
                <w:bCs/>
                <w:sz w:val="20"/>
                <w:szCs w:val="20"/>
              </w:rPr>
              <w:t xml:space="preserve">Énergie produite (kWh)</w:t>
            </w:r>
          </w:p>
        </w:tc>
        <w:tc>
          <w:tcPr>
            <w:tcW w:type="dxa" w:w="2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b w:val="false"/>
                <w:bCs w:val="false"/>
                <w:sz w:val="20"/>
                <w:szCs w:val="20"/>
              </w:rPr>
              <w:t xml:space="preserve">Méthode de Simpson composée</w:t>
            </w:r>
          </w:p>
        </w:tc>
        <w:tc>
          <w:tcPr>
            <w:tcW w:type="dxa" w:w="3926"/>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b w:val="false"/>
                <w:bCs w:val="false"/>
                <w:sz w:val="20"/>
                <w:szCs w:val="20"/>
              </w:rPr>
              <w:t xml:space="preserve">Précision d'ordre 4 sur intégration horaire de la puissance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bCs/>
                <w:sz w:val="20"/>
                <w:szCs w:val="20"/>
              </w:rPr>
              <w:t xml:space="preserve">Bilan énergétique batterie</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val="false"/>
                <w:bCs w:val="false"/>
                <w:sz w:val="20"/>
                <w:szCs w:val="20"/>
              </w:rPr>
              <w:t xml:space="preserve">Schéma d'Euler explicite avec saturation</w:t>
            </w:r>
          </w:p>
        </w:tc>
        <w:tc>
          <w:tcPr>
            <w:tcW w:type="dxa" w:w="39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val="false"/>
                <w:bCs w:val="false"/>
                <w:sz w:val="20"/>
                <w:szCs w:val="20"/>
              </w:rPr>
              <w:t xml:space="preserve">Simulation dynamique état-de-charge sur 8 760 pas horaires</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b/>
                <w:bCs/>
                <w:sz w:val="20"/>
                <w:szCs w:val="20"/>
              </w:rPr>
              <w:t xml:space="preserve">Optimisation (Pc, Cb)</w:t>
            </w:r>
          </w:p>
        </w:tc>
        <w:tc>
          <w:tcPr>
            <w:tcW w:type="dxa" w:w="2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b w:val="false"/>
                <w:bCs w:val="false"/>
                <w:sz w:val="20"/>
                <w:szCs w:val="20"/>
              </w:rPr>
              <w:t xml:space="preserve">Recherche par grille puis Nelder-Mead</w:t>
            </w:r>
          </w:p>
        </w:tc>
        <w:tc>
          <w:tcPr>
            <w:tcW w:type="dxa" w:w="3926"/>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b w:val="false"/>
                <w:bCs w:val="false"/>
                <w:sz w:val="20"/>
                <w:szCs w:val="20"/>
              </w:rPr>
              <w:t xml:space="preserve">Robuste, sans calcul de gradient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bCs/>
                <w:sz w:val="20"/>
                <w:szCs w:val="20"/>
              </w:rPr>
              <w:t xml:space="preserve">Calibration modèle PV (5 paramètres)</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val="false"/>
                <w:bCs w:val="false"/>
                <w:sz w:val="20"/>
                <w:szCs w:val="20"/>
              </w:rPr>
              <w:t xml:space="preserve">Moindres carrés non linéaires</w:t>
            </w:r>
          </w:p>
        </w:tc>
        <w:tc>
          <w:tcPr>
            <w:tcW w:type="dxa" w:w="39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val="false"/>
                <w:bCs w:val="false"/>
                <w:sz w:val="20"/>
                <w:szCs w:val="20"/>
              </w:rPr>
              <w:t xml:space="preserve">Ajustement sur fiche technique du panneau</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b/>
                <w:bCs/>
                <w:sz w:val="20"/>
                <w:szCs w:val="20"/>
              </w:rPr>
              <w:t xml:space="preserve">Validation Monte-Carlo</w:t>
            </w:r>
          </w:p>
        </w:tc>
        <w:tc>
          <w:tcPr>
            <w:tcW w:type="dxa" w:w="2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b w:val="false"/>
                <w:bCs w:val="false"/>
                <w:sz w:val="20"/>
                <w:szCs w:val="20"/>
              </w:rPr>
              <w:t xml:space="preserve">Tirages aléatoires sur aléas météo</w:t>
            </w:r>
          </w:p>
        </w:tc>
        <w:tc>
          <w:tcPr>
            <w:tcW w:type="dxa" w:w="3926"/>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b w:val="false"/>
                <w:bCs w:val="false"/>
                <w:sz w:val="20"/>
                <w:szCs w:val="20"/>
              </w:rPr>
              <w:t xml:space="preserve">Estimation statistique de la fiabilité</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bCs/>
                <w:sz w:val="20"/>
                <w:szCs w:val="20"/>
              </w:rPr>
              <w:t xml:space="preserve">Analyse de sensibilité</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val="false"/>
                <w:bCs w:val="false"/>
                <w:sz w:val="20"/>
                <w:szCs w:val="20"/>
              </w:rPr>
              <w:t xml:space="preserve">Méthode de Morris</w:t>
            </w:r>
          </w:p>
        </w:tc>
        <w:tc>
          <w:tcPr>
            <w:tcW w:type="dxa" w:w="392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val="false"/>
                <w:bCs w:val="false"/>
                <w:sz w:val="20"/>
                <w:szCs w:val="20"/>
              </w:rPr>
              <w:t xml:space="preserve">Hiérarchisation à coût de calcul réduit</w:t>
            </w:r>
          </w:p>
        </w:tc>
      </w:tr>
    </w:tbl>
    <w:p>
      <w:pPr>
        <w:pBdr>
          <w:left w:val="single" w:color="2E75B6" w:sz="18" w:space="8"/>
        </w:pBdr>
        <w:spacing w:after="120" w:before="100" w:line="280"/>
        <w:ind w:left="360"/>
        <w:jc w:val="both"/>
      </w:pPr>
      <w:r>
        <w:rPr>
          <w:i/>
          <w:iCs/>
          <w:color w:val="595959"/>
        </w:rPr>
        <w:t xml:space="preserve">La construction d'un front de Pareto coût/fiabilité fournira aux décideurs un éventail de solutions adaptées à leurs contraintes budgétaires.</w:t>
      </w:r>
    </w:p>
    <w:p>
      <w:pPr>
        <w:pStyle w:val="Heading1"/>
        <w:spacing w:after="200" w:before="360"/>
      </w:pPr>
      <w:r>
        <w:t xml:space="preserve">4. Découpage en livrables</w:t>
      </w:r>
    </w:p>
    <w:p>
      <w:pPr>
        <w:pStyle w:val="Heading2"/>
        <w:spacing w:after="160" w:before="280"/>
      </w:pPr>
      <w:r>
        <w:t xml:space="preserve">Phase 1 — Modélisation physique (2 semaines)</w:t>
      </w:r>
    </w:p>
    <w:p>
      <w:pPr>
        <w:pStyle w:val="ListParagraph"/>
        <w:numPr>
          <w:ilvl w:val="0"/>
          <w:numId w:val="2"/>
        </w:numPr>
        <w:spacing w:after="80" w:line="280"/>
        <w:jc w:val="both"/>
      </w:pPr>
      <w:r>
        <w:t xml:space="preserve">L1.1 — Document de modélisation : rayonnement solaire, panneau PV, batterie, profils de charge.</w:t>
      </w:r>
    </w:p>
    <w:p>
      <w:pPr>
        <w:pStyle w:val="ListParagraph"/>
        <w:numPr>
          <w:ilvl w:val="0"/>
          <w:numId w:val="2"/>
        </w:numPr>
        <w:spacing w:after="80" w:line="280"/>
        <w:jc w:val="both"/>
      </w:pPr>
      <w:r>
        <w:t xml:space="preserve">L1.2 — Module solar_geometry.py (position du soleil, angles d'incidence).</w:t>
      </w:r>
    </w:p>
    <w:p>
      <w:pPr>
        <w:pStyle w:val="ListParagraph"/>
        <w:numPr>
          <w:ilvl w:val="0"/>
          <w:numId w:val="2"/>
        </w:numPr>
        <w:spacing w:after="80" w:line="280"/>
        <w:jc w:val="both"/>
      </w:pPr>
      <w:r>
        <w:t xml:space="preserve">L1.3 — Module pv_model.py (puissance produite à partir d'irradiance et température).</w:t>
      </w:r>
    </w:p>
    <w:p>
      <w:pPr>
        <w:pStyle w:val="Heading2"/>
        <w:spacing w:after="160" w:before="280"/>
      </w:pPr>
      <w:r>
        <w:t xml:space="preserve">Phase 2 — Données météo et interpolation (2 semaines)</w:t>
      </w:r>
    </w:p>
    <w:p>
      <w:pPr>
        <w:pStyle w:val="ListParagraph"/>
        <w:numPr>
          <w:ilvl w:val="0"/>
          <w:numId w:val="2"/>
        </w:numPr>
        <w:spacing w:after="80" w:line="280"/>
        <w:jc w:val="both"/>
      </w:pPr>
      <w:r>
        <w:t xml:space="preserve">L2.1 — Connecteur NASA POWER avec cache local.</w:t>
      </w:r>
    </w:p>
    <w:p>
      <w:pPr>
        <w:pStyle w:val="ListParagraph"/>
        <w:numPr>
          <w:ilvl w:val="0"/>
          <w:numId w:val="2"/>
        </w:numPr>
        <w:spacing w:after="80" w:line="280"/>
        <w:jc w:val="both"/>
      </w:pPr>
      <w:r>
        <w:t xml:space="preserve">L2.2 — Module d'interpolation 2D spatiale et temporelle.</w:t>
      </w:r>
    </w:p>
    <w:p>
      <w:pPr>
        <w:pStyle w:val="ListParagraph"/>
        <w:numPr>
          <w:ilvl w:val="0"/>
          <w:numId w:val="2"/>
        </w:numPr>
        <w:spacing w:after="80" w:line="280"/>
        <w:jc w:val="both"/>
      </w:pPr>
      <w:r>
        <w:t xml:space="preserve">L2.3 — Validation contre stations météorologiques au sol (SODEXAM si données accessibles).</w:t>
      </w:r>
    </w:p>
    <w:p>
      <w:pPr>
        <w:pStyle w:val="Heading2"/>
        <w:spacing w:after="160" w:before="280"/>
      </w:pPr>
      <w:r>
        <w:t xml:space="preserve">Phase 3 — Simulation système et bilan énergétique (2 semaines)</w:t>
      </w:r>
    </w:p>
    <w:p>
      <w:pPr>
        <w:pStyle w:val="ListParagraph"/>
        <w:numPr>
          <w:ilvl w:val="0"/>
          <w:numId w:val="2"/>
        </w:numPr>
        <w:spacing w:after="80" w:line="280"/>
        <w:jc w:val="both"/>
      </w:pPr>
      <w:r>
        <w:t xml:space="preserve">L3.1 — Simulateur horaire complet sur 8 760 heures (panneau, batterie, charge).</w:t>
      </w:r>
    </w:p>
    <w:p>
      <w:pPr>
        <w:pStyle w:val="ListParagraph"/>
        <w:numPr>
          <w:ilvl w:val="0"/>
          <w:numId w:val="2"/>
        </w:numPr>
        <w:spacing w:after="80" w:line="280"/>
        <w:jc w:val="both"/>
      </w:pPr>
      <w:r>
        <w:t xml:space="preserve">L3.2 — Calcul des indicateurs LPSP, autonomie, taux de couverture solaire.</w:t>
      </w:r>
    </w:p>
    <w:p>
      <w:pPr>
        <w:pStyle w:val="ListParagraph"/>
        <w:numPr>
          <w:ilvl w:val="0"/>
          <w:numId w:val="2"/>
        </w:numPr>
        <w:spacing w:after="80" w:line="280"/>
        <w:jc w:val="both"/>
      </w:pPr>
      <w:r>
        <w:t xml:space="preserve">L3.3 — Tests sur trois profils de consommation typiques (foyer rural, école, pompage).</w:t>
      </w:r>
    </w:p>
    <w:p>
      <w:pPr>
        <w:pStyle w:val="Heading2"/>
        <w:spacing w:after="160" w:before="280"/>
      </w:pPr>
      <w:r>
        <w:t xml:space="preserve">Phase 4 — Optimisation du dimensionnement (2 semaines)</w:t>
      </w:r>
    </w:p>
    <w:p>
      <w:pPr>
        <w:pStyle w:val="ListParagraph"/>
        <w:numPr>
          <w:ilvl w:val="0"/>
          <w:numId w:val="2"/>
        </w:numPr>
        <w:spacing w:after="80" w:line="280"/>
        <w:jc w:val="both"/>
      </w:pPr>
      <w:r>
        <w:t xml:space="preserve">L4.1 — Algorithme d'optimisation par grille puis raffinement Nelder-Mead.</w:t>
      </w:r>
    </w:p>
    <w:p>
      <w:pPr>
        <w:pStyle w:val="ListParagraph"/>
        <w:numPr>
          <w:ilvl w:val="0"/>
          <w:numId w:val="2"/>
        </w:numPr>
        <w:spacing w:after="80" w:line="280"/>
        <w:jc w:val="both"/>
      </w:pPr>
      <w:r>
        <w:t xml:space="preserve">L4.2 — Analyse multi-objectifs avec construction du front de Pareto coût-fiabilité.</w:t>
      </w:r>
    </w:p>
    <w:p>
      <w:pPr>
        <w:pStyle w:val="ListParagraph"/>
        <w:numPr>
          <w:ilvl w:val="0"/>
          <w:numId w:val="2"/>
        </w:numPr>
        <w:spacing w:after="80" w:line="280"/>
        <w:jc w:val="both"/>
      </w:pPr>
      <w:r>
        <w:t xml:space="preserve">L4.3 — Analyse de sensibilité Morris sur l'ensemble des variables d'entrée.</w:t>
      </w:r>
    </w:p>
    <w:p>
      <w:pPr>
        <w:pStyle w:val="Heading2"/>
        <w:spacing w:after="160" w:before="280"/>
      </w:pPr>
      <w:r>
        <w:t xml:space="preserve">Phase 5 — Interface et étude de cas (3 semaines)</w:t>
      </w:r>
    </w:p>
    <w:p>
      <w:pPr>
        <w:pStyle w:val="ListParagraph"/>
        <w:numPr>
          <w:ilvl w:val="0"/>
          <w:numId w:val="2"/>
        </w:numPr>
        <w:spacing w:after="80" w:line="280"/>
        <w:jc w:val="both"/>
      </w:pPr>
      <w:r>
        <w:t xml:space="preserve">L5.1 — GUI CustomTkinter avec saisie du village, du profil de charge et résultats graphiques.</w:t>
      </w:r>
    </w:p>
    <w:p>
      <w:pPr>
        <w:pStyle w:val="ListParagraph"/>
        <w:numPr>
          <w:ilvl w:val="0"/>
          <w:numId w:val="2"/>
        </w:numPr>
        <w:spacing w:after="80" w:line="280"/>
        <w:jc w:val="both"/>
      </w:pPr>
      <w:r>
        <w:t xml:space="preserve">L5.2 — Étude de cas réelle sur un village ivoirien (Bouaflé ou village proche d'Abidjan).</w:t>
      </w:r>
    </w:p>
    <w:p>
      <w:pPr>
        <w:pStyle w:val="ListParagraph"/>
        <w:numPr>
          <w:ilvl w:val="0"/>
          <w:numId w:val="2"/>
        </w:numPr>
        <w:spacing w:after="80" w:line="280"/>
        <w:jc w:val="both"/>
      </w:pPr>
      <w:r>
        <w:t xml:space="preserve">L5.3 — Hook IoT optionnel via capteur de luminosité Arduino, en extension du projet M'BoNéo.</w:t>
      </w:r>
    </w:p>
    <w:p>
      <w:pPr>
        <w:pStyle w:val="Heading2"/>
        <w:spacing w:after="160" w:before="280"/>
      </w:pPr>
      <w:r>
        <w:t xml:space="preserve">Phase 6 — Soutenance (1 semaine)</w:t>
      </w:r>
    </w:p>
    <w:p>
      <w:pPr>
        <w:pStyle w:val="ListParagraph"/>
        <w:numPr>
          <w:ilvl w:val="0"/>
          <w:numId w:val="2"/>
        </w:numPr>
        <w:spacing w:after="80" w:line="280"/>
        <w:jc w:val="both"/>
      </w:pPr>
      <w:r>
        <w:t xml:space="preserve">L6.1 — Rapport scientifique final avec annexes.</w:t>
      </w:r>
    </w:p>
    <w:p>
      <w:pPr>
        <w:pStyle w:val="ListParagraph"/>
        <w:numPr>
          <w:ilvl w:val="0"/>
          <w:numId w:val="2"/>
        </w:numPr>
        <w:spacing w:after="80" w:line="280"/>
        <w:jc w:val="both"/>
      </w:pPr>
      <w:r>
        <w:t xml:space="preserve">L6.2 — Démonstration et présentation de soutenance.</w:t>
      </w:r>
    </w:p>
    <w:p>
      <w:pPr>
        <w:pStyle w:val="ListParagraph"/>
        <w:numPr>
          <w:ilvl w:val="0"/>
          <w:numId w:val="2"/>
        </w:numPr>
        <w:spacing w:after="80" w:line="280"/>
        <w:jc w:val="both"/>
      </w:pPr>
      <w:r>
        <w:t xml:space="preserve">L6.3 — Dépôt GitHub avec documentation et licence open source.</w:t>
      </w:r>
    </w:p>
    <w:p>
      <w:pPr>
        <w:spacing w:after="80" w:line="280"/>
        <w:jc w:val="both"/>
      </w:pPr>
      <w:r>
        <w:rPr>
          <w:b/>
          <w:bCs/>
        </w:rPr>
        <w:t xml:space="preserve">Durée totale estimée : </w:t>
      </w:r>
      <w:r>
        <w:t xml:space="preserve">12 semaines</w:t>
      </w:r>
    </w:p>
    <w:p>
      <w:pPr>
        <w:pStyle w:val="Heading1"/>
        <w:spacing w:after="200" w:before="360"/>
      </w:pPr>
      <w:r>
        <w:t xml:space="preserve">5. Risques et mesures de mitigation</w:t>
      </w:r>
    </w:p>
    <w:p>
      <w:pPr>
        <w:pStyle w:val="ListParagraph"/>
        <w:numPr>
          <w:ilvl w:val="0"/>
          <w:numId w:val="2"/>
        </w:numPr>
        <w:spacing w:after="80" w:line="280"/>
        <w:jc w:val="both"/>
      </w:pPr>
      <w:r>
        <w:t xml:space="preserve">Risque d'écart entre irradiance NASA POWER et mesure réelle : validation systématique sur une station SODEXAM ou capteur dédié.</w:t>
      </w:r>
    </w:p>
    <w:p>
      <w:pPr>
        <w:pStyle w:val="ListParagraph"/>
        <w:numPr>
          <w:ilvl w:val="0"/>
          <w:numId w:val="2"/>
        </w:numPr>
        <w:spacing w:after="80" w:line="280"/>
        <w:jc w:val="both"/>
      </w:pPr>
      <w:r>
        <w:t xml:space="preserve">Risque de convergence vers un optimum local en optimisation : stratégie hybride grille puis Nelder-Mead avec multiples points de départ.</w:t>
      </w:r>
    </w:p>
    <w:p>
      <w:pPr>
        <w:pStyle w:val="ListParagraph"/>
        <w:numPr>
          <w:ilvl w:val="0"/>
          <w:numId w:val="2"/>
        </w:numPr>
        <w:spacing w:after="80" w:line="280"/>
        <w:jc w:val="both"/>
      </w:pPr>
      <w:r>
        <w:t xml:space="preserve">Risque de modèle batterie trop simpliste : prévoir une extension future vers un modèle équivalent électrique de second ordre.</w:t>
      </w:r>
    </w:p>
    <w:p>
      <w:pPr>
        <w:pStyle w:val="ListParagraph"/>
        <w:numPr>
          <w:ilvl w:val="0"/>
          <w:numId w:val="2"/>
        </w:numPr>
        <w:spacing w:after="80" w:line="280"/>
        <w:jc w:val="both"/>
      </w:pPr>
      <w:r>
        <w:t xml:space="preserve">Risque d'absence de données détaillées sur les profils de charge villageois : enquête terrain courte ou utilisation de profils types issus de la littérature.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jc w:val="right"/>
    </w:pPr>
    <w:r>
      <w:rPr>
        <w:i/>
        <w:iCs/>
        <w:color w:val="595959"/>
        <w:sz w:val="18"/>
        <w:szCs w:val="18"/>
      </w:rPr>
      <w:t xml:space="preserve">Projet SolarVillage — M2 Génie Informatique — UNA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12" w:space="6"/>
      </w:pBdr>
      <w:spacing w:after="2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SolarVillage — Dimensionnement optimal de systèmes solaires pour villages enclavés</dc:title>
  <dc:creator>Daouda</dc:creator>
  <dc:description>Cahier des charges et architecture mathématique</dc:description>
  <cp:lastModifiedBy>Un-named</cp:lastModifiedBy>
  <cp:revision>1</cp:revision>
  <dcterms:created xsi:type="dcterms:W3CDTF">2026-04-27T09:39:21.527Z</dcterms:created>
  <dcterms:modified xsi:type="dcterms:W3CDTF">2026-04-27T09:39:21.527Z</dcterms:modified>
</cp:coreProperties>
</file>

<file path=docProps/custom.xml><?xml version="1.0" encoding="utf-8"?>
<Properties xmlns="http://schemas.openxmlformats.org/officeDocument/2006/custom-properties" xmlns:vt="http://schemas.openxmlformats.org/officeDocument/2006/docPropsVTypes"/>
</file>