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Tasker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Система исполнения заданий в виде Службы Windows. Описание.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Цель документа</w:t>
      </w:r>
    </w:p>
    <w:p w:rsidR="00000000" w:rsidDel="00000000" w:rsidP="00000000" w:rsidRDefault="00000000" w:rsidRPr="00000000">
      <w:pPr>
        <w:ind w:firstLine="708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Настоящий документ содержит необходимые сведения по запуску, отладке, расширению функционала, а также описанию работы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Системные требования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Windows 7, 8, 8.1, Server 2008R2, Server 2012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SQL Server 2012 и выше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.Net Framework 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Используемые библиотеки: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Castle.Core версия 3.3.3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Castle.Windsor версия 3.4.0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EntityFramework версия 6.1.3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Описание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Настоящее приложение содержит механизм выполнения типизированного задания, параметры которого хранятся в БД.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Типы заданий, реализованных в текущей сборке: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Выдерживание паузы 10 секунд с момента получения задания,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создание пустого файла в файловой системе с именем, содержащимся в параметре filename. Директория сохранения указывается в файле конфигурации приложения App.Config c ключем PathToSave.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Emailsender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- отправка E-mail сообщения по указанным реквизитам в параметрах: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– e-mail отправителя,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Recipient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получатель,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Тема письма,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Текст письма. Параметры, необходимые для подключения к SMTP-серверу содержаться в файле конфигурации приложения App.Config c ключами: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SMTPHost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адрес SMPT-сервера,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SMTPPort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порт SMTP-сервера,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SMTPUser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имя пользователя, SMTPPassword - пароль пользователя,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SMTPUseSSL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признак использования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подключения (true - Использовать/ false - не использовать). </w:t>
      </w:r>
    </w:p>
    <w:p w:rsidR="00000000" w:rsidDel="00000000" w:rsidP="00000000" w:rsidRDefault="00000000" w:rsidRPr="00000000">
      <w:pPr>
        <w:spacing w:line="240" w:lineRule="auto"/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запуска приложения используется файл Tasker.Runner.exe. Запуск может быть произведен в нескольких режимах: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Служба Windows (параметр запуска: -Service).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Установка службы Windows (параметр запуска: -Install).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Удаление службы Windows (параметр запуска: -Uninstall).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Консольное приложение (запускается без параметров).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Описание процесса создания отдельного модуля, реализующего тип задачи. Руководство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добавления нового типа задач необходимо создать сборку, в которой реализованы интерфейсы Tasker.Core.IModule и Tasker.Core.IJobType (Tasker.Core.dll). После компиляции сборки необходимо скопировать .dll файл в директорию Tasker.Runner\bin\modules. При запуске приложения все сборки из данной директории будут загружены.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Tasker.Core.IModule - определяет модуль. Содержит метод инициализации модуля и его валидации. Данные методы вызываются при старте приложения. При инициализации модуля необходимо зарегистрировать в контейнере реализации типов задач (Tasker.Core.IJobType) используя метод RegisterJobType&lt;T&gt;();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{</w:t>
        <w:br w:type="textWrapping"/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InitModule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();</w:t>
        <w:br w:type="textWrapping"/>
        <w:t xml:space="preserve"> </w:t>
        <w:br w:type="textWrapping"/>
        <w:t xml:space="preserve">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ValidateModule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}</w:t>
        <w:br w:type="textWrapping"/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Пример реализации: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Tasker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JobType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ExampleModule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Castle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Windsor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IWindsorContainer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IWindsorContainer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container)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container;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69d85"/>
          <w:sz w:val="24"/>
          <w:szCs w:val="24"/>
          <w:rtl w:val="0"/>
        </w:rPr>
        <w:t xml:space="preserve">"Tasker.JobType.ExampleModule"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 }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69d85"/>
          <w:sz w:val="24"/>
          <w:szCs w:val="24"/>
          <w:rtl w:val="0"/>
        </w:rPr>
        <w:t xml:space="preserve">"JobType.ExampleModule"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}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InitModule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RegisterJobType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ExampleJob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&gt;();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ValidateModule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()</w:t>
        <w:br w:type="textWrapping"/>
        <w:t xml:space="preserve">        {</w:t>
        <w:br w:type="textWrapping"/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Tasker.Core.IJobType - определяет тип задачи. Содержит метод Execute, в котором описываются необходимые инструкции, для выполнения задачи.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Tasker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IJobType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JobParameters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parameters);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Пример реализации: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Tasker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JobType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ExampleJob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b4b4b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Threading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ExampleJob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IJobType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{</w:t>
        <w:br w:type="textWrapping"/>
        <w:t xml:space="preserve">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e82ee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br w:type="textWrapping"/>
        <w:t xml:space="preserve">        {</w:t>
        <w:br w:type="textWrapping"/>
        <w:t xml:space="preserve">          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69d85"/>
          <w:sz w:val="24"/>
          <w:szCs w:val="24"/>
          <w:rtl w:val="0"/>
        </w:rPr>
        <w:t xml:space="preserve">"Описание типа задачи."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; }</w:t>
        <w:br w:type="textWrapping"/>
        <w:t xml:space="preserve">        }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ffff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dd8e6"/>
          <w:sz w:val="24"/>
          <w:szCs w:val="24"/>
          <w:rtl w:val="0"/>
        </w:rPr>
        <w:t xml:space="preserve">JobParameters</w:t>
      </w: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parameters)</w:t>
        <w:br w:type="textWrapping"/>
        <w:t xml:space="preserve">        {</w:t>
        <w:br w:type="textWrapping"/>
        <w:t xml:space="preserve">            // Инструкции исполнения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dcdcdc"/>
          <w:sz w:val="24"/>
          <w:szCs w:val="24"/>
          <w:rtl w:val="0"/>
        </w:rPr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Описание функциональных ограничений.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 возможности передавать в параметрах исполнения задач знаки ":" и ";" из-за особенностей сериализации.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режиме консольного приложения устанавливать и удалять службу можно только с правами администратора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4" w:top="1134" w:left="1701" w:right="85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708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