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0" w:line="297.59999999999997" w:lineRule="auto"/>
        <w:jc w:val="center"/>
        <w:rPr>
          <w:rFonts w:ascii="Roboto" w:cs="Roboto" w:eastAsia="Roboto" w:hAnsi="Roboto"/>
          <w:color w:val="222222"/>
          <w:sz w:val="33"/>
          <w:szCs w:val="33"/>
        </w:rPr>
      </w:pPr>
      <w:bookmarkStart w:colFirst="0" w:colLast="0" w:name="_piinec5d2jmp" w:id="0"/>
      <w:bookmarkEnd w:id="0"/>
      <w:r w:rsidDel="00000000" w:rsidR="00000000" w:rsidRPr="00000000">
        <w:rPr>
          <w:rFonts w:ascii="Roboto" w:cs="Roboto" w:eastAsia="Roboto" w:hAnsi="Roboto"/>
          <w:color w:val="222222"/>
          <w:sz w:val="33"/>
          <w:szCs w:val="33"/>
          <w:rtl w:val="0"/>
        </w:rPr>
        <w:t xml:space="preserve">This article is about the OT-One.</w:t>
      </w:r>
    </w:p>
    <w:p w:rsidR="00000000" w:rsidDel="00000000" w:rsidP="00000000" w:rsidRDefault="00000000" w:rsidRPr="00000000" w14:paraId="000000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297.59999999999997" w:lineRule="auto"/>
        <w:jc w:val="center"/>
        <w:rPr>
          <w:rFonts w:ascii="Roboto" w:cs="Roboto" w:eastAsia="Roboto" w:hAnsi="Roboto"/>
          <w:b w:val="1"/>
          <w:color w:val="222222"/>
          <w:sz w:val="27"/>
          <w:szCs w:val="27"/>
        </w:rPr>
      </w:pPr>
      <w:bookmarkStart w:colFirst="0" w:colLast="0" w:name="_161gonhoq41v" w:id="1"/>
      <w:bookmarkEnd w:id="1"/>
      <w:r w:rsidDel="00000000" w:rsidR="00000000" w:rsidRPr="00000000">
        <w:rPr>
          <w:rFonts w:ascii="Roboto" w:cs="Roboto" w:eastAsia="Roboto" w:hAnsi="Roboto"/>
          <w:b w:val="1"/>
          <w:color w:val="222222"/>
          <w:sz w:val="27"/>
          <w:szCs w:val="27"/>
          <w:rtl w:val="0"/>
        </w:rPr>
        <w:t xml:space="preserve">It's no-longer sold or actively supported by Opentrons, but we've kept this article here to help existing users. Please</w:t>
      </w:r>
      <w:hyperlink r:id="rId6">
        <w:r w:rsidDel="00000000" w:rsidR="00000000" w:rsidRPr="00000000">
          <w:rPr>
            <w:rFonts w:ascii="Roboto" w:cs="Roboto" w:eastAsia="Roboto" w:hAnsi="Roboto"/>
            <w:b w:val="1"/>
            <w:color w:val="222222"/>
            <w:sz w:val="27"/>
            <w:szCs w:val="27"/>
            <w:rtl w:val="0"/>
          </w:rPr>
          <w:t xml:space="preserve"> </w:t>
        </w:r>
      </w:hyperlink>
      <w:hyperlink r:id="rId7">
        <w:r w:rsidDel="00000000" w:rsidR="00000000" w:rsidRPr="00000000">
          <w:rPr>
            <w:rFonts w:ascii="Roboto" w:cs="Roboto" w:eastAsia="Roboto" w:hAnsi="Roboto"/>
            <w:b w:val="1"/>
            <w:color w:val="006fff"/>
            <w:sz w:val="27"/>
            <w:szCs w:val="27"/>
            <w:u w:val="single"/>
            <w:rtl w:val="0"/>
          </w:rPr>
          <w:t xml:space="preserve">see our OT-2 Support articles</w:t>
        </w:r>
      </w:hyperlink>
      <w:r w:rsidDel="00000000" w:rsidR="00000000" w:rsidRPr="00000000">
        <w:rPr>
          <w:rFonts w:ascii="Roboto" w:cs="Roboto" w:eastAsia="Roboto" w:hAnsi="Roboto"/>
          <w:b w:val="1"/>
          <w:color w:val="222222"/>
          <w:sz w:val="27"/>
          <w:szCs w:val="27"/>
          <w:rtl w:val="0"/>
        </w:rPr>
        <w:t xml:space="preserve"> for the most up to date information!</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Once you've</w:t>
      </w:r>
      <w:hyperlink r:id="rId8">
        <w:r w:rsidDel="00000000" w:rsidR="00000000" w:rsidRPr="00000000">
          <w:rPr>
            <w:rFonts w:ascii="Roboto" w:cs="Roboto" w:eastAsia="Roboto" w:hAnsi="Roboto"/>
            <w:color w:val="222222"/>
            <w:sz w:val="26"/>
            <w:szCs w:val="26"/>
            <w:rtl w:val="0"/>
          </w:rPr>
          <w:t xml:space="preserve"> </w:t>
        </w:r>
      </w:hyperlink>
      <w:hyperlink r:id="rId9">
        <w:r w:rsidDel="00000000" w:rsidR="00000000" w:rsidRPr="00000000">
          <w:rPr>
            <w:rFonts w:ascii="Roboto" w:cs="Roboto" w:eastAsia="Roboto" w:hAnsi="Roboto"/>
            <w:color w:val="006fff"/>
            <w:sz w:val="26"/>
            <w:szCs w:val="26"/>
            <w:u w:val="single"/>
            <w:rtl w:val="0"/>
          </w:rPr>
          <w:t xml:space="preserve">downloaded</w:t>
        </w:r>
      </w:hyperlink>
      <w:r w:rsidDel="00000000" w:rsidR="00000000" w:rsidRPr="00000000">
        <w:rPr>
          <w:rFonts w:ascii="Roboto" w:cs="Roboto" w:eastAsia="Roboto" w:hAnsi="Roboto"/>
          <w:color w:val="222222"/>
          <w:sz w:val="26"/>
          <w:szCs w:val="26"/>
          <w:rtl w:val="0"/>
        </w:rPr>
        <w:t xml:space="preserve"> and</w:t>
      </w:r>
      <w:hyperlink r:id="rId10">
        <w:r w:rsidDel="00000000" w:rsidR="00000000" w:rsidRPr="00000000">
          <w:rPr>
            <w:rFonts w:ascii="Roboto" w:cs="Roboto" w:eastAsia="Roboto" w:hAnsi="Roboto"/>
            <w:color w:val="222222"/>
            <w:sz w:val="26"/>
            <w:szCs w:val="26"/>
            <w:rtl w:val="0"/>
          </w:rPr>
          <w:t xml:space="preserve"> </w:t>
        </w:r>
      </w:hyperlink>
      <w:hyperlink r:id="rId11">
        <w:r w:rsidDel="00000000" w:rsidR="00000000" w:rsidRPr="00000000">
          <w:rPr>
            <w:rFonts w:ascii="Roboto" w:cs="Roboto" w:eastAsia="Roboto" w:hAnsi="Roboto"/>
            <w:color w:val="006fff"/>
            <w:sz w:val="26"/>
            <w:szCs w:val="26"/>
            <w:u w:val="single"/>
            <w:rtl w:val="0"/>
          </w:rPr>
          <w:t xml:space="preserve">loaded</w:t>
        </w:r>
      </w:hyperlink>
      <w:r w:rsidDel="00000000" w:rsidR="00000000" w:rsidRPr="00000000">
        <w:rPr>
          <w:rFonts w:ascii="Roboto" w:cs="Roboto" w:eastAsia="Roboto" w:hAnsi="Roboto"/>
          <w:color w:val="222222"/>
          <w:sz w:val="26"/>
          <w:szCs w:val="26"/>
          <w:rtl w:val="0"/>
        </w:rPr>
        <w:t xml:space="preserve"> your protocol into the OT App, a list of all of the containers needed for your protocol will pop up. Each of these needs to be calibrated before your protocol can run. The list is populated based on which container you should calibrate first.</w:t>
      </w:r>
    </w:p>
    <w:p w:rsidR="00000000" w:rsidDel="00000000" w:rsidP="00000000" w:rsidRDefault="00000000" w:rsidRPr="00000000" w14:paraId="00000004">
      <w:pPr>
        <w:shd w:fill="ffffff" w:val="clear"/>
        <w:jc w:val="center"/>
        <w:rPr>
          <w:rFonts w:ascii="Roboto" w:cs="Roboto" w:eastAsia="Roboto" w:hAnsi="Roboto"/>
          <w:color w:val="222222"/>
          <w:sz w:val="26"/>
          <w:szCs w:val="26"/>
        </w:rPr>
      </w:pPr>
      <w:r w:rsidDel="00000000" w:rsidR="00000000" w:rsidRPr="00000000">
        <w:rPr>
          <w:rFonts w:ascii="Roboto" w:cs="Roboto" w:eastAsia="Roboto" w:hAnsi="Roboto"/>
          <w:color w:val="222222"/>
          <w:sz w:val="26"/>
          <w:szCs w:val="26"/>
        </w:rPr>
        <w:drawing>
          <wp:inline distB="114300" distT="114300" distL="114300" distR="114300">
            <wp:extent cx="5943600" cy="39878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Use the pipette jog section to move the pipettes around the deck. </w:t>
      </w:r>
    </w:p>
    <w:p w:rsidR="00000000" w:rsidDel="00000000" w:rsidP="00000000" w:rsidRDefault="00000000" w:rsidRPr="00000000" w14:paraId="00000006">
      <w:pPr>
        <w:shd w:fill="ffffff" w:val="clear"/>
        <w:jc w:val="center"/>
        <w:rPr>
          <w:rFonts w:ascii="Roboto" w:cs="Roboto" w:eastAsia="Roboto" w:hAnsi="Roboto"/>
          <w:color w:val="222222"/>
          <w:sz w:val="26"/>
          <w:szCs w:val="26"/>
        </w:rPr>
      </w:pPr>
      <w:r w:rsidDel="00000000" w:rsidR="00000000" w:rsidRPr="00000000">
        <w:rPr>
          <w:rFonts w:ascii="Roboto" w:cs="Roboto" w:eastAsia="Roboto" w:hAnsi="Roboto"/>
          <w:color w:val="222222"/>
          <w:sz w:val="26"/>
          <w:szCs w:val="26"/>
        </w:rPr>
        <w:drawing>
          <wp:inline distB="114300" distT="114300" distL="114300" distR="114300">
            <wp:extent cx="5943600" cy="39878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Select the movement increments (in mm), and then click the grey arrows in the direction you want to move. You can use the X, Y and slot increment buttons to move one slot width in the X, or slot depth in the Y direction.</w:t>
      </w:r>
    </w:p>
    <w:p w:rsidR="00000000" w:rsidDel="00000000" w:rsidP="00000000" w:rsidRDefault="00000000" w:rsidRPr="00000000" w14:paraId="00000008">
      <w:pPr>
        <w:shd w:fill="ffffff" w:val="clear"/>
        <w:jc w:val="center"/>
        <w:rPr>
          <w:rFonts w:ascii="Roboto" w:cs="Roboto" w:eastAsia="Roboto" w:hAnsi="Roboto"/>
          <w:color w:val="222222"/>
          <w:sz w:val="26"/>
          <w:szCs w:val="26"/>
        </w:rPr>
      </w:pPr>
      <w:r w:rsidDel="00000000" w:rsidR="00000000" w:rsidRPr="00000000">
        <w:rPr>
          <w:rFonts w:ascii="Roboto" w:cs="Roboto" w:eastAsia="Roboto" w:hAnsi="Roboto"/>
          <w:color w:val="222222"/>
          <w:sz w:val="26"/>
          <w:szCs w:val="26"/>
        </w:rPr>
        <w:drawing>
          <wp:inline distB="114300" distT="114300" distL="114300" distR="114300">
            <wp:extent cx="2844800" cy="34163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8448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Instead of having to click the arrow buttons for every jog step, you can also use the following keyboard shortcuts:</w:t>
      </w:r>
    </w:p>
    <w:p w:rsidR="00000000" w:rsidDel="00000000" w:rsidP="00000000" w:rsidRDefault="00000000" w:rsidRPr="00000000" w14:paraId="0000000A">
      <w:pPr>
        <w:shd w:fill="ffffff" w:val="clear"/>
        <w:jc w:val="center"/>
        <w:rPr>
          <w:rFonts w:ascii="Roboto" w:cs="Roboto" w:eastAsia="Roboto" w:hAnsi="Roboto"/>
          <w:color w:val="222222"/>
          <w:sz w:val="26"/>
          <w:szCs w:val="26"/>
        </w:rPr>
      </w:pPr>
      <w:r w:rsidDel="00000000" w:rsidR="00000000" w:rsidRPr="00000000">
        <w:rPr>
          <w:rFonts w:ascii="Roboto" w:cs="Roboto" w:eastAsia="Roboto" w:hAnsi="Roboto"/>
          <w:color w:val="222222"/>
          <w:sz w:val="26"/>
          <w:szCs w:val="26"/>
        </w:rPr>
        <w:drawing>
          <wp:inline distB="114300" distT="114300" distL="114300" distR="114300">
            <wp:extent cx="5943600" cy="4216400"/>
            <wp:effectExtent b="0" l="0" r="0" t="0"/>
            <wp:docPr id="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hd w:fill="ffffff" w:val="clear"/>
        <w:jc w:val="center"/>
        <w:rPr>
          <w:rFonts w:ascii="Roboto" w:cs="Roboto" w:eastAsia="Roboto" w:hAnsi="Roboto"/>
          <w:color w:val="222222"/>
          <w:sz w:val="26"/>
          <w:szCs w:val="26"/>
        </w:rPr>
      </w:pPr>
      <w:r w:rsidDel="00000000" w:rsidR="00000000" w:rsidRPr="00000000">
        <w:rPr>
          <w:rFonts w:ascii="Roboto" w:cs="Roboto" w:eastAsia="Roboto" w:hAnsi="Roboto"/>
          <w:color w:val="222222"/>
          <w:sz w:val="26"/>
          <w:szCs w:val="26"/>
        </w:rPr>
        <w:drawing>
          <wp:inline distB="114300" distT="114300" distL="114300" distR="114300">
            <wp:extent cx="5943600" cy="42164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jc w:val="center"/>
        <w:rPr>
          <w:rFonts w:ascii="Roboto" w:cs="Roboto" w:eastAsia="Roboto" w:hAnsi="Roboto"/>
          <w:color w:val="222222"/>
          <w:sz w:val="26"/>
          <w:szCs w:val="26"/>
        </w:rPr>
      </w:pPr>
      <w:r w:rsidDel="00000000" w:rsidR="00000000" w:rsidRPr="00000000">
        <w:rPr>
          <w:rFonts w:ascii="Roboto" w:cs="Roboto" w:eastAsia="Roboto" w:hAnsi="Roboto"/>
          <w:color w:val="222222"/>
          <w:sz w:val="26"/>
          <w:szCs w:val="26"/>
        </w:rPr>
        <w:drawing>
          <wp:inline distB="114300" distT="114300" distL="114300" distR="114300">
            <wp:extent cx="5943600" cy="4216400"/>
            <wp:effectExtent b="0" l="0" r="0" t="0"/>
            <wp:docPr id="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Each piece of labware has specific instructions on how to calibrate within the app itself, so use the pictures on the app as a reference on where and how to correctly calibrate each container. </w:t>
      </w:r>
    </w:p>
    <w:p w:rsidR="00000000" w:rsidDel="00000000" w:rsidP="00000000" w:rsidRDefault="00000000" w:rsidRPr="00000000" w14:paraId="0000000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0" w:line="297.59999999999997" w:lineRule="auto"/>
        <w:rPr>
          <w:rFonts w:ascii="Roboto" w:cs="Roboto" w:eastAsia="Roboto" w:hAnsi="Roboto"/>
          <w:color w:val="222222"/>
          <w:sz w:val="33"/>
          <w:szCs w:val="33"/>
        </w:rPr>
      </w:pPr>
      <w:bookmarkStart w:colFirst="0" w:colLast="0" w:name="_5usupryv0xaq" w:id="2"/>
      <w:bookmarkEnd w:id="2"/>
      <w:r w:rsidDel="00000000" w:rsidR="00000000" w:rsidRPr="00000000">
        <w:rPr>
          <w:rFonts w:ascii="Roboto" w:cs="Roboto" w:eastAsia="Roboto" w:hAnsi="Roboto"/>
          <w:color w:val="222222"/>
          <w:sz w:val="33"/>
          <w:szCs w:val="33"/>
          <w:rtl w:val="0"/>
        </w:rPr>
        <w:t xml:space="preserve">Calibrating the Tip Rack</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Let's begin by selecting and calibrating a tip rack from the app’s container list:</w:t>
      </w:r>
    </w:p>
    <w:p w:rsidR="00000000" w:rsidDel="00000000" w:rsidP="00000000" w:rsidRDefault="00000000" w:rsidRPr="00000000" w14:paraId="00000010">
      <w:pPr>
        <w:shd w:fill="ffffff" w:val="clear"/>
        <w:jc w:val="center"/>
        <w:rPr>
          <w:rFonts w:ascii="Roboto" w:cs="Roboto" w:eastAsia="Roboto" w:hAnsi="Roboto"/>
          <w:color w:val="222222"/>
          <w:sz w:val="26"/>
          <w:szCs w:val="26"/>
        </w:rPr>
      </w:pPr>
      <w:r w:rsidDel="00000000" w:rsidR="00000000" w:rsidRPr="00000000">
        <w:rPr>
          <w:rFonts w:ascii="Roboto" w:cs="Roboto" w:eastAsia="Roboto" w:hAnsi="Roboto"/>
          <w:color w:val="222222"/>
          <w:sz w:val="26"/>
          <w:szCs w:val="26"/>
        </w:rPr>
        <w:drawing>
          <wp:inline distB="114300" distT="114300" distL="114300" distR="114300">
            <wp:extent cx="5943600" cy="2857500"/>
            <wp:effectExtent b="0" l="0" r="0" t="0"/>
            <wp:docPr id="10"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For all tip racks, the OT-One must have it’s pipette inside of the tip in the lower left corner (Designated as Tip “A1” in the very first/front row of the tip rack), such that it is creating a seal by being properly seated.</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Saving a tip rack calibration position involves the following steps:</w:t>
      </w:r>
    </w:p>
    <w:p w:rsidR="00000000" w:rsidDel="00000000" w:rsidP="00000000" w:rsidRDefault="00000000" w:rsidRPr="00000000" w14:paraId="00000013">
      <w:pPr>
        <w:numPr>
          <w:ilvl w:val="0"/>
          <w:numId w:val="2"/>
        </w:numPr>
        <w:spacing w:after="0" w:afterAutospacing="0" w:before="260" w:line="367.2" w:lineRule="auto"/>
        <w:ind w:left="940" w:hanging="360"/>
      </w:pPr>
      <w:r w:rsidDel="00000000" w:rsidR="00000000" w:rsidRPr="00000000">
        <w:rPr>
          <w:rFonts w:ascii="Roboto" w:cs="Roboto" w:eastAsia="Roboto" w:hAnsi="Roboto"/>
          <w:color w:val="222222"/>
          <w:sz w:val="26"/>
          <w:szCs w:val="26"/>
          <w:rtl w:val="0"/>
        </w:rPr>
        <w:t xml:space="preserve">Use the jog buttons to move the pipette inside tip “A1”</w:t>
      </w:r>
    </w:p>
    <w:p w:rsidR="00000000" w:rsidDel="00000000" w:rsidP="00000000" w:rsidRDefault="00000000" w:rsidRPr="00000000" w14:paraId="00000014">
      <w:pPr>
        <w:numPr>
          <w:ilvl w:val="0"/>
          <w:numId w:val="2"/>
        </w:numPr>
        <w:spacing w:after="0" w:afterAutospacing="0" w:before="0" w:beforeAutospacing="0" w:line="367.2" w:lineRule="auto"/>
        <w:ind w:left="940" w:hanging="360"/>
      </w:pPr>
      <w:r w:rsidDel="00000000" w:rsidR="00000000" w:rsidRPr="00000000">
        <w:rPr>
          <w:rFonts w:ascii="Roboto" w:cs="Roboto" w:eastAsia="Roboto" w:hAnsi="Roboto"/>
          <w:color w:val="222222"/>
          <w:sz w:val="26"/>
          <w:szCs w:val="26"/>
          <w:rtl w:val="0"/>
        </w:rPr>
        <w:t xml:space="preserve">Once properly seated inside the tip, press the “SAVE” button</w:t>
      </w:r>
    </w:p>
    <w:p w:rsidR="00000000" w:rsidDel="00000000" w:rsidP="00000000" w:rsidRDefault="00000000" w:rsidRPr="00000000" w14:paraId="00000015">
      <w:pPr>
        <w:numPr>
          <w:ilvl w:val="0"/>
          <w:numId w:val="2"/>
        </w:numPr>
        <w:spacing w:after="0" w:afterAutospacing="0" w:before="0" w:beforeAutospacing="0" w:line="367.2" w:lineRule="auto"/>
        <w:ind w:left="940" w:hanging="360"/>
      </w:pPr>
      <w:r w:rsidDel="00000000" w:rsidR="00000000" w:rsidRPr="00000000">
        <w:rPr>
          <w:rFonts w:ascii="Roboto" w:cs="Roboto" w:eastAsia="Roboto" w:hAnsi="Roboto"/>
          <w:color w:val="222222"/>
          <w:sz w:val="26"/>
          <w:szCs w:val="26"/>
          <w:rtl w:val="0"/>
        </w:rPr>
        <w:t xml:space="preserve">Test the saved position by pressing home “ALL”, then press the "MOVE TO" button. The robot should move to the recently saved position.</w:t>
      </w:r>
    </w:p>
    <w:p w:rsidR="00000000" w:rsidDel="00000000" w:rsidP="00000000" w:rsidRDefault="00000000" w:rsidRPr="00000000" w14:paraId="00000016">
      <w:pPr>
        <w:numPr>
          <w:ilvl w:val="0"/>
          <w:numId w:val="2"/>
        </w:numPr>
        <w:spacing w:after="260" w:before="0" w:beforeAutospacing="0" w:line="367.2" w:lineRule="auto"/>
        <w:ind w:left="940" w:hanging="360"/>
      </w:pPr>
      <w:r w:rsidDel="00000000" w:rsidR="00000000" w:rsidRPr="00000000">
        <w:rPr>
          <w:rFonts w:ascii="Roboto" w:cs="Roboto" w:eastAsia="Roboto" w:hAnsi="Roboto"/>
          <w:color w:val="222222"/>
          <w:sz w:val="26"/>
          <w:szCs w:val="26"/>
          <w:rtl w:val="0"/>
        </w:rPr>
        <w:t xml:space="preserve">After you've saved</w:t>
      </w:r>
      <w:hyperlink r:id="rId19">
        <w:r w:rsidDel="00000000" w:rsidR="00000000" w:rsidRPr="00000000">
          <w:rPr>
            <w:rFonts w:ascii="Roboto" w:cs="Roboto" w:eastAsia="Roboto" w:hAnsi="Roboto"/>
            <w:color w:val="222222"/>
            <w:sz w:val="26"/>
            <w:szCs w:val="26"/>
            <w:rtl w:val="0"/>
          </w:rPr>
          <w:t xml:space="preserve"> </w:t>
        </w:r>
      </w:hyperlink>
      <w:hyperlink r:id="rId20">
        <w:r w:rsidDel="00000000" w:rsidR="00000000" w:rsidRPr="00000000">
          <w:rPr>
            <w:rFonts w:ascii="Roboto" w:cs="Roboto" w:eastAsia="Roboto" w:hAnsi="Roboto"/>
            <w:color w:val="006fff"/>
            <w:sz w:val="26"/>
            <w:szCs w:val="26"/>
            <w:u w:val="single"/>
            <w:rtl w:val="0"/>
          </w:rPr>
          <w:t xml:space="preserve">pipette calibrations</w:t>
        </w:r>
      </w:hyperlink>
      <w:r w:rsidDel="00000000" w:rsidR="00000000" w:rsidRPr="00000000">
        <w:rPr>
          <w:rFonts w:ascii="Roboto" w:cs="Roboto" w:eastAsia="Roboto" w:hAnsi="Roboto"/>
          <w:color w:val="222222"/>
          <w:sz w:val="26"/>
          <w:szCs w:val="26"/>
          <w:rtl w:val="0"/>
        </w:rPr>
        <w:t xml:space="preserve">, click the "PICK UP TIP" and "DROP TIP" buttons on the tip rack calibration screen to make sure the pipette accurately picks up and drops the pipette tip.</w:t>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**If you need to correct your calibration, hit "SAVE" again, and it will overwrite the previously saved position. Once you have a saved calibration position for a container, a green check mark will appear next to the container name.</w:t>
      </w:r>
    </w:p>
    <w:p w:rsidR="00000000" w:rsidDel="00000000" w:rsidP="00000000" w:rsidRDefault="00000000" w:rsidRPr="00000000" w14:paraId="00000018">
      <w:pPr>
        <w:shd w:fill="ffffff" w:val="clear"/>
        <w:jc w:val="center"/>
        <w:rPr>
          <w:rFonts w:ascii="Roboto" w:cs="Roboto" w:eastAsia="Roboto" w:hAnsi="Roboto"/>
          <w:color w:val="222222"/>
          <w:sz w:val="26"/>
          <w:szCs w:val="26"/>
        </w:rPr>
      </w:pPr>
      <w:r w:rsidDel="00000000" w:rsidR="00000000" w:rsidRPr="00000000">
        <w:rPr>
          <w:rFonts w:ascii="Roboto" w:cs="Roboto" w:eastAsia="Roboto" w:hAnsi="Roboto"/>
          <w:color w:val="222222"/>
          <w:sz w:val="26"/>
          <w:szCs w:val="26"/>
        </w:rPr>
        <w:drawing>
          <wp:inline distB="114300" distT="114300" distL="114300" distR="114300">
            <wp:extent cx="5943600" cy="3987800"/>
            <wp:effectExtent b="0" l="0" r="0" t="0"/>
            <wp:docPr id="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0" w:line="297.59999999999997" w:lineRule="auto"/>
        <w:rPr>
          <w:rFonts w:ascii="Roboto" w:cs="Roboto" w:eastAsia="Roboto" w:hAnsi="Roboto"/>
          <w:color w:val="222222"/>
          <w:sz w:val="33"/>
          <w:szCs w:val="33"/>
        </w:rPr>
      </w:pPr>
      <w:bookmarkStart w:colFirst="0" w:colLast="0" w:name="_kahnnn7e1fhj" w:id="3"/>
      <w:bookmarkEnd w:id="3"/>
      <w:r w:rsidDel="00000000" w:rsidR="00000000" w:rsidRPr="00000000">
        <w:rPr>
          <w:rFonts w:ascii="Roboto" w:cs="Roboto" w:eastAsia="Roboto" w:hAnsi="Roboto"/>
          <w:color w:val="222222"/>
          <w:sz w:val="33"/>
          <w:szCs w:val="33"/>
          <w:rtl w:val="0"/>
        </w:rPr>
        <w:t xml:space="preserve">Calibrating other containers</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hd w:fill="ffffff" w:val="clear"/>
        <w:spacing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Next, you need to save the position of all the other containers needed for your protocol. Let's select and calibrate the 'plate' from the container's list in the app.</w:t>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line="367.2" w:lineRule="auto"/>
        <w:rPr>
          <w:rFonts w:ascii="Roboto" w:cs="Roboto" w:eastAsia="Roboto" w:hAnsi="Roboto"/>
          <w:color w:val="222222"/>
          <w:sz w:val="26"/>
          <w:szCs w:val="26"/>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All other containers must be saved with a tip currently attached to the pipette, so add one now if you need to.</w:t>
      </w:r>
    </w:p>
    <w:p w:rsidR="00000000" w:rsidDel="00000000" w:rsidP="00000000" w:rsidRDefault="00000000" w:rsidRPr="00000000" w14:paraId="0000001D">
      <w:pPr>
        <w:shd w:fill="ffffff" w:val="clear"/>
        <w:jc w:val="center"/>
        <w:rPr>
          <w:rFonts w:ascii="Roboto" w:cs="Roboto" w:eastAsia="Roboto" w:hAnsi="Roboto"/>
          <w:color w:val="222222"/>
          <w:sz w:val="26"/>
          <w:szCs w:val="26"/>
        </w:rPr>
      </w:pPr>
      <w:r w:rsidDel="00000000" w:rsidR="00000000" w:rsidRPr="00000000">
        <w:rPr>
          <w:rFonts w:ascii="Roboto" w:cs="Roboto" w:eastAsia="Roboto" w:hAnsi="Roboto"/>
          <w:color w:val="222222"/>
          <w:sz w:val="26"/>
          <w:szCs w:val="26"/>
        </w:rPr>
        <w:drawing>
          <wp:inline distB="114300" distT="114300" distL="114300" distR="114300">
            <wp:extent cx="5943600" cy="2794000"/>
            <wp:effectExtent b="0" l="0" r="0" t="0"/>
            <wp:docPr id="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Saving a 'plate' container involves the following steps:</w:t>
      </w:r>
    </w:p>
    <w:p w:rsidR="00000000" w:rsidDel="00000000" w:rsidP="00000000" w:rsidRDefault="00000000" w:rsidRPr="00000000" w14:paraId="0000001F">
      <w:pPr>
        <w:numPr>
          <w:ilvl w:val="0"/>
          <w:numId w:val="1"/>
        </w:numPr>
        <w:spacing w:after="0" w:afterAutospacing="0" w:before="260" w:line="367.2" w:lineRule="auto"/>
        <w:ind w:left="940" w:hanging="360"/>
      </w:pPr>
      <w:r w:rsidDel="00000000" w:rsidR="00000000" w:rsidRPr="00000000">
        <w:rPr>
          <w:rFonts w:ascii="Roboto" w:cs="Roboto" w:eastAsia="Roboto" w:hAnsi="Roboto"/>
          <w:color w:val="222222"/>
          <w:sz w:val="26"/>
          <w:szCs w:val="26"/>
          <w:rtl w:val="0"/>
        </w:rPr>
        <w:t xml:space="preserve">Use the jog buttons to move the pipette to the center and bottom of the plate's lower left well ("Well A1")</w:t>
      </w:r>
    </w:p>
    <w:p w:rsidR="00000000" w:rsidDel="00000000" w:rsidP="00000000" w:rsidRDefault="00000000" w:rsidRPr="00000000" w14:paraId="00000020">
      <w:pPr>
        <w:numPr>
          <w:ilvl w:val="0"/>
          <w:numId w:val="1"/>
        </w:numPr>
        <w:spacing w:after="0" w:afterAutospacing="0" w:before="0" w:beforeAutospacing="0" w:line="367.2" w:lineRule="auto"/>
        <w:ind w:left="940" w:hanging="360"/>
      </w:pPr>
      <w:r w:rsidDel="00000000" w:rsidR="00000000" w:rsidRPr="00000000">
        <w:rPr>
          <w:rFonts w:ascii="Roboto" w:cs="Roboto" w:eastAsia="Roboto" w:hAnsi="Roboto"/>
          <w:color w:val="222222"/>
          <w:sz w:val="26"/>
          <w:szCs w:val="26"/>
          <w:rtl w:val="0"/>
        </w:rPr>
        <w:t xml:space="preserve">Once properly inside the well (as depicted in the app), press the “SAVE” button</w:t>
      </w:r>
    </w:p>
    <w:p w:rsidR="00000000" w:rsidDel="00000000" w:rsidP="00000000" w:rsidRDefault="00000000" w:rsidRPr="00000000" w14:paraId="00000021">
      <w:pPr>
        <w:numPr>
          <w:ilvl w:val="0"/>
          <w:numId w:val="1"/>
        </w:numPr>
        <w:spacing w:after="260" w:before="0" w:beforeAutospacing="0" w:line="367.2" w:lineRule="auto"/>
        <w:ind w:left="940" w:hanging="360"/>
      </w:pPr>
      <w:r w:rsidDel="00000000" w:rsidR="00000000" w:rsidRPr="00000000">
        <w:rPr>
          <w:rFonts w:ascii="Roboto" w:cs="Roboto" w:eastAsia="Roboto" w:hAnsi="Roboto"/>
          <w:color w:val="222222"/>
          <w:sz w:val="26"/>
          <w:szCs w:val="26"/>
          <w:rtl w:val="0"/>
        </w:rPr>
        <w:t xml:space="preserve">Test the saved position by pressing home “ALL”, and then “MOVE TO” on that container.</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spacing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Repeat for all other containers you may have for your protocol.</w:t>
      </w:r>
    </w:p>
    <w:p w:rsidR="00000000" w:rsidDel="00000000" w:rsidP="00000000" w:rsidRDefault="00000000" w:rsidRPr="00000000" w14:paraId="0000002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60" w:before="0" w:line="297.59999999999997" w:lineRule="auto"/>
        <w:rPr>
          <w:rFonts w:ascii="Roboto" w:cs="Roboto" w:eastAsia="Roboto" w:hAnsi="Roboto"/>
          <w:color w:val="222222"/>
          <w:sz w:val="33"/>
          <w:szCs w:val="33"/>
        </w:rPr>
      </w:pPr>
      <w:bookmarkStart w:colFirst="0" w:colLast="0" w:name="_hd1gsxpk9jh" w:id="4"/>
      <w:bookmarkEnd w:id="4"/>
      <w:r w:rsidDel="00000000" w:rsidR="00000000" w:rsidRPr="00000000">
        <w:rPr>
          <w:rFonts w:ascii="Roboto" w:cs="Roboto" w:eastAsia="Roboto" w:hAnsi="Roboto"/>
          <w:color w:val="222222"/>
          <w:sz w:val="33"/>
          <w:szCs w:val="33"/>
          <w:rtl w:val="0"/>
        </w:rPr>
        <w:t xml:space="preserve">Deck Slot Movements</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One way to quickly move the robot to certain deck slot positions is to use the "Move to Slot" buttons in the bottom left corner of the app. The robot will jump around the deck for easy and quick access to container slots.</w:t>
      </w:r>
    </w:p>
    <w:p w:rsidR="00000000" w:rsidDel="00000000" w:rsidP="00000000" w:rsidRDefault="00000000" w:rsidRPr="00000000" w14:paraId="00000025">
      <w:pPr>
        <w:shd w:fill="ffffff" w:val="clear"/>
        <w:jc w:val="center"/>
        <w:rPr>
          <w:rFonts w:ascii="Roboto" w:cs="Roboto" w:eastAsia="Roboto" w:hAnsi="Roboto"/>
          <w:color w:val="222222"/>
          <w:sz w:val="26"/>
          <w:szCs w:val="26"/>
        </w:rPr>
      </w:pPr>
      <w:r w:rsidDel="00000000" w:rsidR="00000000" w:rsidRPr="00000000">
        <w:rPr>
          <w:rFonts w:ascii="Roboto" w:cs="Roboto" w:eastAsia="Roboto" w:hAnsi="Roboto"/>
          <w:color w:val="222222"/>
          <w:sz w:val="26"/>
          <w:szCs w:val="26"/>
        </w:rPr>
        <w:drawing>
          <wp:inline distB="114300" distT="114300" distL="114300" distR="114300">
            <wp:extent cx="5943600" cy="3987800"/>
            <wp:effectExtent b="0" l="0" r="0" t="0"/>
            <wp:docPr id="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line="367.2" w:lineRule="auto"/>
        <w:rPr>
          <w:rFonts w:ascii="Roboto" w:cs="Roboto" w:eastAsia="Roboto" w:hAnsi="Roboto"/>
          <w:color w:val="222222"/>
          <w:sz w:val="26"/>
          <w:szCs w:val="26"/>
        </w:rPr>
      </w:pPr>
      <w:r w:rsidDel="00000000" w:rsidR="00000000" w:rsidRPr="00000000">
        <w:rPr>
          <w:rFonts w:ascii="Roboto" w:cs="Roboto" w:eastAsia="Roboto" w:hAnsi="Roboto"/>
          <w:color w:val="222222"/>
          <w:sz w:val="26"/>
          <w:szCs w:val="26"/>
          <w:rtl w:val="0"/>
        </w:rPr>
        <w:t xml:space="preserve">Once all of your labware containers are calibrated, make sure to also calibrate your</w:t>
      </w:r>
      <w:hyperlink r:id="rId24">
        <w:r w:rsidDel="00000000" w:rsidR="00000000" w:rsidRPr="00000000">
          <w:rPr>
            <w:rFonts w:ascii="Roboto" w:cs="Roboto" w:eastAsia="Roboto" w:hAnsi="Roboto"/>
            <w:color w:val="222222"/>
            <w:sz w:val="26"/>
            <w:szCs w:val="26"/>
            <w:rtl w:val="0"/>
          </w:rPr>
          <w:t xml:space="preserve"> </w:t>
        </w:r>
      </w:hyperlink>
      <w:hyperlink r:id="rId25">
        <w:r w:rsidDel="00000000" w:rsidR="00000000" w:rsidRPr="00000000">
          <w:rPr>
            <w:rFonts w:ascii="Roboto" w:cs="Roboto" w:eastAsia="Roboto" w:hAnsi="Roboto"/>
            <w:color w:val="006fff"/>
            <w:sz w:val="26"/>
            <w:szCs w:val="26"/>
            <w:u w:val="single"/>
            <w:rtl w:val="0"/>
          </w:rPr>
          <w:t xml:space="preserve">pipette(s)</w:t>
        </w:r>
      </w:hyperlink>
      <w:r w:rsidDel="00000000" w:rsidR="00000000" w:rsidRPr="00000000">
        <w:rPr>
          <w:rFonts w:ascii="Roboto" w:cs="Roboto" w:eastAsia="Roboto" w:hAnsi="Roboto"/>
          <w:color w:val="222222"/>
          <w:sz w:val="26"/>
          <w:szCs w:val="26"/>
          <w:rtl w:val="0"/>
        </w:rPr>
        <w:t xml:space="preserve">!</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222222"/>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222222"/>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upport.opentrons.com/getting-started/how-to-calibrate-containers-and-pipettes/calibrating-the-pipettes" TargetMode="External"/><Relationship Id="rId22" Type="http://schemas.openxmlformats.org/officeDocument/2006/relationships/image" Target="media/image1.png"/><Relationship Id="rId21" Type="http://schemas.openxmlformats.org/officeDocument/2006/relationships/image" Target="media/image6.png"/><Relationship Id="rId24" Type="http://schemas.openxmlformats.org/officeDocument/2006/relationships/hyperlink" Target="http://support.opentrons.com/getting-started/how-to-calibrate-containers-and-pipettes/calibrating-the-pipettes"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upport.opentrons.com/getting-started/how-to-run-protocols/downloading-protocols" TargetMode="External"/><Relationship Id="rId25" Type="http://schemas.openxmlformats.org/officeDocument/2006/relationships/hyperlink" Target="http://support.opentrons.com/getting-started/how-to-calibrate-containers-and-pipettes/calibrating-the-pipettes" TargetMode="External"/><Relationship Id="rId5" Type="http://schemas.openxmlformats.org/officeDocument/2006/relationships/styles" Target="styles.xml"/><Relationship Id="rId6" Type="http://schemas.openxmlformats.org/officeDocument/2006/relationships/hyperlink" Target="https://support.opentrons.com/" TargetMode="External"/><Relationship Id="rId7" Type="http://schemas.openxmlformats.org/officeDocument/2006/relationships/hyperlink" Target="https://support.opentrons.com/" TargetMode="External"/><Relationship Id="rId8" Type="http://schemas.openxmlformats.org/officeDocument/2006/relationships/hyperlink" Target="http://support.opentrons.com/getting-started/how-to-run-protocols/downloading-protocols" TargetMode="External"/><Relationship Id="rId11" Type="http://schemas.openxmlformats.org/officeDocument/2006/relationships/hyperlink" Target="http://support.opentrons.com/getting-started/how-to-run-protocols/load-and-run-your-first-protocol" TargetMode="External"/><Relationship Id="rId10" Type="http://schemas.openxmlformats.org/officeDocument/2006/relationships/hyperlink" Target="http://support.opentrons.com/getting-started/how-to-run-protocols/load-and-run-your-first-protocol" TargetMode="External"/><Relationship Id="rId13" Type="http://schemas.openxmlformats.org/officeDocument/2006/relationships/image" Target="media/image4.png"/><Relationship Id="rId12"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0.png"/><Relationship Id="rId19" Type="http://schemas.openxmlformats.org/officeDocument/2006/relationships/hyperlink" Target="http://support.opentrons.com/getting-started/how-to-calibrate-containers-and-pipettes/calibrating-the-pipettes"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