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971C24B" w14:textId="77777777" w:rsidTr="00F12F9A">
        <w:tc>
          <w:tcPr>
            <w:tcW w:w="3816" w:type="dxa"/>
            <w:shd w:val="clear" w:color="auto" w:fill="808080" w:themeFill="background1" w:themeFillShade="80"/>
            <w:vAlign w:val="center"/>
          </w:tcPr>
          <w:p w14:paraId="5C1C6C40" w14:textId="44D43C83"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w:t>
            </w:r>
          </w:p>
        </w:tc>
      </w:tr>
    </w:tbl>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3D34221" w14:textId="77777777" w:rsidTr="00F12F9A">
        <w:trPr>
          <w:jc w:val="right"/>
        </w:trPr>
        <w:tc>
          <w:tcPr>
            <w:tcW w:w="3816" w:type="dxa"/>
            <w:shd w:val="clear" w:color="auto" w:fill="FFFFFF" w:themeFill="background1"/>
            <w:vAlign w:val="center"/>
          </w:tcPr>
          <w:p w14:paraId="471DF881" w14:textId="4A820CA0"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80F4F0D"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FF49074" w14:textId="77777777" w:rsidTr="00F12F9A">
        <w:tc>
          <w:tcPr>
            <w:tcW w:w="3816" w:type="dxa"/>
            <w:shd w:val="clear" w:color="auto" w:fill="808080" w:themeFill="background1" w:themeFillShade="80"/>
            <w:vAlign w:val="center"/>
          </w:tcPr>
          <w:p w14:paraId="19864AE9" w14:textId="3347C93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w:t>
            </w:r>
          </w:p>
        </w:tc>
      </w:tr>
    </w:tbl>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BCF1F79" w14:textId="77777777" w:rsidTr="00F12F9A">
        <w:trPr>
          <w:jc w:val="right"/>
        </w:trPr>
        <w:tc>
          <w:tcPr>
            <w:tcW w:w="3816" w:type="dxa"/>
            <w:shd w:val="clear" w:color="auto" w:fill="FFFFFF" w:themeFill="background1"/>
            <w:vAlign w:val="center"/>
          </w:tcPr>
          <w:p w14:paraId="7B0AE3B9" w14:textId="1F1FCFBB"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3E4CA63"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1EFFE17" w14:textId="77777777" w:rsidTr="00F12F9A">
        <w:tc>
          <w:tcPr>
            <w:tcW w:w="3816" w:type="dxa"/>
            <w:shd w:val="clear" w:color="auto" w:fill="808080" w:themeFill="background1" w:themeFillShade="80"/>
            <w:vAlign w:val="center"/>
          </w:tcPr>
          <w:p w14:paraId="230F02ED" w14:textId="0CB3E75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w:t>
            </w:r>
          </w:p>
        </w:tc>
      </w:tr>
    </w:tbl>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811EC53" w14:textId="77777777" w:rsidTr="00F12F9A">
        <w:trPr>
          <w:jc w:val="right"/>
        </w:trPr>
        <w:tc>
          <w:tcPr>
            <w:tcW w:w="3816" w:type="dxa"/>
            <w:shd w:val="clear" w:color="auto" w:fill="FFFFFF" w:themeFill="background1"/>
            <w:vAlign w:val="center"/>
          </w:tcPr>
          <w:p w14:paraId="4BB273D1" w14:textId="42E5FF08"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8A4F26B"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5C140AD" w14:textId="77777777" w:rsidTr="00F12F9A">
        <w:tc>
          <w:tcPr>
            <w:tcW w:w="3816" w:type="dxa"/>
            <w:shd w:val="clear" w:color="auto" w:fill="808080" w:themeFill="background1" w:themeFillShade="80"/>
            <w:vAlign w:val="center"/>
          </w:tcPr>
          <w:p w14:paraId="661D1BD2" w14:textId="63E4CCB3"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w:t>
            </w:r>
          </w:p>
        </w:tc>
      </w:tr>
    </w:tbl>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access the cluster using kubectl,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a cluster's Kubernetes API endpoint has a public IP address, you can access the cluster in Cloud Shell by setting up a kubeconfig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only available option when a cluster's Kubernetes API endpoint has a public IP address is to control the cluster locally using kubectl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access the cluster using kubectl, you have to set up a Kubernetes configuration file stored in the $HOME/.kube directory</w:t>
      </w:r>
    </w:p>
    <w:p w14:paraId="3037AB5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70FA6915" w14:textId="77777777" w:rsidTr="00F12F9A">
        <w:trPr>
          <w:jc w:val="right"/>
        </w:trPr>
        <w:tc>
          <w:tcPr>
            <w:tcW w:w="3816" w:type="dxa"/>
            <w:shd w:val="clear" w:color="auto" w:fill="FFFFFF" w:themeFill="background1"/>
            <w:vAlign w:val="center"/>
          </w:tcPr>
          <w:p w14:paraId="6DB26C87" w14:textId="48A9792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C    </w:t>
            </w:r>
          </w:p>
        </w:tc>
      </w:tr>
    </w:tbl>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Setting up a Kubernetes manifest file in the $HOME/.manifest directory is not a standard practice for accessing a Kubernetes cluster using kubectl.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While controlling the cluster locally using kubectl and the Kubernetes Dashboard is one way to interact with a cluster, it is not the only available option when a cluster's Kubernetes API endpoint has a public IP address. You can also access and manage the cluster remotely using kubectl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373A80C"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7B2B8BC" w14:textId="77777777" w:rsidTr="00F12F9A">
        <w:tc>
          <w:tcPr>
            <w:tcW w:w="3816" w:type="dxa"/>
            <w:shd w:val="clear" w:color="auto" w:fill="808080" w:themeFill="background1" w:themeFillShade="80"/>
            <w:vAlign w:val="center"/>
          </w:tcPr>
          <w:p w14:paraId="5DD32156" w14:textId="082DDB47"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w:t>
            </w:r>
          </w:p>
        </w:tc>
      </w:tr>
    </w:tbl>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625C31C" w14:textId="77777777" w:rsidTr="00F12F9A">
        <w:trPr>
          <w:jc w:val="right"/>
        </w:trPr>
        <w:tc>
          <w:tcPr>
            <w:tcW w:w="3816" w:type="dxa"/>
            <w:shd w:val="clear" w:color="auto" w:fill="FFFFFF" w:themeFill="background1"/>
            <w:vAlign w:val="center"/>
          </w:tcPr>
          <w:p w14:paraId="136B4AEB" w14:textId="2278F9B3"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399D734"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50709DF" w14:textId="77777777" w:rsidTr="00F12F9A">
        <w:tc>
          <w:tcPr>
            <w:tcW w:w="3816" w:type="dxa"/>
            <w:shd w:val="clear" w:color="auto" w:fill="808080" w:themeFill="background1" w:themeFillShade="80"/>
            <w:vAlign w:val="center"/>
          </w:tcPr>
          <w:p w14:paraId="4DFBEEDA" w14:textId="6A2ECB3D"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6</w:t>
            </w:r>
          </w:p>
        </w:tc>
      </w:tr>
    </w:tbl>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E532877" w14:textId="77777777" w:rsidTr="00F12F9A">
        <w:trPr>
          <w:jc w:val="right"/>
        </w:trPr>
        <w:tc>
          <w:tcPr>
            <w:tcW w:w="3816" w:type="dxa"/>
            <w:shd w:val="clear" w:color="auto" w:fill="FFFFFF" w:themeFill="background1"/>
            <w:vAlign w:val="center"/>
          </w:tcPr>
          <w:p w14:paraId="19CFA755" w14:textId="23A29643"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54374A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D843513" w14:textId="77777777" w:rsidTr="00F12F9A">
        <w:tc>
          <w:tcPr>
            <w:tcW w:w="3816" w:type="dxa"/>
            <w:shd w:val="clear" w:color="auto" w:fill="808080" w:themeFill="background1" w:themeFillShade="80"/>
            <w:vAlign w:val="center"/>
          </w:tcPr>
          <w:p w14:paraId="4F0DBFCF" w14:textId="510B85C6"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7</w:t>
            </w:r>
          </w:p>
        </w:tc>
      </w:tr>
    </w:tbl>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F07E213" w14:textId="77777777" w:rsidTr="00F12F9A">
        <w:trPr>
          <w:jc w:val="right"/>
        </w:trPr>
        <w:tc>
          <w:tcPr>
            <w:tcW w:w="3816" w:type="dxa"/>
            <w:shd w:val="clear" w:color="auto" w:fill="FFFFFF" w:themeFill="background1"/>
            <w:vAlign w:val="center"/>
          </w:tcPr>
          <w:p w14:paraId="25FEE79B" w14:textId="29FB6DE2"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5032A1E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388E38F" w14:textId="77777777" w:rsidTr="00F12F9A">
        <w:tc>
          <w:tcPr>
            <w:tcW w:w="3816" w:type="dxa"/>
            <w:shd w:val="clear" w:color="auto" w:fill="808080" w:themeFill="background1" w:themeFillShade="80"/>
            <w:vAlign w:val="center"/>
          </w:tcPr>
          <w:p w14:paraId="60A921F7" w14:textId="4AE27A6E"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8</w:t>
            </w:r>
          </w:p>
        </w:tc>
      </w:tr>
    </w:tbl>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77E935C" w14:textId="77777777" w:rsidTr="00F12F9A">
        <w:trPr>
          <w:jc w:val="right"/>
        </w:trPr>
        <w:tc>
          <w:tcPr>
            <w:tcW w:w="3816" w:type="dxa"/>
            <w:shd w:val="clear" w:color="auto" w:fill="FFFFFF" w:themeFill="background1"/>
            <w:vAlign w:val="center"/>
          </w:tcPr>
          <w:p w14:paraId="559A320A" w14:textId="07F1F053"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D, E    </w:t>
            </w:r>
          </w:p>
        </w:tc>
      </w:tr>
    </w:tbl>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BDCFF4C"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EB39DF1" w14:textId="77777777" w:rsidTr="00F12F9A">
        <w:tc>
          <w:tcPr>
            <w:tcW w:w="3816" w:type="dxa"/>
            <w:shd w:val="clear" w:color="auto" w:fill="808080" w:themeFill="background1" w:themeFillShade="80"/>
            <w:vAlign w:val="center"/>
          </w:tcPr>
          <w:p w14:paraId="52E74E4C" w14:textId="41F8EBED"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9</w:t>
            </w:r>
          </w:p>
        </w:tc>
      </w:tr>
    </w:tbl>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20B917A8" w14:textId="77777777" w:rsidTr="00F12F9A">
        <w:trPr>
          <w:jc w:val="right"/>
        </w:trPr>
        <w:tc>
          <w:tcPr>
            <w:tcW w:w="3816" w:type="dxa"/>
            <w:shd w:val="clear" w:color="auto" w:fill="FFFFFF" w:themeFill="background1"/>
            <w:vAlign w:val="center"/>
          </w:tcPr>
          <w:p w14:paraId="0FD95C5D" w14:textId="60A245FF"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9CC66D4"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6054E27F" w14:textId="77777777" w:rsidTr="00F12F9A">
        <w:tc>
          <w:tcPr>
            <w:tcW w:w="3816" w:type="dxa"/>
            <w:shd w:val="clear" w:color="auto" w:fill="808080" w:themeFill="background1" w:themeFillShade="80"/>
            <w:vAlign w:val="center"/>
          </w:tcPr>
          <w:p w14:paraId="7A1A5C53" w14:textId="6BF57027"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10</w:t>
            </w:r>
          </w:p>
        </w:tc>
      </w:tr>
    </w:tbl>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F99190D" w14:textId="77777777" w:rsidTr="00F12F9A">
        <w:trPr>
          <w:jc w:val="right"/>
        </w:trPr>
        <w:tc>
          <w:tcPr>
            <w:tcW w:w="3816" w:type="dxa"/>
            <w:shd w:val="clear" w:color="auto" w:fill="FFFFFF" w:themeFill="background1"/>
            <w:vAlign w:val="center"/>
          </w:tcPr>
          <w:p w14:paraId="434EC2EF" w14:textId="54506A3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C, E    </w:t>
            </w:r>
          </w:p>
        </w:tc>
      </w:tr>
    </w:tbl>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67A96A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EE31811" w14:textId="77777777" w:rsidTr="00F12F9A">
        <w:tc>
          <w:tcPr>
            <w:tcW w:w="3816" w:type="dxa"/>
            <w:shd w:val="clear" w:color="auto" w:fill="808080" w:themeFill="background1" w:themeFillShade="80"/>
            <w:vAlign w:val="center"/>
          </w:tcPr>
          <w:p w14:paraId="56C7826B" w14:textId="0C00387C"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11</w:t>
            </w:r>
          </w:p>
        </w:tc>
      </w:tr>
    </w:tbl>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CB5FACD" w14:textId="77777777" w:rsidTr="00F12F9A">
        <w:trPr>
          <w:jc w:val="right"/>
        </w:trPr>
        <w:tc>
          <w:tcPr>
            <w:tcW w:w="3816" w:type="dxa"/>
            <w:shd w:val="clear" w:color="auto" w:fill="FFFFFF" w:themeFill="background1"/>
            <w:vAlign w:val="center"/>
          </w:tcPr>
          <w:p w14:paraId="76985306" w14:textId="09B6A3B5"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3B0C138"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9134982" w14:textId="77777777" w:rsidTr="00F12F9A">
        <w:tc>
          <w:tcPr>
            <w:tcW w:w="3816" w:type="dxa"/>
            <w:shd w:val="clear" w:color="auto" w:fill="808080" w:themeFill="background1" w:themeFillShade="80"/>
            <w:vAlign w:val="center"/>
          </w:tcPr>
          <w:p w14:paraId="6E51F43A" w14:textId="61E51C87"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12</w:t>
            </w:r>
          </w:p>
        </w:tc>
      </w:tr>
    </w:tbl>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9D4A3E1" w14:textId="77777777" w:rsidTr="00F12F9A">
        <w:trPr>
          <w:jc w:val="right"/>
        </w:trPr>
        <w:tc>
          <w:tcPr>
            <w:tcW w:w="3816" w:type="dxa"/>
            <w:shd w:val="clear" w:color="auto" w:fill="FFFFFF" w:themeFill="background1"/>
            <w:vAlign w:val="center"/>
          </w:tcPr>
          <w:p w14:paraId="49436709" w14:textId="6BC50162"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D79D9C6"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4058F56" w14:textId="77777777" w:rsidTr="00F12F9A">
        <w:tc>
          <w:tcPr>
            <w:tcW w:w="3816" w:type="dxa"/>
            <w:shd w:val="clear" w:color="auto" w:fill="808080" w:themeFill="background1" w:themeFillShade="80"/>
            <w:vAlign w:val="center"/>
          </w:tcPr>
          <w:p w14:paraId="0AF8C0B5" w14:textId="5FE0976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13</w:t>
            </w:r>
          </w:p>
        </w:tc>
      </w:tr>
    </w:tbl>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B9B4ADD" w14:textId="77777777" w:rsidTr="00F12F9A">
        <w:trPr>
          <w:jc w:val="right"/>
        </w:trPr>
        <w:tc>
          <w:tcPr>
            <w:tcW w:w="3816" w:type="dxa"/>
            <w:shd w:val="clear" w:color="auto" w:fill="FFFFFF" w:themeFill="background1"/>
            <w:vAlign w:val="center"/>
          </w:tcPr>
          <w:p w14:paraId="4EC3E0FE" w14:textId="78031EC0"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6797E49"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FDF5DF6" w14:textId="77777777" w:rsidTr="00F12F9A">
        <w:tc>
          <w:tcPr>
            <w:tcW w:w="3816" w:type="dxa"/>
            <w:shd w:val="clear" w:color="auto" w:fill="808080" w:themeFill="background1" w:themeFillShade="80"/>
            <w:vAlign w:val="center"/>
          </w:tcPr>
          <w:p w14:paraId="51CC261F" w14:textId="2224C199"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14</w:t>
            </w:r>
          </w:p>
        </w:tc>
      </w:tr>
    </w:tbl>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FC919AF" w14:textId="77777777" w:rsidTr="00F12F9A">
        <w:trPr>
          <w:jc w:val="right"/>
        </w:trPr>
        <w:tc>
          <w:tcPr>
            <w:tcW w:w="3816" w:type="dxa"/>
            <w:shd w:val="clear" w:color="auto" w:fill="FFFFFF" w:themeFill="background1"/>
            <w:vAlign w:val="center"/>
          </w:tcPr>
          <w:p w14:paraId="331961C9" w14:textId="2ACE9368"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D    </w:t>
            </w:r>
          </w:p>
        </w:tc>
      </w:tr>
    </w:tbl>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5E8433F"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F7A6A9B" w14:textId="77777777" w:rsidTr="00F12F9A">
        <w:tc>
          <w:tcPr>
            <w:tcW w:w="3816" w:type="dxa"/>
            <w:shd w:val="clear" w:color="auto" w:fill="808080" w:themeFill="background1" w:themeFillShade="80"/>
            <w:vAlign w:val="center"/>
          </w:tcPr>
          <w:p w14:paraId="4D7292E6" w14:textId="30AD3CDA"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15</w:t>
            </w:r>
          </w:p>
        </w:tc>
      </w:tr>
    </w:tbl>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876F3C9" w14:textId="77777777" w:rsidTr="00F12F9A">
        <w:trPr>
          <w:jc w:val="right"/>
        </w:trPr>
        <w:tc>
          <w:tcPr>
            <w:tcW w:w="3816" w:type="dxa"/>
            <w:shd w:val="clear" w:color="auto" w:fill="FFFFFF" w:themeFill="background1"/>
            <w:vAlign w:val="center"/>
          </w:tcPr>
          <w:p w14:paraId="1924EBCE" w14:textId="433D5632"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3D9D98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FF2758E" w14:textId="77777777" w:rsidTr="00F12F9A">
        <w:tc>
          <w:tcPr>
            <w:tcW w:w="3816" w:type="dxa"/>
            <w:shd w:val="clear" w:color="auto" w:fill="808080" w:themeFill="background1" w:themeFillShade="80"/>
            <w:vAlign w:val="center"/>
          </w:tcPr>
          <w:p w14:paraId="50C77C25" w14:textId="53D1B6E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16</w:t>
            </w:r>
          </w:p>
        </w:tc>
      </w:tr>
    </w:tbl>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1110E2F" w14:textId="77777777" w:rsidTr="00F12F9A">
        <w:trPr>
          <w:jc w:val="right"/>
        </w:trPr>
        <w:tc>
          <w:tcPr>
            <w:tcW w:w="3816" w:type="dxa"/>
            <w:shd w:val="clear" w:color="auto" w:fill="FFFFFF" w:themeFill="background1"/>
            <w:vAlign w:val="center"/>
          </w:tcPr>
          <w:p w14:paraId="5B784C39" w14:textId="5D72706A"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Planning and establishing a foundation is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2460FF7B"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7610445" w14:textId="77777777" w:rsidTr="00F12F9A">
        <w:tc>
          <w:tcPr>
            <w:tcW w:w="3816" w:type="dxa"/>
            <w:shd w:val="clear" w:color="auto" w:fill="808080" w:themeFill="background1" w:themeFillShade="80"/>
            <w:vAlign w:val="center"/>
          </w:tcPr>
          <w:p w14:paraId="0329D870" w14:textId="5D918EAC"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17</w:t>
            </w:r>
          </w:p>
        </w:tc>
      </w:tr>
    </w:tbl>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755C57B" w14:textId="77777777" w:rsidTr="00F12F9A">
        <w:trPr>
          <w:jc w:val="right"/>
        </w:trPr>
        <w:tc>
          <w:tcPr>
            <w:tcW w:w="3816" w:type="dxa"/>
            <w:shd w:val="clear" w:color="auto" w:fill="FFFFFF" w:themeFill="background1"/>
            <w:vAlign w:val="center"/>
          </w:tcPr>
          <w:p w14:paraId="14644FCA" w14:textId="4CAAA001"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w:t>
            </w:r>
          </w:p>
        </w:tc>
      </w:tr>
    </w:tbl>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527B09B"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59A1EF4" w14:textId="77777777" w:rsidTr="00F12F9A">
        <w:tc>
          <w:tcPr>
            <w:tcW w:w="3816" w:type="dxa"/>
            <w:shd w:val="clear" w:color="auto" w:fill="808080" w:themeFill="background1" w:themeFillShade="80"/>
            <w:vAlign w:val="center"/>
          </w:tcPr>
          <w:p w14:paraId="5EEAED2F" w14:textId="7AD62C7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18</w:t>
            </w:r>
          </w:p>
        </w:tc>
      </w:tr>
    </w:tbl>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D03A8F5" w14:textId="77777777" w:rsidTr="00F12F9A">
        <w:trPr>
          <w:jc w:val="right"/>
        </w:trPr>
        <w:tc>
          <w:tcPr>
            <w:tcW w:w="3816" w:type="dxa"/>
            <w:shd w:val="clear" w:color="auto" w:fill="FFFFFF" w:themeFill="background1"/>
            <w:vAlign w:val="center"/>
          </w:tcPr>
          <w:p w14:paraId="511F68C8" w14:textId="527635F7"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50F556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D566D5F" w14:textId="77777777" w:rsidTr="00F12F9A">
        <w:tc>
          <w:tcPr>
            <w:tcW w:w="3816" w:type="dxa"/>
            <w:shd w:val="clear" w:color="auto" w:fill="808080" w:themeFill="background1" w:themeFillShade="80"/>
            <w:vAlign w:val="center"/>
          </w:tcPr>
          <w:p w14:paraId="50CC6BF5" w14:textId="5ADD6B4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19</w:t>
            </w:r>
          </w:p>
        </w:tc>
      </w:tr>
    </w:tbl>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 for migrating business-critical VMs and HCX vMotion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vMotion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33FBBE3" w14:textId="77777777" w:rsidTr="00F12F9A">
        <w:trPr>
          <w:jc w:val="right"/>
        </w:trPr>
        <w:tc>
          <w:tcPr>
            <w:tcW w:w="3816" w:type="dxa"/>
            <w:shd w:val="clear" w:color="auto" w:fill="FFFFFF" w:themeFill="background1"/>
            <w:vAlign w:val="center"/>
          </w:tcPr>
          <w:p w14:paraId="46054548" w14:textId="5A2D61A2"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vMotion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70F879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2B9F1B62" w14:textId="77777777" w:rsidTr="00F12F9A">
        <w:tc>
          <w:tcPr>
            <w:tcW w:w="3816" w:type="dxa"/>
            <w:shd w:val="clear" w:color="auto" w:fill="808080" w:themeFill="background1" w:themeFillShade="80"/>
            <w:vAlign w:val="center"/>
          </w:tcPr>
          <w:p w14:paraId="76335DB7" w14:textId="575D1BDC"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20</w:t>
            </w:r>
          </w:p>
        </w:tc>
      </w:tr>
    </w:tbl>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A038ADB" w14:textId="77777777" w:rsidTr="00F12F9A">
        <w:trPr>
          <w:jc w:val="right"/>
        </w:trPr>
        <w:tc>
          <w:tcPr>
            <w:tcW w:w="3816" w:type="dxa"/>
            <w:shd w:val="clear" w:color="auto" w:fill="FFFFFF" w:themeFill="background1"/>
            <w:vAlign w:val="center"/>
          </w:tcPr>
          <w:p w14:paraId="45FD1B0D" w14:textId="629604AF"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B11515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35686B9" w14:textId="77777777" w:rsidTr="00F12F9A">
        <w:tc>
          <w:tcPr>
            <w:tcW w:w="3816" w:type="dxa"/>
            <w:shd w:val="clear" w:color="auto" w:fill="808080" w:themeFill="background1" w:themeFillShade="80"/>
            <w:vAlign w:val="center"/>
          </w:tcPr>
          <w:p w14:paraId="1674365F" w14:textId="2EE5C961"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21</w:t>
            </w:r>
          </w:p>
        </w:tc>
      </w:tr>
    </w:tbl>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E6C4E64" w14:textId="77777777" w:rsidTr="00F12F9A">
        <w:trPr>
          <w:jc w:val="right"/>
        </w:trPr>
        <w:tc>
          <w:tcPr>
            <w:tcW w:w="3816" w:type="dxa"/>
            <w:shd w:val="clear" w:color="auto" w:fill="FFFFFF" w:themeFill="background1"/>
            <w:vAlign w:val="center"/>
          </w:tcPr>
          <w:p w14:paraId="73BE1659" w14:textId="404317A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C    </w:t>
            </w:r>
          </w:p>
        </w:tc>
      </w:tr>
    </w:tbl>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533BB09"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26B5148" w14:textId="77777777" w:rsidTr="00F12F9A">
        <w:tc>
          <w:tcPr>
            <w:tcW w:w="3816" w:type="dxa"/>
            <w:shd w:val="clear" w:color="auto" w:fill="808080" w:themeFill="background1" w:themeFillShade="80"/>
            <w:vAlign w:val="center"/>
          </w:tcPr>
          <w:p w14:paraId="13C39D04" w14:textId="7F15C835"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22</w:t>
            </w:r>
          </w:p>
        </w:tc>
      </w:tr>
    </w:tbl>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FCDFB8B" w14:textId="77777777" w:rsidTr="00F12F9A">
        <w:trPr>
          <w:jc w:val="right"/>
        </w:trPr>
        <w:tc>
          <w:tcPr>
            <w:tcW w:w="3816" w:type="dxa"/>
            <w:shd w:val="clear" w:color="auto" w:fill="FFFFFF" w:themeFill="background1"/>
            <w:vAlign w:val="center"/>
          </w:tcPr>
          <w:p w14:paraId="1FB28CBD" w14:textId="46E85CB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D    </w:t>
            </w:r>
          </w:p>
        </w:tc>
      </w:tr>
    </w:tbl>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87EFD9C"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EF16EF2" w14:textId="77777777" w:rsidTr="00F12F9A">
        <w:tc>
          <w:tcPr>
            <w:tcW w:w="3816" w:type="dxa"/>
            <w:shd w:val="clear" w:color="auto" w:fill="808080" w:themeFill="background1" w:themeFillShade="80"/>
            <w:vAlign w:val="center"/>
          </w:tcPr>
          <w:p w14:paraId="5B935A06" w14:textId="3DF62335"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23</w:t>
            </w:r>
          </w:p>
        </w:tc>
      </w:tr>
    </w:tbl>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vMotion</w:t>
      </w:r>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Replication Assisted vMotion</w:t>
      </w:r>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A4085A7" w14:textId="77777777" w:rsidTr="00F12F9A">
        <w:trPr>
          <w:jc w:val="right"/>
        </w:trPr>
        <w:tc>
          <w:tcPr>
            <w:tcW w:w="3816" w:type="dxa"/>
            <w:shd w:val="clear" w:color="auto" w:fill="FFFFFF" w:themeFill="background1"/>
            <w:vAlign w:val="center"/>
          </w:tcPr>
          <w:p w14:paraId="0271290D" w14:textId="23E5126F"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Replication Assisted vMotion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F33F7FF"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D7044B8" w14:textId="77777777" w:rsidTr="00F12F9A">
        <w:tc>
          <w:tcPr>
            <w:tcW w:w="3816" w:type="dxa"/>
            <w:shd w:val="clear" w:color="auto" w:fill="808080" w:themeFill="background1" w:themeFillShade="80"/>
            <w:vAlign w:val="center"/>
          </w:tcPr>
          <w:p w14:paraId="208585F1" w14:textId="14C67B8E"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24</w:t>
            </w:r>
          </w:p>
        </w:tc>
      </w:tr>
    </w:tbl>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1462940" w14:textId="77777777" w:rsidTr="00F12F9A">
        <w:trPr>
          <w:jc w:val="right"/>
        </w:trPr>
        <w:tc>
          <w:tcPr>
            <w:tcW w:w="3816" w:type="dxa"/>
            <w:shd w:val="clear" w:color="auto" w:fill="FFFFFF" w:themeFill="background1"/>
            <w:vAlign w:val="center"/>
          </w:tcPr>
          <w:p w14:paraId="1F8876E6" w14:textId="0B8E603A"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w:t>
            </w:r>
          </w:p>
        </w:tc>
      </w:tr>
    </w:tbl>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00F0D85"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DB38E00" w14:textId="77777777" w:rsidTr="00F12F9A">
        <w:tc>
          <w:tcPr>
            <w:tcW w:w="3816" w:type="dxa"/>
            <w:shd w:val="clear" w:color="auto" w:fill="808080" w:themeFill="background1" w:themeFillShade="80"/>
            <w:vAlign w:val="center"/>
          </w:tcPr>
          <w:p w14:paraId="203AE017" w14:textId="3122AF49"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25</w:t>
            </w:r>
          </w:p>
        </w:tc>
      </w:tr>
    </w:tbl>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F7298D5" w14:textId="77777777" w:rsidTr="00F12F9A">
        <w:trPr>
          <w:jc w:val="right"/>
        </w:trPr>
        <w:tc>
          <w:tcPr>
            <w:tcW w:w="3816" w:type="dxa"/>
            <w:shd w:val="clear" w:color="auto" w:fill="FFFFFF" w:themeFill="background1"/>
            <w:vAlign w:val="center"/>
          </w:tcPr>
          <w:p w14:paraId="3691B8FD" w14:textId="1C732AC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72BAE86"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E266353" w14:textId="77777777" w:rsidTr="00F12F9A">
        <w:tc>
          <w:tcPr>
            <w:tcW w:w="3816" w:type="dxa"/>
            <w:shd w:val="clear" w:color="auto" w:fill="808080" w:themeFill="background1" w:themeFillShade="80"/>
            <w:vAlign w:val="center"/>
          </w:tcPr>
          <w:p w14:paraId="2BA899F0" w14:textId="2E78B20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26</w:t>
            </w:r>
          </w:p>
        </w:tc>
      </w:tr>
    </w:tbl>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D029856" w14:textId="77777777" w:rsidTr="00F12F9A">
        <w:trPr>
          <w:jc w:val="right"/>
        </w:trPr>
        <w:tc>
          <w:tcPr>
            <w:tcW w:w="3816" w:type="dxa"/>
            <w:shd w:val="clear" w:color="auto" w:fill="FFFFFF" w:themeFill="background1"/>
            <w:vAlign w:val="center"/>
          </w:tcPr>
          <w:p w14:paraId="4426511D" w14:textId="069A38C8"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1E459E3"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0AD4845" w14:textId="77777777" w:rsidTr="00F12F9A">
        <w:tc>
          <w:tcPr>
            <w:tcW w:w="3816" w:type="dxa"/>
            <w:shd w:val="clear" w:color="auto" w:fill="808080" w:themeFill="background1" w:themeFillShade="80"/>
            <w:vAlign w:val="center"/>
          </w:tcPr>
          <w:p w14:paraId="067CE6C2" w14:textId="252875BB"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27</w:t>
            </w:r>
          </w:p>
        </w:tc>
      </w:tr>
    </w:tbl>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vMotion</w:t>
      </w:r>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B733D55" w14:textId="77777777" w:rsidTr="00F12F9A">
        <w:trPr>
          <w:jc w:val="right"/>
        </w:trPr>
        <w:tc>
          <w:tcPr>
            <w:tcW w:w="3816" w:type="dxa"/>
            <w:shd w:val="clear" w:color="auto" w:fill="FFFFFF" w:themeFill="background1"/>
            <w:vAlign w:val="center"/>
          </w:tcPr>
          <w:p w14:paraId="5F8A65E0" w14:textId="12FD65F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C    </w:t>
            </w:r>
          </w:p>
        </w:tc>
      </w:tr>
    </w:tbl>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Bulk Migration and HCX vMotion are suitable methods for migrating workloads from VMware and KVM infrastructures to Oracle Cloud VMware Solution (OCVS). Bulk Migration allows for bulk migration of VMs, and vMotion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C1D666A"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6E35D29" w14:textId="77777777" w:rsidTr="00F12F9A">
        <w:tc>
          <w:tcPr>
            <w:tcW w:w="3816" w:type="dxa"/>
            <w:shd w:val="clear" w:color="auto" w:fill="808080" w:themeFill="background1" w:themeFillShade="80"/>
            <w:vAlign w:val="center"/>
          </w:tcPr>
          <w:p w14:paraId="5A84E21D" w14:textId="7400629E"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28</w:t>
            </w:r>
          </w:p>
        </w:tc>
      </w:tr>
    </w:tbl>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valid connectivity model in Oracle Cloud Infrastructure (OCI) FastConnect?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FastConnect: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FastConnect: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FastConnect: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FastConnect: Direct-to-Cloud</w:t>
      </w:r>
    </w:p>
    <w:p w14:paraId="3037ACB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7F324A60" w14:textId="77777777" w:rsidTr="00F12F9A">
        <w:trPr>
          <w:jc w:val="right"/>
        </w:trPr>
        <w:tc>
          <w:tcPr>
            <w:tcW w:w="3816" w:type="dxa"/>
            <w:shd w:val="clear" w:color="auto" w:fill="FFFFFF" w:themeFill="background1"/>
            <w:vAlign w:val="center"/>
          </w:tcPr>
          <w:p w14:paraId="60BAF412" w14:textId="4BCBDBE6"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FastConnect: Direct-to-Cloud is not a valid connectivity model in Oracle Cloud Infrastructure (OCI) FastConnect. This option does not align with the available methods for establishing connectivity through FastConnect.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A441208"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64B248CB" w14:textId="77777777" w:rsidTr="00F12F9A">
        <w:tc>
          <w:tcPr>
            <w:tcW w:w="3816" w:type="dxa"/>
            <w:shd w:val="clear" w:color="auto" w:fill="808080" w:themeFill="background1" w:themeFillShade="80"/>
            <w:vAlign w:val="center"/>
          </w:tcPr>
          <w:p w14:paraId="29D82939" w14:textId="6931CF50"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29</w:t>
            </w:r>
          </w:p>
        </w:tc>
      </w:tr>
    </w:tbl>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708F57F" w14:textId="77777777" w:rsidTr="00F12F9A">
        <w:trPr>
          <w:jc w:val="right"/>
        </w:trPr>
        <w:tc>
          <w:tcPr>
            <w:tcW w:w="3816" w:type="dxa"/>
            <w:shd w:val="clear" w:color="auto" w:fill="FFFFFF" w:themeFill="background1"/>
            <w:vAlign w:val="center"/>
          </w:tcPr>
          <w:p w14:paraId="72CDAA3E" w14:textId="74CE4AB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BFDC811"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5763D52" w14:textId="77777777" w:rsidTr="00F12F9A">
        <w:tc>
          <w:tcPr>
            <w:tcW w:w="3816" w:type="dxa"/>
            <w:shd w:val="clear" w:color="auto" w:fill="808080" w:themeFill="background1" w:themeFillShade="80"/>
            <w:vAlign w:val="center"/>
          </w:tcPr>
          <w:p w14:paraId="699F0B02" w14:textId="5B9C7681"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30</w:t>
            </w:r>
          </w:p>
        </w:tc>
      </w:tr>
    </w:tbl>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A7AA8FE" w14:textId="77777777" w:rsidTr="00F12F9A">
        <w:trPr>
          <w:jc w:val="right"/>
        </w:trPr>
        <w:tc>
          <w:tcPr>
            <w:tcW w:w="3816" w:type="dxa"/>
            <w:shd w:val="clear" w:color="auto" w:fill="FFFFFF" w:themeFill="background1"/>
            <w:vAlign w:val="center"/>
          </w:tcPr>
          <w:p w14:paraId="39D0CDF9" w14:textId="34703DE7"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2CAE93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60B7CBB0" w14:textId="77777777" w:rsidTr="00F12F9A">
        <w:tc>
          <w:tcPr>
            <w:tcW w:w="3816" w:type="dxa"/>
            <w:shd w:val="clear" w:color="auto" w:fill="808080" w:themeFill="background1" w:themeFillShade="80"/>
            <w:vAlign w:val="center"/>
          </w:tcPr>
          <w:p w14:paraId="581CB77B" w14:textId="54B519C1"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31</w:t>
            </w:r>
          </w:p>
        </w:tc>
      </w:tr>
    </w:tbl>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DCEDB88" w14:textId="77777777" w:rsidTr="00F12F9A">
        <w:trPr>
          <w:jc w:val="right"/>
        </w:trPr>
        <w:tc>
          <w:tcPr>
            <w:tcW w:w="3816" w:type="dxa"/>
            <w:shd w:val="clear" w:color="auto" w:fill="FFFFFF" w:themeFill="background1"/>
            <w:vAlign w:val="center"/>
          </w:tcPr>
          <w:p w14:paraId="0D40E647" w14:textId="68D5ACA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7E0D2B1"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28802A79" w14:textId="77777777" w:rsidTr="00F12F9A">
        <w:tc>
          <w:tcPr>
            <w:tcW w:w="3816" w:type="dxa"/>
            <w:shd w:val="clear" w:color="auto" w:fill="808080" w:themeFill="background1" w:themeFillShade="80"/>
            <w:vAlign w:val="center"/>
          </w:tcPr>
          <w:p w14:paraId="4696F6A0" w14:textId="78081BD7"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32</w:t>
            </w:r>
          </w:p>
        </w:tc>
      </w:tr>
    </w:tbl>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271055F9" w14:textId="77777777" w:rsidTr="00F12F9A">
        <w:trPr>
          <w:jc w:val="right"/>
        </w:trPr>
        <w:tc>
          <w:tcPr>
            <w:tcW w:w="3816" w:type="dxa"/>
            <w:shd w:val="clear" w:color="auto" w:fill="FFFFFF" w:themeFill="background1"/>
            <w:vAlign w:val="center"/>
          </w:tcPr>
          <w:p w14:paraId="0DC3AEAA" w14:textId="5B603188"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A5E3F5D"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48E6060" w14:textId="77777777" w:rsidTr="00F12F9A">
        <w:tc>
          <w:tcPr>
            <w:tcW w:w="3816" w:type="dxa"/>
            <w:shd w:val="clear" w:color="auto" w:fill="808080" w:themeFill="background1" w:themeFillShade="80"/>
            <w:vAlign w:val="center"/>
          </w:tcPr>
          <w:p w14:paraId="57D9408E" w14:textId="20B72B0D"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33</w:t>
            </w:r>
          </w:p>
        </w:tc>
      </w:tr>
    </w:tbl>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0661A4A" w14:textId="77777777" w:rsidTr="00F12F9A">
        <w:trPr>
          <w:jc w:val="right"/>
        </w:trPr>
        <w:tc>
          <w:tcPr>
            <w:tcW w:w="3816" w:type="dxa"/>
            <w:shd w:val="clear" w:color="auto" w:fill="FFFFFF" w:themeFill="background1"/>
            <w:vAlign w:val="center"/>
          </w:tcPr>
          <w:p w14:paraId="1F5D7BE1" w14:textId="6EEFE3ED"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F076454"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BFA30B4" w14:textId="77777777" w:rsidTr="00F12F9A">
        <w:tc>
          <w:tcPr>
            <w:tcW w:w="3816" w:type="dxa"/>
            <w:shd w:val="clear" w:color="auto" w:fill="808080" w:themeFill="background1" w:themeFillShade="80"/>
            <w:vAlign w:val="center"/>
          </w:tcPr>
          <w:p w14:paraId="4460ADD9" w14:textId="7AFB9640"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34</w:t>
            </w:r>
          </w:p>
        </w:tc>
      </w:tr>
    </w:tbl>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5BC4F41" w14:textId="77777777" w:rsidTr="00F12F9A">
        <w:trPr>
          <w:jc w:val="right"/>
        </w:trPr>
        <w:tc>
          <w:tcPr>
            <w:tcW w:w="3816" w:type="dxa"/>
            <w:shd w:val="clear" w:color="auto" w:fill="FFFFFF" w:themeFill="background1"/>
            <w:vAlign w:val="center"/>
          </w:tcPr>
          <w:p w14:paraId="028865F6" w14:textId="4B005D6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B5495DC"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4B7F06C" w14:textId="77777777" w:rsidTr="00F12F9A">
        <w:tc>
          <w:tcPr>
            <w:tcW w:w="3816" w:type="dxa"/>
            <w:shd w:val="clear" w:color="auto" w:fill="808080" w:themeFill="background1" w:themeFillShade="80"/>
            <w:vAlign w:val="center"/>
          </w:tcPr>
          <w:p w14:paraId="7AEB6CC0" w14:textId="60745BA8"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35</w:t>
            </w:r>
          </w:p>
        </w:tc>
      </w:tr>
    </w:tbl>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team of migration cloud architects are evaluating different storage options for deploying virtual machines (VMs) in Oracle Cloud VMware Solution (OCVS). They are comparing VMware vSAN and OCI Block Storage to determine the best fit for their needs. Which two statements accurately reflect the usage of vSAN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OCI Block Storage inherently provides better IOPS performance than vSAN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Block Storage can be scaled up or down independently of compute resources, unlike vSAN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vSAN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OCI Block Storage can utilize VMware-specific storage policies for VM provisioning and management, just like vSAN in the OCVS environment</w:t>
      </w:r>
    </w:p>
    <w:p w14:paraId="3037AD1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4237917" w14:textId="77777777" w:rsidTr="00F12F9A">
        <w:trPr>
          <w:jc w:val="right"/>
        </w:trPr>
        <w:tc>
          <w:tcPr>
            <w:tcW w:w="3816" w:type="dxa"/>
            <w:shd w:val="clear" w:color="auto" w:fill="FFFFFF" w:themeFill="background1"/>
            <w:vAlign w:val="center"/>
          </w:tcPr>
          <w:p w14:paraId="262A69A4" w14:textId="7D39C27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D    </w:t>
            </w:r>
          </w:p>
        </w:tc>
      </w:tr>
    </w:tbl>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Block Storage and vSAN differ in their scalability options within the OCVS environment. OCI Block Storage can be independently scaled up or down without impacting compute resources, providing flexibility in storage capacity management. vSAN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9D6591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FD8DCAE" w14:textId="77777777" w:rsidTr="00F12F9A">
        <w:tc>
          <w:tcPr>
            <w:tcW w:w="3816" w:type="dxa"/>
            <w:shd w:val="clear" w:color="auto" w:fill="808080" w:themeFill="background1" w:themeFillShade="80"/>
            <w:vAlign w:val="center"/>
          </w:tcPr>
          <w:p w14:paraId="5FCEE94B" w14:textId="5AB14EBB"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36</w:t>
            </w:r>
          </w:p>
        </w:tc>
      </w:tr>
    </w:tbl>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62007215" w14:textId="77777777" w:rsidTr="00F12F9A">
        <w:trPr>
          <w:jc w:val="right"/>
        </w:trPr>
        <w:tc>
          <w:tcPr>
            <w:tcW w:w="3816" w:type="dxa"/>
            <w:shd w:val="clear" w:color="auto" w:fill="FFFFFF" w:themeFill="background1"/>
            <w:vAlign w:val="center"/>
          </w:tcPr>
          <w:p w14:paraId="5BF1B02C" w14:textId="24ECCB2A"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8905B55"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7AB9065" w14:textId="77777777" w:rsidTr="00F12F9A">
        <w:tc>
          <w:tcPr>
            <w:tcW w:w="3816" w:type="dxa"/>
            <w:shd w:val="clear" w:color="auto" w:fill="808080" w:themeFill="background1" w:themeFillShade="80"/>
            <w:vAlign w:val="center"/>
          </w:tcPr>
          <w:p w14:paraId="6D560285" w14:textId="20247317"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37</w:t>
            </w:r>
          </w:p>
        </w:tc>
      </w:tr>
    </w:tbl>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B3B14D0" w14:textId="77777777" w:rsidTr="00F12F9A">
        <w:trPr>
          <w:jc w:val="right"/>
        </w:trPr>
        <w:tc>
          <w:tcPr>
            <w:tcW w:w="3816" w:type="dxa"/>
            <w:shd w:val="clear" w:color="auto" w:fill="FFFFFF" w:themeFill="background1"/>
            <w:vAlign w:val="center"/>
          </w:tcPr>
          <w:p w14:paraId="4BC7CE1D" w14:textId="3A16F388"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D    </w:t>
            </w:r>
          </w:p>
        </w:tc>
      </w:tr>
    </w:tbl>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F33FE1C"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0D4E4B5" w14:textId="77777777" w:rsidTr="00F12F9A">
        <w:tc>
          <w:tcPr>
            <w:tcW w:w="3816" w:type="dxa"/>
            <w:shd w:val="clear" w:color="auto" w:fill="808080" w:themeFill="background1" w:themeFillShade="80"/>
            <w:vAlign w:val="center"/>
          </w:tcPr>
          <w:p w14:paraId="7DF73C65" w14:textId="327AD5B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38</w:t>
            </w:r>
          </w:p>
        </w:tc>
      </w:tr>
    </w:tbl>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28BD6947" w14:textId="77777777" w:rsidTr="00F12F9A">
        <w:trPr>
          <w:jc w:val="right"/>
        </w:trPr>
        <w:tc>
          <w:tcPr>
            <w:tcW w:w="3816" w:type="dxa"/>
            <w:shd w:val="clear" w:color="auto" w:fill="FFFFFF" w:themeFill="background1"/>
            <w:vAlign w:val="center"/>
          </w:tcPr>
          <w:p w14:paraId="5CB50CEB" w14:textId="78D18D8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D    </w:t>
            </w:r>
          </w:p>
        </w:tc>
      </w:tr>
    </w:tbl>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33EF6E6"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0A5ABE26" w14:textId="77777777" w:rsidTr="00F12F9A">
        <w:tc>
          <w:tcPr>
            <w:tcW w:w="3816" w:type="dxa"/>
            <w:shd w:val="clear" w:color="auto" w:fill="808080" w:themeFill="background1" w:themeFillShade="80"/>
            <w:vAlign w:val="center"/>
          </w:tcPr>
          <w:p w14:paraId="3FADD1E9" w14:textId="4AECC1C5"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39</w:t>
            </w:r>
          </w:p>
        </w:tc>
      </w:tr>
    </w:tbl>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B154AAF" w14:textId="77777777" w:rsidTr="00F12F9A">
        <w:trPr>
          <w:jc w:val="right"/>
        </w:trPr>
        <w:tc>
          <w:tcPr>
            <w:tcW w:w="3816" w:type="dxa"/>
            <w:shd w:val="clear" w:color="auto" w:fill="FFFFFF" w:themeFill="background1"/>
            <w:vAlign w:val="center"/>
          </w:tcPr>
          <w:p w14:paraId="608E385E" w14:textId="02DFFEE5"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91789B6"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ED0AC85" w14:textId="77777777" w:rsidTr="00F12F9A">
        <w:tc>
          <w:tcPr>
            <w:tcW w:w="3816" w:type="dxa"/>
            <w:shd w:val="clear" w:color="auto" w:fill="808080" w:themeFill="background1" w:themeFillShade="80"/>
            <w:vAlign w:val="center"/>
          </w:tcPr>
          <w:p w14:paraId="3372310E" w14:textId="15643C3D"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40</w:t>
            </w:r>
          </w:p>
        </w:tc>
      </w:tr>
    </w:tbl>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2F840A2" w14:textId="77777777" w:rsidTr="00F12F9A">
        <w:trPr>
          <w:jc w:val="right"/>
        </w:trPr>
        <w:tc>
          <w:tcPr>
            <w:tcW w:w="3816" w:type="dxa"/>
            <w:shd w:val="clear" w:color="auto" w:fill="FFFFFF" w:themeFill="background1"/>
            <w:vAlign w:val="center"/>
          </w:tcPr>
          <w:p w14:paraId="3E93462F" w14:textId="0038EF14"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ACE82ED"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22CBB79" w14:textId="77777777" w:rsidTr="00F12F9A">
        <w:tc>
          <w:tcPr>
            <w:tcW w:w="3816" w:type="dxa"/>
            <w:shd w:val="clear" w:color="auto" w:fill="808080" w:themeFill="background1" w:themeFillShade="80"/>
            <w:vAlign w:val="center"/>
          </w:tcPr>
          <w:p w14:paraId="5B694FF1" w14:textId="734B33B8"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41</w:t>
            </w:r>
          </w:p>
        </w:tc>
      </w:tr>
    </w:tbl>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3D3B2DB" w14:textId="77777777" w:rsidTr="00F12F9A">
        <w:trPr>
          <w:jc w:val="right"/>
        </w:trPr>
        <w:tc>
          <w:tcPr>
            <w:tcW w:w="3816" w:type="dxa"/>
            <w:shd w:val="clear" w:color="auto" w:fill="FFFFFF" w:themeFill="background1"/>
            <w:vAlign w:val="center"/>
          </w:tcPr>
          <w:p w14:paraId="16728E8F" w14:textId="05324A10"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906307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6DCFEB4B" w14:textId="77777777" w:rsidTr="00F12F9A">
        <w:tc>
          <w:tcPr>
            <w:tcW w:w="3816" w:type="dxa"/>
            <w:shd w:val="clear" w:color="auto" w:fill="808080" w:themeFill="background1" w:themeFillShade="80"/>
            <w:vAlign w:val="center"/>
          </w:tcPr>
          <w:p w14:paraId="68750F11" w14:textId="762E36B6"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42</w:t>
            </w:r>
          </w:p>
        </w:tc>
      </w:tr>
    </w:tbl>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A66C534" w14:textId="77777777" w:rsidTr="00F12F9A">
        <w:trPr>
          <w:jc w:val="right"/>
        </w:trPr>
        <w:tc>
          <w:tcPr>
            <w:tcW w:w="3816" w:type="dxa"/>
            <w:shd w:val="clear" w:color="auto" w:fill="FFFFFF" w:themeFill="background1"/>
            <w:vAlign w:val="center"/>
          </w:tcPr>
          <w:p w14:paraId="22CF6BC9" w14:textId="26AD0199"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B8CC82E"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1E8F24E5" w14:textId="77777777" w:rsidTr="00F12F9A">
        <w:tc>
          <w:tcPr>
            <w:tcW w:w="3816" w:type="dxa"/>
            <w:shd w:val="clear" w:color="auto" w:fill="808080" w:themeFill="background1" w:themeFillShade="80"/>
            <w:vAlign w:val="center"/>
          </w:tcPr>
          <w:p w14:paraId="22EAA380" w14:textId="00A5CA53"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43</w:t>
            </w:r>
          </w:p>
        </w:tc>
      </w:tr>
    </w:tbl>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company can bring their own product licenses (BYOL) for VMware products such as vSphere, vSAN,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498C03C" w14:textId="77777777" w:rsidTr="00F12F9A">
        <w:trPr>
          <w:jc w:val="right"/>
        </w:trPr>
        <w:tc>
          <w:tcPr>
            <w:tcW w:w="3816" w:type="dxa"/>
            <w:shd w:val="clear" w:color="auto" w:fill="FFFFFF" w:themeFill="background1"/>
            <w:vAlign w:val="center"/>
          </w:tcPr>
          <w:p w14:paraId="4D3EFDBB" w14:textId="6F0A79A6"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B    </w:t>
            </w:r>
          </w:p>
        </w:tc>
      </w:tr>
    </w:tbl>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937C7F8"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0C9809E" w14:textId="77777777" w:rsidTr="00F12F9A">
        <w:tc>
          <w:tcPr>
            <w:tcW w:w="3816" w:type="dxa"/>
            <w:shd w:val="clear" w:color="auto" w:fill="808080" w:themeFill="background1" w:themeFillShade="80"/>
            <w:vAlign w:val="center"/>
          </w:tcPr>
          <w:p w14:paraId="0E446453" w14:textId="39A72EE9"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44</w:t>
            </w:r>
          </w:p>
        </w:tc>
      </w:tr>
    </w:tbl>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A04B3EC" w14:textId="77777777" w:rsidTr="00F12F9A">
        <w:trPr>
          <w:jc w:val="right"/>
        </w:trPr>
        <w:tc>
          <w:tcPr>
            <w:tcW w:w="3816" w:type="dxa"/>
            <w:shd w:val="clear" w:color="auto" w:fill="FFFFFF" w:themeFill="background1"/>
            <w:vAlign w:val="center"/>
          </w:tcPr>
          <w:p w14:paraId="16A52EE5" w14:textId="39CD38AB"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D    </w:t>
            </w:r>
          </w:p>
        </w:tc>
      </w:tr>
    </w:tbl>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9431B74"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7DF201FC" w14:textId="77777777" w:rsidTr="00F12F9A">
        <w:tc>
          <w:tcPr>
            <w:tcW w:w="3816" w:type="dxa"/>
            <w:shd w:val="clear" w:color="auto" w:fill="808080" w:themeFill="background1" w:themeFillShade="80"/>
            <w:vAlign w:val="center"/>
          </w:tcPr>
          <w:p w14:paraId="3BC7E03B" w14:textId="65CC09B4"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45</w:t>
            </w:r>
          </w:p>
        </w:tc>
      </w:tr>
    </w:tbl>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perform migrations between on-premises and OCI. What is the minimum bandwidth required with FastConnect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96218E3" w14:textId="77777777" w:rsidTr="00F12F9A">
        <w:trPr>
          <w:jc w:val="right"/>
        </w:trPr>
        <w:tc>
          <w:tcPr>
            <w:tcW w:w="3816" w:type="dxa"/>
            <w:shd w:val="clear" w:color="auto" w:fill="FFFFFF" w:themeFill="background1"/>
            <w:vAlign w:val="center"/>
          </w:tcPr>
          <w:p w14:paraId="28D9DF8E" w14:textId="5FDBA8C4"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minimum bandwidth required for FastConnect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3F29954"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8BC8C65" w14:textId="77777777" w:rsidTr="00F12F9A">
        <w:tc>
          <w:tcPr>
            <w:tcW w:w="3816" w:type="dxa"/>
            <w:shd w:val="clear" w:color="auto" w:fill="808080" w:themeFill="background1" w:themeFillShade="80"/>
            <w:vAlign w:val="center"/>
          </w:tcPr>
          <w:p w14:paraId="0ED2D185" w14:textId="1059E609"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46</w:t>
            </w:r>
          </w:p>
        </w:tc>
      </w:tr>
    </w:tbl>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0DC5B67" w14:textId="77777777" w:rsidTr="00F12F9A">
        <w:trPr>
          <w:jc w:val="right"/>
        </w:trPr>
        <w:tc>
          <w:tcPr>
            <w:tcW w:w="3816" w:type="dxa"/>
            <w:shd w:val="clear" w:color="auto" w:fill="FFFFFF" w:themeFill="background1"/>
            <w:vAlign w:val="center"/>
          </w:tcPr>
          <w:p w14:paraId="57F8DA52" w14:textId="10F043A6"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C    </w:t>
            </w:r>
          </w:p>
        </w:tc>
      </w:tr>
    </w:tbl>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Fault Domains and vSAN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900A956"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4738F2E" w14:textId="77777777" w:rsidTr="00F12F9A">
        <w:tc>
          <w:tcPr>
            <w:tcW w:w="3816" w:type="dxa"/>
            <w:shd w:val="clear" w:color="auto" w:fill="808080" w:themeFill="background1" w:themeFillShade="80"/>
            <w:vAlign w:val="center"/>
          </w:tcPr>
          <w:p w14:paraId="1BB2C671" w14:textId="6834CE8B"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47</w:t>
            </w:r>
          </w:p>
        </w:tc>
      </w:tr>
    </w:tbl>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0B76EA27" w14:textId="77777777" w:rsidTr="00F12F9A">
        <w:trPr>
          <w:jc w:val="right"/>
        </w:trPr>
        <w:tc>
          <w:tcPr>
            <w:tcW w:w="3816" w:type="dxa"/>
            <w:shd w:val="clear" w:color="auto" w:fill="FFFFFF" w:themeFill="background1"/>
            <w:vAlign w:val="center"/>
          </w:tcPr>
          <w:p w14:paraId="7A759235" w14:textId="5DC50BF7"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5A2880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6EF966DE" w14:textId="77777777" w:rsidTr="00F12F9A">
        <w:tc>
          <w:tcPr>
            <w:tcW w:w="3816" w:type="dxa"/>
            <w:shd w:val="clear" w:color="auto" w:fill="808080" w:themeFill="background1" w:themeFillShade="80"/>
            <w:vAlign w:val="center"/>
          </w:tcPr>
          <w:p w14:paraId="72FD0017" w14:textId="77F4B841"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48</w:t>
            </w:r>
          </w:p>
        </w:tc>
      </w:tr>
    </w:tbl>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2B6A8670" w14:textId="77777777" w:rsidTr="00F12F9A">
        <w:trPr>
          <w:jc w:val="right"/>
        </w:trPr>
        <w:tc>
          <w:tcPr>
            <w:tcW w:w="3816" w:type="dxa"/>
            <w:shd w:val="clear" w:color="auto" w:fill="FFFFFF" w:themeFill="background1"/>
            <w:vAlign w:val="center"/>
          </w:tcPr>
          <w:p w14:paraId="7199915D" w14:textId="0AAA6CB4"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C    </w:t>
            </w:r>
          </w:p>
        </w:tc>
      </w:tr>
    </w:tbl>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07C8BE7"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4236832" w14:textId="77777777" w:rsidTr="00F12F9A">
        <w:tc>
          <w:tcPr>
            <w:tcW w:w="3816" w:type="dxa"/>
            <w:shd w:val="clear" w:color="auto" w:fill="808080" w:themeFill="background1" w:themeFillShade="80"/>
            <w:vAlign w:val="center"/>
          </w:tcPr>
          <w:p w14:paraId="2C4452A6" w14:textId="2CE34B6A"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49</w:t>
            </w:r>
          </w:p>
        </w:tc>
      </w:tr>
    </w:tbl>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03406FC" w14:textId="77777777" w:rsidTr="00F12F9A">
        <w:trPr>
          <w:jc w:val="right"/>
        </w:trPr>
        <w:tc>
          <w:tcPr>
            <w:tcW w:w="3816" w:type="dxa"/>
            <w:shd w:val="clear" w:color="auto" w:fill="FFFFFF" w:themeFill="background1"/>
            <w:vAlign w:val="center"/>
          </w:tcPr>
          <w:p w14:paraId="39A37E60" w14:textId="4DFF44A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DD06398"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472FB80A" w14:textId="77777777" w:rsidTr="00F12F9A">
        <w:tc>
          <w:tcPr>
            <w:tcW w:w="3816" w:type="dxa"/>
            <w:shd w:val="clear" w:color="auto" w:fill="808080" w:themeFill="background1" w:themeFillShade="80"/>
            <w:vAlign w:val="center"/>
          </w:tcPr>
          <w:p w14:paraId="6E8A3568" w14:textId="5DB8AB9B"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50</w:t>
            </w:r>
          </w:p>
        </w:tc>
      </w:tr>
    </w:tbl>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5E56FDDE" w14:textId="77777777" w:rsidTr="00F12F9A">
        <w:trPr>
          <w:jc w:val="right"/>
        </w:trPr>
        <w:tc>
          <w:tcPr>
            <w:tcW w:w="3816" w:type="dxa"/>
            <w:shd w:val="clear" w:color="auto" w:fill="FFFFFF" w:themeFill="background1"/>
            <w:vAlign w:val="center"/>
          </w:tcPr>
          <w:p w14:paraId="5465BED6" w14:textId="57A51814"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7ED0D1F"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51DB0565" w14:textId="77777777" w:rsidTr="00F12F9A">
        <w:tc>
          <w:tcPr>
            <w:tcW w:w="3816" w:type="dxa"/>
            <w:shd w:val="clear" w:color="auto" w:fill="808080" w:themeFill="background1" w:themeFillShade="80"/>
            <w:vAlign w:val="center"/>
          </w:tcPr>
          <w:p w14:paraId="5B792706" w14:textId="2C0A0862"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51</w:t>
            </w:r>
          </w:p>
        </w:tc>
      </w:tr>
    </w:tbl>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FB5C82E" w14:textId="77777777" w:rsidTr="00F12F9A">
        <w:trPr>
          <w:jc w:val="right"/>
        </w:trPr>
        <w:tc>
          <w:tcPr>
            <w:tcW w:w="3816" w:type="dxa"/>
            <w:shd w:val="clear" w:color="auto" w:fill="FFFFFF" w:themeFill="background1"/>
            <w:vAlign w:val="center"/>
          </w:tcPr>
          <w:p w14:paraId="7AE43442" w14:textId="4F6E8D16"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D    </w:t>
            </w:r>
          </w:p>
        </w:tc>
      </w:tr>
    </w:tbl>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5343A2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2D1A7A0E" w14:textId="77777777" w:rsidTr="00F12F9A">
        <w:tc>
          <w:tcPr>
            <w:tcW w:w="3816" w:type="dxa"/>
            <w:shd w:val="clear" w:color="auto" w:fill="808080" w:themeFill="background1" w:themeFillShade="80"/>
            <w:vAlign w:val="center"/>
          </w:tcPr>
          <w:p w14:paraId="7D291BBF" w14:textId="46A47BE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52</w:t>
            </w:r>
          </w:p>
        </w:tc>
      </w:tr>
    </w:tbl>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2D7AAD4" w14:textId="77777777" w:rsidTr="00F12F9A">
        <w:trPr>
          <w:jc w:val="right"/>
        </w:trPr>
        <w:tc>
          <w:tcPr>
            <w:tcW w:w="3816" w:type="dxa"/>
            <w:shd w:val="clear" w:color="auto" w:fill="FFFFFF" w:themeFill="background1"/>
            <w:vAlign w:val="center"/>
          </w:tcPr>
          <w:p w14:paraId="6253C5C9" w14:textId="556AA075"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45E4F6A"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30C9D8BD" w14:textId="77777777" w:rsidTr="00F12F9A">
        <w:tc>
          <w:tcPr>
            <w:tcW w:w="3816" w:type="dxa"/>
            <w:shd w:val="clear" w:color="auto" w:fill="808080" w:themeFill="background1" w:themeFillShade="80"/>
            <w:vAlign w:val="center"/>
          </w:tcPr>
          <w:p w14:paraId="5381ACAA" w14:textId="1E646025"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53</w:t>
            </w:r>
          </w:p>
        </w:tc>
      </w:tr>
    </w:tbl>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1103CB56" w14:textId="77777777" w:rsidTr="00F12F9A">
        <w:trPr>
          <w:jc w:val="right"/>
        </w:trPr>
        <w:tc>
          <w:tcPr>
            <w:tcW w:w="3816" w:type="dxa"/>
            <w:shd w:val="clear" w:color="auto" w:fill="FFFFFF" w:themeFill="background1"/>
            <w:vAlign w:val="center"/>
          </w:tcPr>
          <w:p w14:paraId="40E44A51" w14:textId="3BDC52CB"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A, D    </w:t>
            </w:r>
          </w:p>
        </w:tc>
      </w:tr>
    </w:tbl>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BBCA962"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2CF4EC02" w14:textId="77777777" w:rsidTr="00F12F9A">
        <w:tc>
          <w:tcPr>
            <w:tcW w:w="3816" w:type="dxa"/>
            <w:shd w:val="clear" w:color="auto" w:fill="808080" w:themeFill="background1" w:themeFillShade="80"/>
            <w:vAlign w:val="center"/>
          </w:tcPr>
          <w:p w14:paraId="4E54F983" w14:textId="7526A74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54</w:t>
            </w:r>
          </w:p>
        </w:tc>
      </w:tr>
    </w:tbl>
    <w:p w14:paraId="3037AE2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2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corporate policy does not allow storing customer data outside of your organization. As part of a consolidation drive, you plan to migrate some of your critical Oracle databases to Oracle Autonomous Database. Which deployment option would you choose?</w:t>
      </w:r>
    </w:p>
    <w:p w14:paraId="3037AE23" w14:textId="77777777" w:rsidR="0046673D" w:rsidRPr="0046673D" w:rsidRDefault="0046673D" w:rsidP="0046673D">
      <w:pPr>
        <w:pStyle w:val="NoSpacing"/>
        <w:rPr>
          <w:rFonts w:asciiTheme="majorHAnsi" w:hAnsiTheme="majorHAnsi" w:cstheme="majorHAnsi"/>
        </w:rPr>
      </w:pPr>
    </w:p>
    <w:p w14:paraId="3037AE2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Autonomous Database on dedicated Exadata infrastructure</w:t>
      </w:r>
    </w:p>
    <w:p w14:paraId="3037AE2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Exadata Database - Dedicated on Cloud@Customer</w:t>
      </w:r>
    </w:p>
    <w:p w14:paraId="3037AE2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Cloud@Customer</w:t>
      </w:r>
    </w:p>
    <w:p w14:paraId="3037AE2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Autonomous Database on Cloud@Customer</w:t>
      </w:r>
    </w:p>
    <w:p w14:paraId="3037AE2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42240273" w14:textId="77777777" w:rsidTr="00F12F9A">
        <w:trPr>
          <w:jc w:val="right"/>
        </w:trPr>
        <w:tc>
          <w:tcPr>
            <w:tcW w:w="3816" w:type="dxa"/>
            <w:shd w:val="clear" w:color="auto" w:fill="FFFFFF" w:themeFill="background1"/>
            <w:vAlign w:val="center"/>
          </w:tcPr>
          <w:p w14:paraId="4135A5BC" w14:textId="5DF087BE"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D    </w:t>
            </w:r>
          </w:p>
        </w:tc>
      </w:tr>
    </w:tbl>
    <w:p w14:paraId="3037AE2A" w14:textId="77777777" w:rsidR="00600425" w:rsidRPr="0046673D" w:rsidRDefault="00600425" w:rsidP="0046673D">
      <w:pPr>
        <w:pStyle w:val="NoSpacing"/>
        <w:rPr>
          <w:rFonts w:asciiTheme="majorHAnsi" w:hAnsiTheme="majorHAnsi" w:cstheme="majorHAnsi"/>
        </w:rPr>
      </w:pPr>
    </w:p>
    <w:p w14:paraId="3037AE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2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Autonomous Database on Cloud@Customer is the correct option because it allows you to host Oracle Autonomous Database within your organization's data center, meeting the corporate policy requirements.</w:t>
      </w:r>
    </w:p>
    <w:p w14:paraId="3037AE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AF5AC8B" w14:textId="77777777" w:rsidR="00F12F9A" w:rsidRPr="0046673D" w:rsidRDefault="0046673D" w:rsidP="00F12F9A">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9A" w14:paraId="25367255" w14:textId="77777777" w:rsidTr="00F12F9A">
        <w:tc>
          <w:tcPr>
            <w:tcW w:w="3816" w:type="dxa"/>
            <w:shd w:val="clear" w:color="auto" w:fill="808080" w:themeFill="background1" w:themeFillShade="80"/>
            <w:vAlign w:val="center"/>
          </w:tcPr>
          <w:p w14:paraId="63328C1F" w14:textId="3391AECF" w:rsidR="00F12F9A" w:rsidRPr="00F12F9A" w:rsidRDefault="00F12F9A" w:rsidP="00F12F9A">
            <w:pPr>
              <w:pStyle w:val="NoSpacing"/>
              <w:jc w:val="center"/>
              <w:rPr>
                <w:rFonts w:asciiTheme="majorHAnsi" w:hAnsiTheme="majorHAnsi" w:cstheme="majorHAnsi"/>
                <w:b/>
                <w:color w:val="FFFFFF" w:themeColor="background1"/>
                <w:sz w:val="34"/>
              </w:rPr>
            </w:pPr>
            <w:r w:rsidRPr="00F12F9A">
              <w:rPr>
                <w:rFonts w:asciiTheme="majorHAnsi" w:hAnsiTheme="majorHAnsi" w:cstheme="majorHAnsi"/>
                <w:b/>
                <w:color w:val="FFFFFF" w:themeColor="background1"/>
                <w:sz w:val="34"/>
              </w:rPr>
              <w:t>Question: 55</w:t>
            </w:r>
          </w:p>
        </w:tc>
      </w:tr>
    </w:tbl>
    <w:p w14:paraId="3037AE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3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migrations architect, you are explaining the workflow of Oracle Cloud Migrations (OCM) service to a business partner. After the replication of virtual machine (VM) data to Oracle Cloud Infrastructure (OCI) using OCM, what is the next step to launch the migrated instance?</w:t>
      </w:r>
    </w:p>
    <w:p w14:paraId="3037AE31" w14:textId="77777777" w:rsidR="0046673D" w:rsidRPr="0046673D" w:rsidRDefault="0046673D" w:rsidP="0046673D">
      <w:pPr>
        <w:pStyle w:val="NoSpacing"/>
        <w:rPr>
          <w:rFonts w:asciiTheme="majorHAnsi" w:hAnsiTheme="majorHAnsi" w:cstheme="majorHAnsi"/>
        </w:rPr>
      </w:pPr>
    </w:p>
    <w:p w14:paraId="3037AE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 Compute instance is automatically launched after the replication process</w:t>
      </w:r>
    </w:p>
    <w:p w14:paraId="3037AE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Deploy a Resource Manager Stack to launch the Compute instance with the replicated Block Volume</w:t>
      </w:r>
    </w:p>
    <w:p w14:paraId="3037AE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C. Create a Compute instance with an attached Block Volume and configure the Hydration Agent to transfer the replicated data into the Block Volume</w:t>
      </w:r>
    </w:p>
    <w:p w14:paraId="3037AE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9A" w14:paraId="3208B292" w14:textId="77777777" w:rsidTr="00F12F9A">
        <w:trPr>
          <w:jc w:val="right"/>
        </w:trPr>
        <w:tc>
          <w:tcPr>
            <w:tcW w:w="3816" w:type="dxa"/>
            <w:shd w:val="clear" w:color="auto" w:fill="FFFFFF" w:themeFill="background1"/>
            <w:vAlign w:val="center"/>
          </w:tcPr>
          <w:p w14:paraId="59A535AA" w14:textId="2DC1101F" w:rsidR="00F12F9A" w:rsidRPr="00F12F9A" w:rsidRDefault="00F12F9A" w:rsidP="00F12F9A">
            <w:pPr>
              <w:pStyle w:val="NoSpacing"/>
              <w:jc w:val="center"/>
              <w:rPr>
                <w:rFonts w:asciiTheme="majorHAnsi" w:hAnsiTheme="majorHAnsi" w:cstheme="majorHAnsi"/>
                <w:b/>
                <w:color w:val="000000" w:themeColor="text1"/>
                <w:sz w:val="32"/>
              </w:rPr>
            </w:pPr>
            <w:r w:rsidRPr="00F12F9A">
              <w:rPr>
                <w:rFonts w:asciiTheme="majorHAnsi" w:hAnsiTheme="majorHAnsi" w:cstheme="majorHAnsi"/>
                <w:b/>
                <w:color w:val="000000" w:themeColor="text1"/>
                <w:sz w:val="32"/>
              </w:rPr>
              <w:t xml:space="preserve">Answer: B    </w:t>
            </w:r>
          </w:p>
        </w:tc>
      </w:tr>
    </w:tbl>
    <w:p w14:paraId="3037AE37" w14:textId="77777777" w:rsidR="00600425" w:rsidRPr="0046673D" w:rsidRDefault="00600425" w:rsidP="0046673D">
      <w:pPr>
        <w:pStyle w:val="NoSpacing"/>
        <w:rPr>
          <w:rFonts w:asciiTheme="majorHAnsi" w:hAnsiTheme="majorHAnsi" w:cstheme="majorHAnsi"/>
        </w:rPr>
      </w:pPr>
    </w:p>
    <w:p w14:paraId="3037AE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Deploying a Resource Manager Stack to launch the Compute instance with the replicated Block Volume is the correct next step after the replication of VM data to OCI using OCM.</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7A17C7"/>
    <w:rsid w:val="00AA117E"/>
    <w:rsid w:val="00AA1D8D"/>
    <w:rsid w:val="00B32A31"/>
    <w:rsid w:val="00B47730"/>
    <w:rsid w:val="00CB0664"/>
    <w:rsid w:val="00DC3476"/>
    <w:rsid w:val="00F12F9A"/>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27</Pages>
  <Words>6836</Words>
  <Characters>38968</Characters>
  <Application>Microsoft Office Word</Application>
  <DocSecurity>0</DocSecurity>
  <Lines>324</Lines>
  <Paragraphs>91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45713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2025-03-19T21:39:00Z</dcterms:created>
  <dcterms:modified xsi:type="dcterms:W3CDTF">2025-07-03T17:03:00Z</dcterms:modified>
  <cp:category/>
</cp:coreProperties>
</file>