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F013A" w14:paraId="1259D4DA" w14:textId="77777777" w:rsidTr="00FF013A">
        <w:tc>
          <w:tcPr>
            <w:tcW w:w="3816" w:type="dxa"/>
            <w:shd w:val="clear" w:color="auto" w:fill="808080" w:themeFill="background1" w:themeFillShade="80"/>
            <w:vAlign w:val="center"/>
          </w:tcPr>
          <w:p w14:paraId="19454AF8" w14:textId="35704017" w:rsidR="00FF013A" w:rsidRPr="00FF013A" w:rsidRDefault="00FF013A" w:rsidP="00FF013A">
            <w:pPr>
              <w:pStyle w:val="NoSpacing"/>
              <w:jc w:val="center"/>
              <w:rPr>
                <w:rFonts w:asciiTheme="majorHAnsi" w:hAnsiTheme="majorHAnsi" w:cstheme="majorHAnsi"/>
                <w:b/>
                <w:color w:val="FFFFFF" w:themeColor="background1"/>
                <w:sz w:val="36"/>
              </w:rPr>
            </w:pPr>
            <w:r w:rsidRPr="00FF013A">
              <w:rPr>
                <w:rFonts w:asciiTheme="majorHAnsi" w:hAnsiTheme="majorHAnsi" w:cstheme="majorHAnsi"/>
                <w:b/>
                <w:color w:val="FFFFFF" w:themeColor="background1"/>
                <w:sz w:val="36"/>
              </w:rPr>
              <w:t>Question: 1</w:t>
            </w:r>
          </w:p>
        </w:tc>
      </w:tr>
    </w:tbl>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F013A" w14:paraId="1E16DA7C" w14:textId="77777777" w:rsidTr="00FF013A">
        <w:trPr>
          <w:jc w:val="right"/>
        </w:trPr>
        <w:tc>
          <w:tcPr>
            <w:tcW w:w="3816" w:type="dxa"/>
            <w:shd w:val="clear" w:color="auto" w:fill="FFFFFF" w:themeFill="background1"/>
            <w:vAlign w:val="center"/>
          </w:tcPr>
          <w:p w14:paraId="6CF56B00" w14:textId="2932DE64" w:rsidR="00FF013A" w:rsidRPr="00FF013A" w:rsidRDefault="00FF013A" w:rsidP="00FF013A">
            <w:pPr>
              <w:pStyle w:val="NoSpacing"/>
              <w:jc w:val="center"/>
              <w:rPr>
                <w:rFonts w:asciiTheme="majorHAnsi" w:hAnsiTheme="majorHAnsi" w:cstheme="majorHAnsi"/>
                <w:b/>
                <w:color w:val="000000" w:themeColor="text1"/>
                <w:sz w:val="36"/>
              </w:rPr>
            </w:pPr>
            <w:r w:rsidRPr="00FF013A">
              <w:rPr>
                <w:rFonts w:asciiTheme="majorHAnsi" w:hAnsiTheme="majorHAnsi" w:cstheme="majorHAnsi"/>
                <w:b/>
                <w:color w:val="000000" w:themeColor="text1"/>
                <w:sz w:val="36"/>
              </w:rPr>
              <w:t xml:space="preserve">Answer: B    </w:t>
            </w:r>
          </w:p>
        </w:tc>
      </w:tr>
    </w:tbl>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3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w:t>
      </w:r>
    </w:p>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p w14:paraId="3037AB4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4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w:t>
      </w:r>
    </w:p>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p w14:paraId="3037AB5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5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w:t>
      </w:r>
    </w:p>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When a cluster's Kubernetes API endpoint has a public IP address, you can access the cluster in Cloud Shell by setting up a </w:t>
      </w:r>
      <w:proofErr w:type="spellStart"/>
      <w:r w:rsidRPr="0046673D">
        <w:rPr>
          <w:rFonts w:asciiTheme="majorHAnsi" w:hAnsiTheme="majorHAnsi" w:cstheme="majorHAnsi"/>
        </w:rPr>
        <w:t>kubeconfig</w:t>
      </w:r>
      <w:proofErr w:type="spellEnd"/>
      <w:r w:rsidRPr="0046673D">
        <w:rPr>
          <w:rFonts w:asciiTheme="majorHAnsi" w:hAnsiTheme="majorHAnsi" w:cstheme="majorHAnsi"/>
        </w:rPr>
        <w:t xml:space="preserve">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The only available option when a cluster's Kubernetes API endpoint has a public IP address is to control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configuration file stored in the $HOME</w:t>
      </w:r>
      <w:proofErr w:type="gramStart"/>
      <w:r w:rsidRPr="0046673D">
        <w:rPr>
          <w:rFonts w:asciiTheme="majorHAnsi" w:hAnsiTheme="majorHAnsi" w:cstheme="majorHAnsi"/>
        </w:rPr>
        <w:t>/.</w:t>
      </w:r>
      <w:proofErr w:type="spellStart"/>
      <w:r w:rsidRPr="0046673D">
        <w:rPr>
          <w:rFonts w:asciiTheme="majorHAnsi" w:hAnsiTheme="majorHAnsi" w:cstheme="majorHAnsi"/>
        </w:rPr>
        <w:t>kube</w:t>
      </w:r>
      <w:proofErr w:type="spellEnd"/>
      <w:proofErr w:type="gramEnd"/>
      <w:r w:rsidRPr="0046673D">
        <w:rPr>
          <w:rFonts w:asciiTheme="majorHAnsi" w:hAnsiTheme="majorHAnsi" w:cstheme="majorHAnsi"/>
        </w:rPr>
        <w:t xml:space="preserve"> directory</w:t>
      </w:r>
    </w:p>
    <w:p w14:paraId="3037AB5F" w14:textId="77777777" w:rsidR="0046673D" w:rsidRPr="0046673D" w:rsidRDefault="0046673D" w:rsidP="0046673D">
      <w:pPr>
        <w:pStyle w:val="NoSpacing"/>
        <w:rPr>
          <w:rFonts w:asciiTheme="majorHAnsi" w:hAnsiTheme="majorHAnsi" w:cstheme="majorHAnsi"/>
        </w:rPr>
      </w:pPr>
    </w:p>
    <w:p w14:paraId="3037AB6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Setting up a Kubernetes manifest file in the $HOME/.manifest directory is not a standard practice for accessing a Kubernetes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While controlling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 is one way to interact with a cluster, it is not the only available option when a cluster's Kubernetes API endpoint has a public IP address. You can also access and manage the cluster remotely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6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w:t>
      </w:r>
    </w:p>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p w14:paraId="3037AB6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7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6</w:t>
      </w:r>
    </w:p>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p w14:paraId="3037AB7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8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7</w:t>
      </w:r>
    </w:p>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p w14:paraId="3037AB8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3037AB8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8</w:t>
      </w:r>
    </w:p>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p w14:paraId="3037AB9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D, E    </w:t>
      </w:r>
    </w:p>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9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9</w:t>
      </w:r>
    </w:p>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p w14:paraId="3037ABA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A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10</w:t>
      </w:r>
    </w:p>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p w14:paraId="3037ABB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E    </w:t>
      </w:r>
    </w:p>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B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11</w:t>
      </w:r>
    </w:p>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p w14:paraId="3037ABC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C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12</w:t>
      </w:r>
    </w:p>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p w14:paraId="3037ABD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13</w:t>
      </w:r>
    </w:p>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p w14:paraId="3037ABE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14</w:t>
      </w:r>
    </w:p>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p w14:paraId="3037AB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15</w:t>
      </w:r>
    </w:p>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p w14:paraId="3037AB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16</w:t>
      </w:r>
    </w:p>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p w14:paraId="3037AC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Planning and establishing a foundation </w:t>
      </w:r>
      <w:proofErr w:type="gramStart"/>
      <w:r w:rsidRPr="0046673D">
        <w:rPr>
          <w:rFonts w:asciiTheme="majorHAnsi" w:hAnsiTheme="majorHAnsi" w:cstheme="majorHAnsi"/>
        </w:rPr>
        <w:t>is</w:t>
      </w:r>
      <w:proofErr w:type="gramEnd"/>
      <w:r w:rsidRPr="0046673D">
        <w:rPr>
          <w:rFonts w:asciiTheme="majorHAnsi" w:hAnsiTheme="majorHAnsi" w:cstheme="majorHAnsi"/>
        </w:rPr>
        <w:t xml:space="preserve">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3037AC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17</w:t>
      </w:r>
    </w:p>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p w14:paraId="3037AC1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18</w:t>
      </w:r>
    </w:p>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p w14:paraId="3037AC2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19</w:t>
      </w:r>
    </w:p>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Bulk Migration for migrating business-critical VMs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p w14:paraId="3037AC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20</w:t>
      </w:r>
    </w:p>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p w14:paraId="3037AC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21</w:t>
      </w:r>
    </w:p>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p w14:paraId="3037AC5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5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22</w:t>
      </w:r>
    </w:p>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p w14:paraId="3037AC5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23</w:t>
      </w:r>
    </w:p>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w:t>
      </w:r>
      <w:proofErr w:type="spellStart"/>
      <w:r w:rsidRPr="0046673D">
        <w:rPr>
          <w:rFonts w:asciiTheme="majorHAnsi" w:hAnsiTheme="majorHAnsi" w:cstheme="majorHAnsi"/>
        </w:rPr>
        <w:t>vMotion</w:t>
      </w:r>
      <w:proofErr w:type="spellEnd"/>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Replication Assisted </w:t>
      </w:r>
      <w:proofErr w:type="spellStart"/>
      <w:r w:rsidRPr="0046673D">
        <w:rPr>
          <w:rFonts w:asciiTheme="majorHAnsi" w:hAnsiTheme="majorHAnsi" w:cstheme="majorHAnsi"/>
        </w:rPr>
        <w:t>vMotion</w:t>
      </w:r>
      <w:proofErr w:type="spellEnd"/>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p w14:paraId="3037AC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Replication Assisted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24</w:t>
      </w:r>
    </w:p>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p w14:paraId="3037AC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25</w:t>
      </w:r>
    </w:p>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p w14:paraId="3037AC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26</w:t>
      </w:r>
    </w:p>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p w14:paraId="3037AC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27</w:t>
      </w:r>
    </w:p>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w:t>
      </w:r>
      <w:proofErr w:type="spellStart"/>
      <w:r w:rsidRPr="0046673D">
        <w:rPr>
          <w:rFonts w:asciiTheme="majorHAnsi" w:hAnsiTheme="majorHAnsi" w:cstheme="majorHAnsi"/>
        </w:rPr>
        <w:t>vMotion</w:t>
      </w:r>
      <w:proofErr w:type="spellEnd"/>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p w14:paraId="3037ACA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Bulk Migration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are suitable methods for migrating workloads from VMware and KVM infrastructures to Oracle Cloud VMware Solution (OCVS). Bulk Migration allows for bulk migration of VMs, and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A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28</w:t>
      </w:r>
    </w:p>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Which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Direct-to-Cloud</w:t>
      </w:r>
    </w:p>
    <w:p w14:paraId="3037ACB3" w14:textId="77777777" w:rsidR="0046673D" w:rsidRPr="0046673D" w:rsidRDefault="0046673D" w:rsidP="0046673D">
      <w:pPr>
        <w:pStyle w:val="NoSpacing"/>
        <w:rPr>
          <w:rFonts w:asciiTheme="majorHAnsi" w:hAnsiTheme="majorHAnsi" w:cstheme="majorHAnsi"/>
        </w:rPr>
      </w:pPr>
    </w:p>
    <w:p w14:paraId="3037AC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Direct-to-Cloud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This option does not align with the available methods for establishing connectivity through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29</w:t>
      </w:r>
    </w:p>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p w14:paraId="3037AC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30</w:t>
      </w:r>
    </w:p>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p w14:paraId="3037AC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31</w:t>
      </w:r>
    </w:p>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p w14:paraId="3037AC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32</w:t>
      </w:r>
    </w:p>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p w14:paraId="3037ACE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33</w:t>
      </w:r>
    </w:p>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p w14:paraId="3037ACF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34</w:t>
      </w:r>
    </w:p>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p w14:paraId="3037AD0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35</w:t>
      </w:r>
    </w:p>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team of migration cloud architects are evaluating different storage options for deploying virtual machines (VMs) in Oracle Cloud VMware Solution (OCVS). They are comparing VMware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to determine the best fit for their needs. Which two statements accurately reflect the usage of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OCI Block Storage inherently provides better IOPS performance than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OCI Block Storage can be scaled up or down independently of compute resources, unlike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 OCI Block Storage can utilize VMware-specific storage policies for VM provisioning and management, just 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in the OCVS environment</w:t>
      </w:r>
    </w:p>
    <w:p w14:paraId="3037AD16" w14:textId="77777777" w:rsidR="0046673D" w:rsidRPr="0046673D" w:rsidRDefault="0046673D" w:rsidP="0046673D">
      <w:pPr>
        <w:pStyle w:val="NoSpacing"/>
        <w:rPr>
          <w:rFonts w:asciiTheme="majorHAnsi" w:hAnsiTheme="majorHAnsi" w:cstheme="majorHAnsi"/>
        </w:rPr>
      </w:pPr>
    </w:p>
    <w:p w14:paraId="3037AD1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Block Storage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differ in their scalability options within the OCVS environment. OCI Block Storage can be independently scaled up or down without impacting compute resources, providing flexibility in storage capacity management.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1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36</w:t>
      </w:r>
    </w:p>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p w14:paraId="3037AD2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2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37</w:t>
      </w:r>
    </w:p>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p w14:paraId="3037AD3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38</w:t>
      </w:r>
    </w:p>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p w14:paraId="3037AD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39</w:t>
      </w:r>
    </w:p>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p w14:paraId="3037AD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40</w:t>
      </w:r>
    </w:p>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p w14:paraId="3037AD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41</w:t>
      </w:r>
    </w:p>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p w14:paraId="3037AD6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42</w:t>
      </w:r>
    </w:p>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p w14:paraId="3037AD7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43</w:t>
      </w:r>
    </w:p>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The company can bring their own product licenses (BYOL) for VMware products such as vSphere, </w:t>
      </w:r>
      <w:proofErr w:type="spellStart"/>
      <w:r w:rsidRPr="0046673D">
        <w:rPr>
          <w:rFonts w:asciiTheme="majorHAnsi" w:hAnsiTheme="majorHAnsi" w:cstheme="majorHAnsi"/>
        </w:rPr>
        <w:t>vSAN</w:t>
      </w:r>
      <w:proofErr w:type="spellEnd"/>
      <w:r w:rsidRPr="0046673D">
        <w:rPr>
          <w:rFonts w:asciiTheme="majorHAnsi" w:hAnsiTheme="majorHAnsi" w:cstheme="majorHAnsi"/>
        </w:rPr>
        <w:t>,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p w14:paraId="3037AD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B    </w:t>
      </w:r>
    </w:p>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44</w:t>
      </w:r>
    </w:p>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p w14:paraId="3037AD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45</w:t>
      </w:r>
    </w:p>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You plan to perform migrations between on-premises and OCI. What is the minimum bandwidth required with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p w14:paraId="3037AD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The minimum bandwidth required for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46</w:t>
      </w:r>
    </w:p>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p w14:paraId="3037ADB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w:t>
      </w:r>
    </w:p>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Fault Domains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47</w:t>
      </w:r>
    </w:p>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p w14:paraId="3037ADC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48</w:t>
      </w:r>
    </w:p>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p w14:paraId="3037ADC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49</w:t>
      </w:r>
    </w:p>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p w14:paraId="3037ADE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50</w:t>
      </w:r>
    </w:p>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p w14:paraId="3037ADF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51</w:t>
      </w:r>
    </w:p>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p w14:paraId="3037ADF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52</w:t>
      </w:r>
    </w:p>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p w14:paraId="3037AE0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53</w:t>
      </w:r>
    </w:p>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p w14:paraId="3037AE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54</w:t>
      </w:r>
    </w:p>
    <w:p w14:paraId="3037AE2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2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corporate policy does not allow storing customer data outside of your organization. As part of a consolidation drive, you plan to migrate some of your critical Oracle databases to Oracle Autonomous Database. Which deployment option would you choose?</w:t>
      </w:r>
    </w:p>
    <w:p w14:paraId="3037AE23" w14:textId="77777777" w:rsidR="0046673D" w:rsidRPr="0046673D" w:rsidRDefault="0046673D" w:rsidP="0046673D">
      <w:pPr>
        <w:pStyle w:val="NoSpacing"/>
        <w:rPr>
          <w:rFonts w:asciiTheme="majorHAnsi" w:hAnsiTheme="majorHAnsi" w:cstheme="majorHAnsi"/>
        </w:rPr>
      </w:pPr>
    </w:p>
    <w:p w14:paraId="3037AE2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Autonomous Database on dedicated Exadata infrastructure</w:t>
      </w:r>
    </w:p>
    <w:p w14:paraId="3037AE2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Exadata Database - Dedicated on </w:t>
      </w:r>
      <w:proofErr w:type="spellStart"/>
      <w:r w:rsidRPr="0046673D">
        <w:rPr>
          <w:rFonts w:asciiTheme="majorHAnsi" w:hAnsiTheme="majorHAnsi" w:cstheme="majorHAnsi"/>
        </w:rPr>
        <w:t>Cloud@Customer</w:t>
      </w:r>
      <w:proofErr w:type="spellEnd"/>
    </w:p>
    <w:p w14:paraId="3037AE2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Exadata Database on </w:t>
      </w:r>
      <w:proofErr w:type="spellStart"/>
      <w:r w:rsidRPr="0046673D">
        <w:rPr>
          <w:rFonts w:asciiTheme="majorHAnsi" w:hAnsiTheme="majorHAnsi" w:cstheme="majorHAnsi"/>
        </w:rPr>
        <w:t>Cloud@Customer</w:t>
      </w:r>
      <w:proofErr w:type="spellEnd"/>
    </w:p>
    <w:p w14:paraId="3037AE2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Autonomous Database on </w:t>
      </w:r>
      <w:proofErr w:type="spellStart"/>
      <w:r w:rsidRPr="0046673D">
        <w:rPr>
          <w:rFonts w:asciiTheme="majorHAnsi" w:hAnsiTheme="majorHAnsi" w:cstheme="majorHAnsi"/>
        </w:rPr>
        <w:t>Cloud@Customer</w:t>
      </w:r>
      <w:proofErr w:type="spellEnd"/>
    </w:p>
    <w:p w14:paraId="3037AE28" w14:textId="77777777" w:rsidR="0046673D" w:rsidRPr="0046673D" w:rsidRDefault="0046673D" w:rsidP="0046673D">
      <w:pPr>
        <w:pStyle w:val="NoSpacing"/>
        <w:rPr>
          <w:rFonts w:asciiTheme="majorHAnsi" w:hAnsiTheme="majorHAnsi" w:cstheme="majorHAnsi"/>
        </w:rPr>
      </w:pPr>
    </w:p>
    <w:p w14:paraId="3037AE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E2A" w14:textId="77777777" w:rsidR="00600425" w:rsidRPr="0046673D" w:rsidRDefault="00600425" w:rsidP="0046673D">
      <w:pPr>
        <w:pStyle w:val="NoSpacing"/>
        <w:rPr>
          <w:rFonts w:asciiTheme="majorHAnsi" w:hAnsiTheme="majorHAnsi" w:cstheme="majorHAnsi"/>
        </w:rPr>
      </w:pPr>
    </w:p>
    <w:p w14:paraId="3037AE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2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Autonomous Database on </w:t>
      </w:r>
      <w:proofErr w:type="spellStart"/>
      <w:r w:rsidRPr="0046673D">
        <w:rPr>
          <w:rFonts w:asciiTheme="majorHAnsi" w:hAnsiTheme="majorHAnsi" w:cstheme="majorHAnsi"/>
        </w:rPr>
        <w:t>Cloud@Customer</w:t>
      </w:r>
      <w:proofErr w:type="spellEnd"/>
      <w:r w:rsidRPr="0046673D">
        <w:rPr>
          <w:rFonts w:asciiTheme="majorHAnsi" w:hAnsiTheme="majorHAnsi" w:cstheme="majorHAnsi"/>
        </w:rPr>
        <w:t xml:space="preserve"> is the correct option because it allows you to host Oracle Autonomous Database within your organization's data center, meeting the corporate policy requirements.</w:t>
      </w:r>
    </w:p>
    <w:p w14:paraId="3037AE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55</w:t>
      </w:r>
    </w:p>
    <w:p w14:paraId="3037AE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3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migrations architect, you are explaining the workflow of Oracle Cloud Migrations (OCM) service to a business partner. After the replication of virtual machine (VM) data to Oracle Cloud Infrastructure (OCI) using OCM, what is the next step to launch the migrated instance?</w:t>
      </w:r>
    </w:p>
    <w:p w14:paraId="3037AE31" w14:textId="77777777" w:rsidR="0046673D" w:rsidRPr="0046673D" w:rsidRDefault="0046673D" w:rsidP="0046673D">
      <w:pPr>
        <w:pStyle w:val="NoSpacing"/>
        <w:rPr>
          <w:rFonts w:asciiTheme="majorHAnsi" w:hAnsiTheme="majorHAnsi" w:cstheme="majorHAnsi"/>
        </w:rPr>
      </w:pPr>
    </w:p>
    <w:p w14:paraId="3037AE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 Compute instance is automatically launched after the replication process</w:t>
      </w:r>
    </w:p>
    <w:p w14:paraId="3037AE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Deploy a Resource Manager Stack to launch the Compute instance with the replicated Block Volume</w:t>
      </w:r>
    </w:p>
    <w:p w14:paraId="3037AE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C. Create a Compute instance with an attached Block Volume and configure the Hydration Agent to transfer the replicated data into the Block Volume</w:t>
      </w:r>
    </w:p>
    <w:p w14:paraId="3037AE35" w14:textId="77777777" w:rsidR="0046673D" w:rsidRPr="0046673D" w:rsidRDefault="0046673D" w:rsidP="0046673D">
      <w:pPr>
        <w:pStyle w:val="NoSpacing"/>
        <w:rPr>
          <w:rFonts w:asciiTheme="majorHAnsi" w:hAnsiTheme="majorHAnsi" w:cstheme="majorHAnsi"/>
        </w:rPr>
      </w:pPr>
    </w:p>
    <w:p w14:paraId="3037AE3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E37" w14:textId="77777777" w:rsidR="00600425" w:rsidRPr="0046673D" w:rsidRDefault="00600425" w:rsidP="0046673D">
      <w:pPr>
        <w:pStyle w:val="NoSpacing"/>
        <w:rPr>
          <w:rFonts w:asciiTheme="majorHAnsi" w:hAnsiTheme="majorHAnsi" w:cstheme="majorHAnsi"/>
        </w:rPr>
      </w:pPr>
    </w:p>
    <w:p w14:paraId="3037AE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Deploying a Resource Manager Stack to launch the Compute instance with the replicated Block Volume is the correct next step after the replication of VM data to OCI using OCM.</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7A17C7"/>
    <w:rsid w:val="00AA1D8D"/>
    <w:rsid w:val="00B32A31"/>
    <w:rsid w:val="00B47730"/>
    <w:rsid w:val="00CB0664"/>
    <w:rsid w:val="00DC3476"/>
    <w:rsid w:val="00FC693F"/>
    <w:rsid w:val="00FD3ABC"/>
    <w:rsid w:val="00FF013A"/>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24</Pages>
  <Words>6812</Words>
  <Characters>38830</Characters>
  <Application>Microsoft Office Word</Application>
  <DocSecurity>0</DocSecurity>
  <Lines>323</Lines>
  <Paragraphs>91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45551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2025-03-19T21:39:00Z</dcterms:created>
  <dcterms:modified xsi:type="dcterms:W3CDTF">2025-03-20T22:07:00Z</dcterms:modified>
  <cp:category/>
</cp:coreProperties>
</file>