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Purple Teaming Process</w:t>
      </w:r>
    </w:p>
    <w:p>
      <w:r>
        <w:rPr>
          <w:b/>
          <w:sz w:val="32"/>
        </w:rPr>
        <w:t>Introduction</w:t>
      </w:r>
    </w:p>
    <w:p>
      <w:r>
        <w:t>This document describes the Red Team Purple Teaming Process. Every engagement carried out by the Red Team — Threat Scenarios, Operations, Exercises, and Physical &amp; Social — concludes with a purple-teaming close-out alongside the Blue Team. The close-out is mandatory and is itself the output of every engagement: the joint review where offensive findings are converted into defensive improvements.</w:t>
      </w:r>
    </w:p>
    <w:p>
      <w:r>
        <w:t>The purposes of the purple-team close-out are to:</w:t>
      </w:r>
    </w:p>
    <w:p>
      <w:pPr>
        <w:pStyle w:val="ListBullet"/>
      </w:pPr>
      <w:r>
        <w:t>Walk the Blue Team through every step of the engagement so they can see what was done, when, and with which tools and TTPs.</w:t>
      </w:r>
    </w:p>
    <w:p>
      <w:pPr>
        <w:pStyle w:val="ListBullet"/>
      </w:pPr>
      <w:r>
        <w:t>Correlate offensive actions against the alerts, logs and detections produced (or missed) on the defensive side, producing a detection-vs-action map.</w:t>
      </w:r>
    </w:p>
    <w:p>
      <w:pPr>
        <w:pStyle w:val="ListBullet"/>
      </w:pPr>
      <w:r>
        <w:t>Identify and prioritise control and detection gaps for remediation, with named owners and target dates.</w:t>
      </w:r>
    </w:p>
    <w:p>
      <w:pPr>
        <w:pStyle w:val="ListBullet"/>
      </w:pPr>
      <w:r>
        <w:t>Convert engagement findings into threat-hunt hypotheses for the SOC and Threat Hunt function to pursue post-engagement.</w:t>
      </w:r>
    </w:p>
    <w:p>
      <w:pPr>
        <w:pStyle w:val="ListBullet"/>
      </w:pPr>
      <w:r>
        <w:t>Capture Opportunities for Improvement (OFIs) for both Red and Blue teams.</w:t>
      </w:r>
    </w:p>
    <w:p>
      <w:r>
        <w:t>The close-out is required for every engagement regardless of type or stealth posture. For Threat Scenarios — which are already blue-team-collaborative during execution — the close-out formalises the joint walkthrough the teams have been performing throughout the engagement and produces the same artefacts.</w:t>
      </w:r>
    </w:p>
    <w:p>
      <w:r>
        <w:rPr>
          <w:b/>
          <w:sz w:val="32"/>
        </w:rPr>
        <w:t>Teams &amp; Responsibilities</w:t>
      </w:r>
    </w:p>
    <w:p>
      <w:r>
        <w:t>Each purple-team close-out workshop involves the following teams:</w:t>
      </w:r>
    </w:p>
    <w:tbl>
      <w:tblPr>
        <w:tblStyle w:val="LightGrid-Accent1"/>
        <w:tblW w:type="auto" w:w="0"/>
        <w:tblLook w:firstColumn="1" w:firstRow="1" w:lastColumn="0" w:lastRow="0" w:noHBand="0" w:noVBand="1" w:val="04A0"/>
      </w:tblPr>
      <w:tblGrid>
        <w:gridCol w:w="4320"/>
        <w:gridCol w:w="4320"/>
      </w:tblGrid>
      <w:tr>
        <w:tc>
          <w:tcPr>
            <w:tcW w:type="dxa" w:w="4320"/>
          </w:tcPr>
          <w:p>
            <w:r>
              <w:t>Team</w:t>
            </w:r>
          </w:p>
        </w:tc>
        <w:tc>
          <w:tcPr>
            <w:tcW w:type="dxa" w:w="4320"/>
          </w:tcPr>
          <w:p>
            <w:r>
              <w:t>Responsibility</w:t>
            </w:r>
          </w:p>
        </w:tc>
      </w:tr>
      <w:tr>
        <w:tc>
          <w:tcPr>
            <w:tcW w:type="dxa" w:w="4320"/>
          </w:tcPr>
          <w:p>
            <w:r>
              <w:t>Red Team (RT)</w:t>
            </w:r>
          </w:p>
        </w:tc>
        <w:tc>
          <w:tcPr>
            <w:tcW w:type="dxa" w:w="4320"/>
          </w:tcPr>
          <w:p>
            <w:r>
              <w:t>Walks through OPLOGS, TTPs and the kill-chain step by step. Provides timestamps, IoCs and intended detection signals per phase. Brings the engagement report. Owns hunt-hypothesis handover and OFIs for Red Team tradecraft.</w:t>
            </w:r>
          </w:p>
        </w:tc>
      </w:tr>
      <w:tr>
        <w:tc>
          <w:tcPr>
            <w:tcW w:type="dxa" w:w="4320"/>
          </w:tcPr>
          <w:p>
            <w:r>
              <w:t>Blue Team (BT)</w:t>
            </w:r>
          </w:p>
        </w:tc>
        <w:tc>
          <w:tcPr>
            <w:tcW w:type="dxa" w:w="4320"/>
          </w:tcPr>
          <w:p>
            <w:r>
              <w:t>Provides observed detections, alerts, logs and response actions per phase. Identifies defensive gaps, names remediation owners on the BT side, and accepts hunt-hypothesis handover.</w:t>
            </w:r>
          </w:p>
        </w:tc>
      </w:tr>
      <w:tr>
        <w:tc>
          <w:tcPr>
            <w:tcW w:type="dxa" w:w="4320"/>
          </w:tcPr>
          <w:p>
            <w:r>
              <w:t>White Team (WT)</w:t>
            </w:r>
          </w:p>
        </w:tc>
        <w:tc>
          <w:tcPr>
            <w:tcW w:type="dxa" w:w="4320"/>
          </w:tcPr>
          <w:p>
            <w:r>
              <w:t>Coordinates the workshop schedule. Approves what information is shared with BT (already implicit for Threat Scenarios). Holds attestation for TLPT close-outs.</w:t>
            </w:r>
          </w:p>
        </w:tc>
      </w:tr>
      <w:tr>
        <w:tc>
          <w:tcPr>
            <w:tcW w:type="dxa" w:w="4320"/>
          </w:tcPr>
          <w:p>
            <w:r>
              <w:t>Threat Intelligence Team (TI)</w:t>
            </w:r>
          </w:p>
        </w:tc>
        <w:tc>
          <w:tcPr>
            <w:tcW w:type="dxa" w:w="4320"/>
          </w:tcPr>
          <w:p>
            <w:r>
              <w:t>(Optional but recommended) Provides context on the threat actor emulated, helping BT calibrate detection priorities and tune controls.</w:t>
            </w:r>
          </w:p>
        </w:tc>
      </w:tr>
      <w:tr>
        <w:tc>
          <w:tcPr>
            <w:tcW w:type="dxa" w:w="4320"/>
          </w:tcPr>
          <w:p>
            <w:r>
              <w:t>SOC (CSIRT, L1–L3)</w:t>
            </w:r>
          </w:p>
        </w:tc>
        <w:tc>
          <w:tcPr>
            <w:tcW w:type="dxa" w:w="4320"/>
          </w:tcPr>
          <w:p>
            <w:r>
              <w:t>(Optional but recommended for Exercises and Operations) Attends to discuss detection performance and to take ownership of hunt-hypothesis pickup.</w:t>
            </w:r>
          </w:p>
        </w:tc>
      </w:tr>
    </w:tbl>
    <w:p>
      <w:r>
        <w:rPr>
          <w:b/>
          <w:sz w:val="32"/>
        </w:rPr>
        <w:t>Phases</w:t>
      </w:r>
    </w:p>
    <w:p>
      <w:r>
        <w:rPr>
          <w:b/>
          <w:sz w:val="26"/>
        </w:rPr>
        <w:t>Planning</w:t>
      </w:r>
    </w:p>
    <w:p>
      <w:r>
        <w:t>The Red Team owner schedules the workshop within two to four weeks of engagement closure (sooner for high-impact engagements or for any engagement run as TLPT). Planning includes:</w:t>
      </w:r>
    </w:p>
    <w:p>
      <w:pPr>
        <w:pStyle w:val="ListBullet"/>
      </w:pPr>
      <w:r>
        <w:t>Define participants per the table above. Obtain WT approval to include BT when BT was unaware of the engagement during execution.</w:t>
      </w:r>
    </w:p>
    <w:p>
      <w:pPr>
        <w:pStyle w:val="ListBullet"/>
      </w:pPr>
      <w:r>
        <w:t>Distribute pre-read at least three working days before the workshop: engagement report (sanitised if necessary), final OPLOGS, IoC list, scope and objectives recap.</w:t>
      </w:r>
    </w:p>
    <w:p>
      <w:pPr>
        <w:pStyle w:val="ListBullet"/>
      </w:pPr>
      <w:r>
        <w:t>Confirm the tracking forum where remediation actions will be logged (typically the Red Team Research Repository or the security risk register; record this decision in the workshop output.).</w:t>
      </w:r>
    </w:p>
    <w:p>
      <w:r>
        <w:rPr>
          <w:b/>
          <w:sz w:val="26"/>
        </w:rPr>
        <w:t>Execution (workshop)</w:t>
      </w:r>
    </w:p>
    <w:p>
      <w:r>
        <w:t>The workshop follows this structure:</w:t>
      </w:r>
    </w:p>
    <w:p>
      <w:pPr>
        <w:pStyle w:val="ListNumber"/>
      </w:pPr>
      <w:r>
        <w:t>Scope recap (Red Team, 10 minutes). Codename, objectives, threat actor emulated, what was in scope, what was not, and what was deliberately out of scope.</w:t>
      </w:r>
    </w:p>
    <w:p>
      <w:pPr>
        <w:pStyle w:val="ListNumber"/>
      </w:pPr>
      <w:r>
        <w:t>Phase-by-phase walkthrough (Red Team leads, Blue Team responds). For each phase of the kill-chain used (Initial Foothold / Network Propagation / Action on Objectives for Exercises and Operations; Reconnaissance / Exploit / Escalation for Threat Scenarios and Physical &amp; Social): Red Team describes what was done, what TTPs and tools were used, what timestamps and IoCs were produced, and what detections were expected. Blue Team describes what was observed, what alerts fired or did not, what response actions were taken, and how long they took.</w:t>
      </w:r>
    </w:p>
    <w:p>
      <w:pPr>
        <w:pStyle w:val="ListNumber"/>
      </w:pPr>
      <w:r>
        <w:t>Gap consolidation. Group findings by control family (Active Directory, EDR, network monitoring, identity, physical, ...) and assign tentative remediation owners.</w:t>
      </w:r>
    </w:p>
    <w:p>
      <w:pPr>
        <w:pStyle w:val="ListNumber"/>
      </w:pPr>
      <w:r>
        <w:t>Hunt-hypothesis handover. Red Team converts unexploited or partially-detected TTPs into actionable hunt hypotheses for the SOC and Threat Hunt function.</w:t>
      </w:r>
    </w:p>
    <w:p>
      <w:pPr>
        <w:pStyle w:val="ListNumber"/>
      </w:pPr>
      <w:r>
        <w:t>OFIs (Opportunities for Improvement). Capture improvement opportunities for both Red Team (tradecraft, OPSEC, planning, infrastructure) and Blue Team (detection coverage, response time, control depth, runbook quality).</w:t>
      </w:r>
    </w:p>
    <w:p>
      <w:pPr>
        <w:pStyle w:val="ListNumber"/>
      </w:pPr>
      <w:r>
        <w:t>Action close-out. Agree owners and target dates for each remediation item and OFI, and confirm the tracking forum.</w:t>
      </w:r>
    </w:p>
    <w:p>
      <w:r>
        <w:rPr>
          <w:b/>
          <w:sz w:val="26"/>
        </w:rPr>
        <w:t>Outputs and Tracking</w:t>
      </w:r>
    </w:p>
    <w:p>
      <w:r>
        <w:t>Every workshop must produce the following artefacts. These are the deliverables of the close-out phase and the close-out is not complete until they are produced and stored:</w:t>
      </w:r>
    </w:p>
    <w:p>
      <w:pPr>
        <w:pStyle w:val="ListBullet"/>
      </w:pPr>
      <w:r>
        <w:t>Detection-vs-action map — per kill-chain phase, the actions performed by Red Team and the corresponding observations/responses on the Blue Team side. This is the headline output.</w:t>
      </w:r>
    </w:p>
    <w:p>
      <w:pPr>
        <w:pStyle w:val="ListBullet"/>
      </w:pPr>
      <w:r>
        <w:t>Gap register — security control and detection gaps prioritised by impact and ease of remediation.</w:t>
      </w:r>
    </w:p>
    <w:p>
      <w:pPr>
        <w:pStyle w:val="ListBullet"/>
      </w:pPr>
      <w:r>
        <w:t>Hunt-hypothesis list — actionable hypotheses for the SOC and Threat Hunt function, in a form that maps to existing SIEM queries or detection content.</w:t>
      </w:r>
    </w:p>
    <w:p>
      <w:pPr>
        <w:pStyle w:val="ListBullet"/>
      </w:pPr>
      <w:r>
        <w:t>OFI register — improvement opportunities for both Red Team and Blue Team.</w:t>
      </w:r>
    </w:p>
    <w:p>
      <w:pPr>
        <w:pStyle w:val="ListBullet"/>
      </w:pPr>
      <w:r>
        <w:t>Remediation backlog — gaps with named owner, severity, target date.</w:t>
      </w:r>
    </w:p>
    <w:p>
      <w:pPr>
        <w:pStyle w:val="ListBullet"/>
      </w:pPr>
      <w:r>
        <w:t>Attestation — signed acknowledgement that the close-out has taken place (mandatory for TLPT / TIBER-EU engagements; signed by Red Team Lead, White Team, Control Team and the financial entity).</w:t>
      </w:r>
    </w:p>
    <w:p>
      <w:r>
        <w:t>Remediation actions are reviewed at a fixed cadence (suggested monthly) by the Red Team Lead and the Blue Team Lead until each item is closed.</w:t>
      </w:r>
    </w:p>
    <w:p>
      <w:r>
        <w:rPr>
          <w:b/>
          <w:sz w:val="32"/>
        </w:rPr>
        <w:t>Engagement-type-specific notes</w:t>
      </w:r>
    </w:p>
    <w:p>
      <w:r>
        <w:rPr>
          <w:b/>
          <w:sz w:val="26"/>
        </w:rPr>
        <w:t>Exercises (TIBER-EU / TLPT context)</w:t>
      </w:r>
    </w:p>
    <w:p>
      <w:r>
        <w:t>For Exercises run as TLPT under DORA (Regulation (EU) 2022/2554, Articles 26–27) or under the TIBER-EU Generic Framework, the purple-teaming phase corresponds to the regulator-mandated 360-degree feedback session. Additional artefacts mandated for TLPT:</w:t>
      </w:r>
    </w:p>
    <w:p>
      <w:pPr>
        <w:pStyle w:val="ListBullet"/>
      </w:pPr>
      <w:r>
        <w:t>Replay walkthrough document covering the full engagement timeline.</w:t>
      </w:r>
    </w:p>
    <w:p>
      <w:pPr>
        <w:pStyle w:val="ListBullet"/>
      </w:pPr>
      <w:r>
        <w:t>Test report with TTP coverage mapped to MITRE ATT&amp;CK and to the threat actor profile used.</w:t>
      </w:r>
    </w:p>
    <w:p>
      <w:pPr>
        <w:pStyle w:val="ListBullet"/>
      </w:pPr>
      <w:r>
        <w:t>Joint attestation signed by the RT Provider, TI Provider, Control Team and the financial entity.</w:t>
      </w:r>
    </w:p>
    <w:p>
      <w:r>
        <w:rPr>
          <w:b/>
          <w:sz w:val="26"/>
        </w:rPr>
        <w:t>Operations (assumed-breach scenarios)</w:t>
      </w:r>
    </w:p>
    <w:p>
      <w:r>
        <w:t>Operations are typically run without Blue Team awareness during execution. The purple-team close-out is the Blue Team's first detailed exposure to the engagement — pace the walkthrough accordingly and allow Blue Team additional time to ask questions and revisit alerts that did not fire.</w:t>
      </w:r>
    </w:p>
    <w:p>
      <w:r>
        <w:rPr>
          <w:b/>
          <w:sz w:val="26"/>
        </w:rPr>
        <w:t>Threat Scenarios (Blue-team-collaborative)</w:t>
      </w:r>
    </w:p>
    <w:p>
      <w:r>
        <w:t>Threat Scenarios run with the Blue Team in the room during execution. The formal close-out still applies, but emphasis shifts:</w:t>
      </w:r>
    </w:p>
    <w:p>
      <w:pPr>
        <w:pStyle w:val="ListBullet"/>
      </w:pPr>
      <w:r>
        <w:t>Less time on phase-by-phase walkthrough (already known to Blue Team).</w:t>
      </w:r>
    </w:p>
    <w:p>
      <w:pPr>
        <w:pStyle w:val="ListBullet"/>
      </w:pPr>
      <w:r>
        <w:t>More time on detection gap analysis and remediation planning for the abused internal tool (e.g. GitLab, Jenkins, CI/CD pipeline, internal SaaS).</w:t>
      </w:r>
    </w:p>
    <w:p>
      <w:pPr>
        <w:pStyle w:val="ListBullet"/>
      </w:pPr>
      <w:r>
        <w:t>Hunt hypotheses tend to be more tactical and tool-specific than for Operations or Exercises.</w:t>
      </w:r>
    </w:p>
    <w:p>
      <w:r>
        <w:rPr>
          <w:b/>
          <w:sz w:val="26"/>
        </w:rPr>
        <w:t>Physical &amp; Social engagements</w:t>
      </w:r>
    </w:p>
    <w:p>
      <w:r>
        <w:t>For Physical &amp; Social engagements, Blue Team attendance broadens to include Physical Security and Facilities. The walkthrough covers the physical kill-chain (reconnaissance, access controls, social engineering, hardware implants, escalation) and the detection-vs-action map is built against badge logs, CCTV recordings, intruder-detection alarms and security-guard reports.</w:t>
      </w:r>
    </w:p>
    <w:p>
      <w:r>
        <w:rPr>
          <w:b/>
          <w:sz w:val="32"/>
        </w:rPr>
        <w:t>RACI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R</w:t>
            </w:r>
          </w:p>
        </w:tc>
        <w:tc>
          <w:tcPr>
            <w:tcW w:type="dxa" w:w="1728"/>
          </w:tcPr>
          <w:p>
            <w:r>
              <w:t>A</w:t>
            </w:r>
          </w:p>
        </w:tc>
        <w:tc>
          <w:tcPr>
            <w:tcW w:type="dxa" w:w="1728"/>
          </w:tcPr>
          <w:p>
            <w:r>
              <w:t>C</w:t>
            </w:r>
          </w:p>
        </w:tc>
        <w:tc>
          <w:tcPr>
            <w:tcW w:type="dxa" w:w="1728"/>
          </w:tcPr>
          <w:p>
            <w:r>
              <w:t>I</w:t>
            </w:r>
          </w:p>
        </w:tc>
      </w:tr>
      <w:tr>
        <w:tc>
          <w:tcPr>
            <w:tcW w:type="dxa" w:w="1728"/>
          </w:tcPr>
          <w:p>
            <w:r>
              <w:t>Schedule workshop</w:t>
            </w:r>
          </w:p>
        </w:tc>
        <w:tc>
          <w:tcPr>
            <w:tcW w:type="dxa" w:w="1728"/>
          </w:tcPr>
          <w:p>
            <w:r>
              <w:t>RT</w:t>
            </w:r>
          </w:p>
        </w:tc>
        <w:tc>
          <w:tcPr>
            <w:tcW w:type="dxa" w:w="1728"/>
          </w:tcPr>
          <w:p>
            <w:r>
              <w:t>WT</w:t>
            </w:r>
          </w:p>
        </w:tc>
        <w:tc>
          <w:tcPr>
            <w:tcW w:type="dxa" w:w="1728"/>
          </w:tcPr>
          <w:p>
            <w:r>
              <w:t>BT</w:t>
            </w:r>
          </w:p>
        </w:tc>
        <w:tc>
          <w:tcPr>
            <w:tcW w:type="dxa" w:w="1728"/>
          </w:tcPr>
          <w:p>
            <w:r>
              <w:t>TI, SOC</w:t>
            </w:r>
          </w:p>
        </w:tc>
      </w:tr>
      <w:tr>
        <w:tc>
          <w:tcPr>
            <w:tcW w:type="dxa" w:w="1728"/>
          </w:tcPr>
          <w:p>
            <w:r>
              <w:t>Pre-read distribution</w:t>
            </w:r>
          </w:p>
        </w:tc>
        <w:tc>
          <w:tcPr>
            <w:tcW w:type="dxa" w:w="1728"/>
          </w:tcPr>
          <w:p>
            <w:r>
              <w:t>RT</w:t>
            </w:r>
          </w:p>
        </w:tc>
        <w:tc>
          <w:tcPr>
            <w:tcW w:type="dxa" w:w="1728"/>
          </w:tcPr>
          <w:p>
            <w:r>
              <w:t>RT</w:t>
            </w:r>
          </w:p>
        </w:tc>
        <w:tc>
          <w:tcPr>
            <w:tcW w:type="dxa" w:w="1728"/>
          </w:tcPr>
          <w:p>
            <w:r>
              <w:t>WT, BT</w:t>
            </w:r>
          </w:p>
        </w:tc>
        <w:tc>
          <w:tcPr>
            <w:tcW w:type="dxa" w:w="1728"/>
          </w:tcPr>
          <w:p>
            <w:r>
              <w:t>TI</w:t>
            </w:r>
          </w:p>
        </w:tc>
      </w:tr>
      <w:tr>
        <w:tc>
          <w:tcPr>
            <w:tcW w:type="dxa" w:w="1728"/>
          </w:tcPr>
          <w:p>
            <w:r>
              <w:t>Phase-by-phase walkthrough</w:t>
            </w:r>
          </w:p>
        </w:tc>
        <w:tc>
          <w:tcPr>
            <w:tcW w:type="dxa" w:w="1728"/>
          </w:tcPr>
          <w:p>
            <w:r>
              <w:t>RT (lead) + BT (respond)</w:t>
            </w:r>
          </w:p>
        </w:tc>
        <w:tc>
          <w:tcPr>
            <w:tcW w:type="dxa" w:w="1728"/>
          </w:tcPr>
          <w:p>
            <w:r>
              <w:t>RT</w:t>
            </w:r>
          </w:p>
        </w:tc>
        <w:tc>
          <w:tcPr>
            <w:tcW w:type="dxa" w:w="1728"/>
          </w:tcPr>
          <w:p>
            <w:r>
              <w:t>TI, SOC</w:t>
            </w:r>
          </w:p>
        </w:tc>
        <w:tc>
          <w:tcPr>
            <w:tcW w:type="dxa" w:w="1728"/>
          </w:tcPr>
          <w:p>
            <w:r>
              <w:t>WT</w:t>
            </w:r>
          </w:p>
        </w:tc>
      </w:tr>
      <w:tr>
        <w:tc>
          <w:tcPr>
            <w:tcW w:type="dxa" w:w="1728"/>
          </w:tcPr>
          <w:p>
            <w:r>
              <w:t>Gap consolidation</w:t>
            </w:r>
          </w:p>
        </w:tc>
        <w:tc>
          <w:tcPr>
            <w:tcW w:type="dxa" w:w="1728"/>
          </w:tcPr>
          <w:p>
            <w:r>
              <w:t>RT + BT jointly</w:t>
            </w:r>
          </w:p>
        </w:tc>
        <w:tc>
          <w:tcPr>
            <w:tcW w:type="dxa" w:w="1728"/>
          </w:tcPr>
          <w:p>
            <w:r>
              <w:t>RT</w:t>
            </w:r>
          </w:p>
        </w:tc>
        <w:tc>
          <w:tcPr>
            <w:tcW w:type="dxa" w:w="1728"/>
          </w:tcPr>
          <w:p>
            <w:r>
              <w:t>TI, SOC</w:t>
            </w:r>
          </w:p>
        </w:tc>
        <w:tc>
          <w:tcPr>
            <w:tcW w:type="dxa" w:w="1728"/>
          </w:tcPr>
          <w:p>
            <w:r>
              <w:t>WT</w:t>
            </w:r>
          </w:p>
        </w:tc>
      </w:tr>
      <w:tr>
        <w:tc>
          <w:tcPr>
            <w:tcW w:type="dxa" w:w="1728"/>
          </w:tcPr>
          <w:p>
            <w:r>
              <w:t>Hunt-hypothesis handover</w:t>
            </w:r>
          </w:p>
        </w:tc>
        <w:tc>
          <w:tcPr>
            <w:tcW w:type="dxa" w:w="1728"/>
          </w:tcPr>
          <w:p>
            <w:r>
              <w:t>RT</w:t>
            </w:r>
          </w:p>
        </w:tc>
        <w:tc>
          <w:tcPr>
            <w:tcW w:type="dxa" w:w="1728"/>
          </w:tcPr>
          <w:p>
            <w:r>
              <w:t>RT</w:t>
            </w:r>
          </w:p>
        </w:tc>
        <w:tc>
          <w:tcPr>
            <w:tcW w:type="dxa" w:w="1728"/>
          </w:tcPr>
          <w:p>
            <w:r>
              <w:t>BT, SOC</w:t>
            </w:r>
          </w:p>
        </w:tc>
        <w:tc>
          <w:tcPr>
            <w:tcW w:type="dxa" w:w="1728"/>
          </w:tcPr>
          <w:p>
            <w:r>
              <w:t>TI</w:t>
            </w:r>
          </w:p>
        </w:tc>
      </w:tr>
      <w:tr>
        <w:tc>
          <w:tcPr>
            <w:tcW w:type="dxa" w:w="1728"/>
          </w:tcPr>
          <w:p>
            <w:r>
              <w:t>Remediation tracking</w:t>
            </w:r>
          </w:p>
        </w:tc>
        <w:tc>
          <w:tcPr>
            <w:tcW w:type="dxa" w:w="1728"/>
          </w:tcPr>
          <w:p>
            <w:r>
              <w:t>BT (per gap owner)</w:t>
            </w:r>
          </w:p>
        </w:tc>
        <w:tc>
          <w:tcPr>
            <w:tcW w:type="dxa" w:w="1728"/>
          </w:tcPr>
          <w:p>
            <w:r>
              <w:t>BT Lead</w:t>
            </w:r>
          </w:p>
        </w:tc>
        <w:tc>
          <w:tcPr>
            <w:tcW w:type="dxa" w:w="1728"/>
          </w:tcPr>
          <w:p>
            <w:r>
              <w:t>RT</w:t>
            </w:r>
          </w:p>
        </w:tc>
        <w:tc>
          <w:tcPr>
            <w:tcW w:type="dxa" w:w="1728"/>
          </w:tcPr>
          <w:p>
            <w:r>
              <w:t>WT</w:t>
            </w:r>
          </w:p>
        </w:tc>
      </w:tr>
      <w:tr>
        <w:tc>
          <w:tcPr>
            <w:tcW w:type="dxa" w:w="1728"/>
          </w:tcPr>
          <w:p>
            <w:r>
              <w:t>Attestation (TLPT only)</w:t>
            </w:r>
          </w:p>
        </w:tc>
        <w:tc>
          <w:tcPr>
            <w:tcW w:type="dxa" w:w="1728"/>
          </w:tcPr>
          <w:p>
            <w:r>
              <w:t>RT + WT + Control Team</w:t>
            </w:r>
          </w:p>
        </w:tc>
        <w:tc>
          <w:tcPr>
            <w:tcW w:type="dxa" w:w="1728"/>
          </w:tcPr>
          <w:p>
            <w:r>
              <w:t>WT</w:t>
            </w:r>
          </w:p>
        </w:tc>
        <w:tc>
          <w:tcPr>
            <w:tcW w:type="dxa" w:w="1728"/>
          </w:tcPr>
          <w:p>
            <w:r>
              <w:t>RT</w:t>
            </w:r>
          </w:p>
        </w:tc>
        <w:tc>
          <w:tcPr>
            <w:tcW w:type="dxa" w:w="1728"/>
          </w:tcPr>
          <w:p>
            <w:r>
              <w:t>Legal</w:t>
            </w:r>
          </w:p>
        </w:tc>
      </w:tr>
    </w:tbl>
    <w:p>
      <w:r>
        <w:rPr>
          <w:b/>
          <w:sz w:val="32"/>
        </w:rPr>
        <w:t>Anti-patterns to avoid</w:t>
      </w:r>
    </w:p>
    <w:p>
      <w:pPr>
        <w:pStyle w:val="ListBullet"/>
      </w:pPr>
      <w:r>
        <w:t>Treating the purple-team close-out as optional. It is a mandatory close-out phase per the methodology.</w:t>
      </w:r>
    </w:p>
    <w:p>
      <w:pPr>
        <w:pStyle w:val="ListBullet"/>
      </w:pPr>
      <w:r>
        <w:t>Skipping the close-out for ‘small’ engagements. Even short Threat Scenarios produce findings worth converting into hunt hypotheses.</w:t>
      </w:r>
    </w:p>
    <w:p>
      <w:pPr>
        <w:pStyle w:val="ListBullet"/>
      </w:pPr>
      <w:r>
        <w:t>Letting the workshop run as a one-way Red Team presentation. The value is in the bidirectional walkthrough; Blue Team must respond per phase.</w:t>
      </w:r>
    </w:p>
    <w:p>
      <w:pPr>
        <w:pStyle w:val="ListBullet"/>
      </w:pPr>
      <w:r>
        <w:t>Closing the workshop without a remediation backlog and named owners.</w:t>
      </w:r>
    </w:p>
    <w:p>
      <w:pPr>
        <w:pStyle w:val="ListBullet"/>
      </w:pPr>
      <w:r>
        <w:t>Allowing remediation actions to age in the tracking forum without periodic review.</w:t>
      </w:r>
    </w:p>
    <w:p>
      <w:r>
        <w:rPr>
          <w:b/>
          <w:sz w:val="32"/>
        </w:rPr>
        <w:t>References</w:t>
      </w:r>
    </w:p>
    <w:p>
      <w:pPr>
        <w:pStyle w:val="ListBullet"/>
      </w:pPr>
      <w:r>
        <w:t>RedTeam_Methodology_vX.docx — engagement lifecycle and the mandatory purple-team close-out requirement.</w:t>
      </w:r>
    </w:p>
    <w:p>
      <w:pPr>
        <w:pStyle w:val="ListBullet"/>
      </w:pPr>
      <w:r>
        <w:t>ThreatScenarios_Process_vX.docx, Operations_Process_vX.docx, Exercises_Process_vX.docx — engagement SOPs; their Closure phase references this document for the close-out procedure.</w:t>
      </w:r>
    </w:p>
    <w:p>
      <w:pPr>
        <w:pStyle w:val="ListBullet"/>
      </w:pPr>
      <w:r>
        <w:t>TIBER-EU Generic Framework v2 — 360-degree feedback requirements (for Exercises run as TLPT).</w:t>
      </w:r>
    </w:p>
    <w:p>
      <w:pPr>
        <w:pStyle w:val="ListBullet"/>
      </w:pPr>
      <w:r>
        <w:t>DORA (Regulation (EU) 2022/2554), Articles 26–27 — TLPT requirements.</w:t>
      </w:r>
    </w:p>
    <w:p>
      <w:r>
        <w:rPr>
          <w:b/>
          <w:sz w:val="32"/>
        </w:rPr>
        <w:t>Versioning</w:t>
      </w:r>
    </w:p>
    <w:p>
      <w:r>
        <w:t>The following lists only the most recent modification made to this revision.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Revision No.</w:t>
            </w:r>
          </w:p>
        </w:tc>
        <w:tc>
          <w:tcPr>
            <w:tcW w:type="dxa" w:w="2160"/>
          </w:tcPr>
          <w:p>
            <w:r>
              <w:t>Date</w:t>
            </w:r>
          </w:p>
        </w:tc>
        <w:tc>
          <w:tcPr>
            <w:tcW w:type="dxa" w:w="2160"/>
          </w:tcPr>
          <w:p>
            <w:r>
              <w:t>Author</w:t>
            </w:r>
          </w:p>
        </w:tc>
        <w:tc>
          <w:tcPr>
            <w:tcW w:type="dxa" w:w="2160"/>
          </w:tcPr>
          <w:p>
            <w:r>
              <w:t>Change Description</w:t>
            </w:r>
          </w:p>
        </w:tc>
      </w:tr>
      <w:tr>
        <w:tc>
          <w:tcPr>
            <w:tcW w:type="dxa" w:w="2160"/>
          </w:tcPr>
          <w:p>
            <w:r>
              <w:t>0.1</w:t>
            </w:r>
          </w:p>
        </w:tc>
        <w:tc>
          <w:tcPr>
            <w:tcW w:type="dxa" w:w="2160"/>
          </w:tcPr>
          <w:p>
            <w:r>
              <w:t>2026-05-12</w:t>
            </w:r>
          </w:p>
        </w:tc>
        <w:tc>
          <w:tcPr>
            <w:tcW w:type="dxa" w:w="2160"/>
          </w:tcPr>
          <w:p>
            <w:r>
              <w:t>Generated draft (from corpus-coherence findings -005, -006, -009)</w:t>
            </w:r>
          </w:p>
        </w:tc>
        <w:tc>
          <w:tcPr>
            <w:tcW w:type="dxa" w:w="2160"/>
          </w:tcPr>
          <w:p>
            <w:r>
              <w:t>First draft skeleton for team review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