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C1DB7" w14:textId="5743E4A0" w:rsidR="00A23011" w:rsidRPr="00A23011" w:rsidRDefault="00A23011" w:rsidP="00A23011">
      <w:pPr>
        <w:keepNext/>
        <w:spacing w:before="320" w:after="80" w:line="480" w:lineRule="auto"/>
        <w:jc w:val="center"/>
        <w:rPr>
          <w:rFonts w:cs="Arial"/>
          <w:b/>
          <w:color w:val="auto"/>
          <w:sz w:val="24"/>
          <w:szCs w:val="24"/>
        </w:rPr>
      </w:pPr>
      <w:r>
        <w:rPr>
          <w:rFonts w:cs="Arial"/>
          <w:b/>
          <w:color w:val="auto"/>
          <w:sz w:val="24"/>
          <w:szCs w:val="24"/>
        </w:rPr>
        <w:t>D</w:t>
      </w:r>
      <w:r w:rsidRPr="00A23011">
        <w:rPr>
          <w:rFonts w:cs="Arial"/>
          <w:b/>
          <w:color w:val="auto"/>
          <w:sz w:val="24"/>
          <w:szCs w:val="24"/>
        </w:rPr>
        <w:t>EVELOPMENT OF AN AI-DRIVEN RETRIEVAL-AUGMENTED GENERATION</w:t>
      </w:r>
    </w:p>
    <w:p w14:paraId="6C4CA7D4" w14:textId="77777777" w:rsidR="00A23011" w:rsidRPr="00A23011" w:rsidRDefault="00A23011" w:rsidP="00A23011">
      <w:pPr>
        <w:keepNext/>
        <w:spacing w:before="320" w:after="80" w:line="480" w:lineRule="auto"/>
        <w:jc w:val="center"/>
        <w:rPr>
          <w:rFonts w:cs="Arial"/>
          <w:b/>
          <w:color w:val="auto"/>
          <w:sz w:val="24"/>
          <w:szCs w:val="24"/>
        </w:rPr>
      </w:pPr>
      <w:r w:rsidRPr="00A23011">
        <w:rPr>
          <w:rFonts w:cs="Arial"/>
          <w:b/>
          <w:color w:val="auto"/>
          <w:sz w:val="24"/>
          <w:szCs w:val="24"/>
        </w:rPr>
        <w:t>CONVERSATIONAL AGENT FOR INSTITUTIONAL POLICY NAVIGATION</w:t>
      </w:r>
    </w:p>
    <w:p w14:paraId="53CF729D" w14:textId="77777777" w:rsidR="00A23011" w:rsidRPr="00A23011" w:rsidRDefault="00A23011" w:rsidP="00A23011">
      <w:pPr>
        <w:keepNext/>
        <w:spacing w:before="320" w:after="80" w:line="480" w:lineRule="auto"/>
        <w:jc w:val="center"/>
        <w:rPr>
          <w:rFonts w:cs="Arial"/>
          <w:b/>
          <w:color w:val="auto"/>
          <w:sz w:val="24"/>
          <w:szCs w:val="24"/>
        </w:rPr>
      </w:pPr>
      <w:r w:rsidRPr="00A23011">
        <w:rPr>
          <w:rFonts w:cs="Arial"/>
          <w:b/>
          <w:color w:val="auto"/>
          <w:sz w:val="24"/>
          <w:szCs w:val="24"/>
        </w:rPr>
        <w:t>AT TALIBON POLYTECHNIC COLLEGE</w:t>
      </w:r>
    </w:p>
    <w:p w14:paraId="586CE1F3" w14:textId="77777777" w:rsidR="00A23011" w:rsidRPr="00A23011" w:rsidRDefault="00A23011" w:rsidP="00A23011">
      <w:pPr>
        <w:keepNext/>
        <w:spacing w:before="320" w:after="80" w:line="480" w:lineRule="auto"/>
        <w:jc w:val="center"/>
        <w:rPr>
          <w:rFonts w:cs="Arial"/>
          <w:bCs/>
          <w:color w:val="auto"/>
          <w:sz w:val="24"/>
          <w:szCs w:val="24"/>
        </w:rPr>
      </w:pPr>
      <w:proofErr w:type="spellStart"/>
      <w:r w:rsidRPr="00A23011">
        <w:rPr>
          <w:rFonts w:cs="Arial"/>
          <w:bCs/>
          <w:color w:val="auto"/>
          <w:sz w:val="24"/>
          <w:szCs w:val="24"/>
        </w:rPr>
        <w:t>TPoliCynav</w:t>
      </w:r>
      <w:proofErr w:type="spellEnd"/>
      <w:r w:rsidRPr="00A23011">
        <w:rPr>
          <w:rFonts w:cs="Arial"/>
          <w:bCs/>
          <w:color w:val="auto"/>
          <w:sz w:val="24"/>
          <w:szCs w:val="24"/>
        </w:rPr>
        <w:t>: The TPC Policy Navigator — Foundation &amp; Data Pipeline</w:t>
      </w:r>
    </w:p>
    <w:p w14:paraId="13F34731" w14:textId="77777777" w:rsidR="00A23011" w:rsidRPr="00A23011" w:rsidRDefault="00A23011" w:rsidP="00A23011">
      <w:pPr>
        <w:keepNext/>
        <w:spacing w:before="320" w:after="80" w:line="480" w:lineRule="auto"/>
        <w:jc w:val="center"/>
        <w:rPr>
          <w:rFonts w:cs="Arial"/>
          <w:bCs/>
          <w:color w:val="auto"/>
          <w:sz w:val="24"/>
          <w:szCs w:val="24"/>
        </w:rPr>
      </w:pPr>
    </w:p>
    <w:p w14:paraId="2B943AC4" w14:textId="77777777" w:rsidR="00A23011" w:rsidRPr="00A23011" w:rsidRDefault="00A23011" w:rsidP="00A23011">
      <w:pPr>
        <w:keepNext/>
        <w:spacing w:before="320" w:after="80" w:line="480" w:lineRule="auto"/>
        <w:jc w:val="center"/>
        <w:rPr>
          <w:rFonts w:cs="Arial"/>
          <w:bCs/>
          <w:color w:val="auto"/>
          <w:sz w:val="24"/>
          <w:szCs w:val="24"/>
        </w:rPr>
      </w:pPr>
    </w:p>
    <w:p w14:paraId="27069996" w14:textId="77777777" w:rsidR="00A23011" w:rsidRPr="00A23011" w:rsidRDefault="00A23011" w:rsidP="00A23011">
      <w:pPr>
        <w:keepNext/>
        <w:spacing w:before="320" w:after="80" w:line="480" w:lineRule="auto"/>
        <w:jc w:val="center"/>
        <w:rPr>
          <w:rFonts w:cs="Arial"/>
          <w:bCs/>
          <w:color w:val="auto"/>
          <w:sz w:val="24"/>
          <w:szCs w:val="24"/>
        </w:rPr>
      </w:pPr>
    </w:p>
    <w:p w14:paraId="5F7EB411" w14:textId="77777777" w:rsidR="00A23011" w:rsidRPr="00A23011" w:rsidRDefault="00A23011" w:rsidP="00A23011">
      <w:pPr>
        <w:keepNext/>
        <w:spacing w:before="320" w:after="80" w:line="480" w:lineRule="auto"/>
        <w:jc w:val="center"/>
        <w:rPr>
          <w:rFonts w:cs="Arial"/>
          <w:bCs/>
          <w:color w:val="auto"/>
          <w:sz w:val="24"/>
          <w:szCs w:val="24"/>
        </w:rPr>
      </w:pPr>
    </w:p>
    <w:p w14:paraId="0C8FF174" w14:textId="77777777" w:rsidR="00A23011" w:rsidRPr="00A23011" w:rsidRDefault="00A23011" w:rsidP="00A23011">
      <w:pPr>
        <w:keepNext/>
        <w:spacing w:before="320" w:after="80" w:line="480" w:lineRule="auto"/>
        <w:jc w:val="center"/>
        <w:rPr>
          <w:rFonts w:cs="Arial"/>
          <w:bCs/>
          <w:color w:val="auto"/>
          <w:sz w:val="24"/>
          <w:szCs w:val="24"/>
        </w:rPr>
      </w:pPr>
    </w:p>
    <w:p w14:paraId="64FC2E42" w14:textId="77777777" w:rsidR="00A23011" w:rsidRPr="00A23011" w:rsidRDefault="00A23011" w:rsidP="00A23011">
      <w:pPr>
        <w:keepNext/>
        <w:spacing w:before="320" w:after="80" w:line="480" w:lineRule="auto"/>
        <w:rPr>
          <w:rFonts w:cs="Arial"/>
          <w:bCs/>
          <w:color w:val="auto"/>
          <w:sz w:val="24"/>
          <w:szCs w:val="24"/>
        </w:rPr>
      </w:pPr>
    </w:p>
    <w:p w14:paraId="64251D36" w14:textId="64EFF7A4" w:rsidR="00A23011" w:rsidRPr="00A23011" w:rsidRDefault="00A23011" w:rsidP="00A23011">
      <w:pPr>
        <w:keepNext/>
        <w:spacing w:before="320" w:after="80" w:line="480" w:lineRule="auto"/>
        <w:jc w:val="center"/>
        <w:rPr>
          <w:rFonts w:cs="Arial"/>
          <w:bCs/>
          <w:color w:val="auto"/>
          <w:sz w:val="24"/>
          <w:szCs w:val="24"/>
        </w:rPr>
      </w:pPr>
      <w:r w:rsidRPr="00A23011">
        <w:rPr>
          <w:rFonts w:cs="Arial"/>
          <w:bCs/>
          <w:color w:val="auto"/>
          <w:sz w:val="24"/>
          <w:szCs w:val="24"/>
        </w:rPr>
        <w:t>TEAM KUYS</w:t>
      </w:r>
    </w:p>
    <w:p w14:paraId="7EDE9D12" w14:textId="77777777" w:rsidR="00A23011" w:rsidRPr="00A23011" w:rsidRDefault="00A23011" w:rsidP="00A23011">
      <w:pPr>
        <w:keepNext/>
        <w:spacing w:before="320" w:after="80" w:line="480" w:lineRule="auto"/>
        <w:jc w:val="center"/>
        <w:rPr>
          <w:rFonts w:cs="Arial"/>
          <w:bCs/>
          <w:color w:val="auto"/>
          <w:sz w:val="24"/>
          <w:szCs w:val="24"/>
        </w:rPr>
      </w:pPr>
      <w:r w:rsidRPr="00A23011">
        <w:rPr>
          <w:rFonts w:cs="Arial"/>
          <w:bCs/>
          <w:color w:val="auto"/>
          <w:sz w:val="24"/>
          <w:szCs w:val="24"/>
        </w:rPr>
        <w:t xml:space="preserve">Eduardo </w:t>
      </w:r>
      <w:proofErr w:type="spellStart"/>
      <w:r w:rsidRPr="00A23011">
        <w:rPr>
          <w:rFonts w:cs="Arial"/>
          <w:bCs/>
          <w:color w:val="auto"/>
          <w:sz w:val="24"/>
          <w:szCs w:val="24"/>
        </w:rPr>
        <w:t>Avenido</w:t>
      </w:r>
      <w:proofErr w:type="spellEnd"/>
      <w:r w:rsidRPr="00A23011">
        <w:rPr>
          <w:rFonts w:cs="Arial"/>
          <w:bCs/>
          <w:color w:val="auto"/>
          <w:sz w:val="24"/>
          <w:szCs w:val="24"/>
        </w:rPr>
        <w:t xml:space="preserve"> Jr.</w:t>
      </w:r>
    </w:p>
    <w:p w14:paraId="3D3CB06D" w14:textId="77777777" w:rsidR="00A23011" w:rsidRPr="00A23011" w:rsidRDefault="00A23011" w:rsidP="00A23011">
      <w:pPr>
        <w:keepNext/>
        <w:spacing w:before="320" w:after="80" w:line="480" w:lineRule="auto"/>
        <w:jc w:val="center"/>
        <w:rPr>
          <w:rFonts w:cs="Arial"/>
          <w:bCs/>
          <w:color w:val="auto"/>
          <w:sz w:val="24"/>
          <w:szCs w:val="24"/>
        </w:rPr>
      </w:pPr>
      <w:r w:rsidRPr="00A23011">
        <w:rPr>
          <w:rFonts w:cs="Arial"/>
          <w:bCs/>
          <w:color w:val="auto"/>
          <w:sz w:val="24"/>
          <w:szCs w:val="24"/>
        </w:rPr>
        <w:t xml:space="preserve">Christian Paul </w:t>
      </w:r>
      <w:proofErr w:type="spellStart"/>
      <w:r w:rsidRPr="00A23011">
        <w:rPr>
          <w:rFonts w:cs="Arial"/>
          <w:bCs/>
          <w:color w:val="auto"/>
          <w:sz w:val="24"/>
          <w:szCs w:val="24"/>
        </w:rPr>
        <w:t>Larosa</w:t>
      </w:r>
      <w:proofErr w:type="spellEnd"/>
    </w:p>
    <w:p w14:paraId="5C492D39" w14:textId="77777777" w:rsidR="00A23011" w:rsidRPr="00A23011" w:rsidRDefault="00A23011" w:rsidP="00A23011">
      <w:pPr>
        <w:keepNext/>
        <w:spacing w:before="320" w:after="80" w:line="480" w:lineRule="auto"/>
        <w:jc w:val="center"/>
        <w:rPr>
          <w:rFonts w:cs="Arial"/>
          <w:bCs/>
          <w:color w:val="auto"/>
          <w:sz w:val="24"/>
          <w:szCs w:val="24"/>
        </w:rPr>
      </w:pPr>
      <w:proofErr w:type="spellStart"/>
      <w:r w:rsidRPr="00A23011">
        <w:rPr>
          <w:rFonts w:cs="Arial"/>
          <w:bCs/>
          <w:color w:val="auto"/>
          <w:sz w:val="24"/>
          <w:szCs w:val="24"/>
        </w:rPr>
        <w:t>Nielbert</w:t>
      </w:r>
      <w:proofErr w:type="spellEnd"/>
      <w:r w:rsidRPr="00A23011">
        <w:rPr>
          <w:rFonts w:cs="Arial"/>
          <w:bCs/>
          <w:color w:val="auto"/>
          <w:sz w:val="24"/>
          <w:szCs w:val="24"/>
        </w:rPr>
        <w:t xml:space="preserve"> Garcia</w:t>
      </w:r>
    </w:p>
    <w:p w14:paraId="2DF2D63E" w14:textId="7E58C58F" w:rsidR="00A23011" w:rsidRPr="00A23011" w:rsidRDefault="00A23011" w:rsidP="00A23011">
      <w:pPr>
        <w:keepNext/>
        <w:spacing w:before="320" w:after="80" w:line="480" w:lineRule="auto"/>
        <w:jc w:val="center"/>
        <w:rPr>
          <w:rFonts w:cs="Arial"/>
          <w:bCs/>
          <w:color w:val="auto"/>
          <w:sz w:val="24"/>
          <w:szCs w:val="24"/>
        </w:rPr>
      </w:pPr>
      <w:r w:rsidRPr="00A23011">
        <w:rPr>
          <w:rFonts w:cs="Arial"/>
          <w:bCs/>
          <w:color w:val="auto"/>
          <w:sz w:val="24"/>
          <w:szCs w:val="24"/>
        </w:rPr>
        <w:t xml:space="preserve">Marcel </w:t>
      </w:r>
      <w:proofErr w:type="spellStart"/>
      <w:r w:rsidRPr="00A23011">
        <w:rPr>
          <w:rFonts w:cs="Arial"/>
          <w:bCs/>
          <w:color w:val="auto"/>
          <w:sz w:val="24"/>
          <w:szCs w:val="24"/>
        </w:rPr>
        <w:t>Avergonzado</w:t>
      </w:r>
      <w:proofErr w:type="spellEnd"/>
    </w:p>
    <w:p w14:paraId="63CE0DC4" w14:textId="241F0D82" w:rsidR="00407BA0" w:rsidRPr="00A23011" w:rsidRDefault="00A23011" w:rsidP="00A23011">
      <w:pPr>
        <w:keepNext/>
        <w:spacing w:before="320" w:after="80" w:line="480" w:lineRule="auto"/>
        <w:jc w:val="both"/>
        <w:rPr>
          <w:rFonts w:cs="Arial"/>
          <w:color w:val="auto"/>
          <w:sz w:val="24"/>
          <w:szCs w:val="24"/>
        </w:rPr>
      </w:pPr>
      <w:r w:rsidRPr="00A23011">
        <w:rPr>
          <w:rFonts w:cs="Arial"/>
          <w:b/>
          <w:color w:val="auto"/>
          <w:sz w:val="24"/>
          <w:szCs w:val="24"/>
        </w:rPr>
        <w:lastRenderedPageBreak/>
        <w:t>Problem Statement</w:t>
      </w:r>
    </w:p>
    <w:p w14:paraId="72F30811" w14:textId="77777777" w:rsidR="00407BA0" w:rsidRPr="00A23011" w:rsidRDefault="00A23011" w:rsidP="00A23011">
      <w:pPr>
        <w:spacing w:line="480" w:lineRule="auto"/>
        <w:ind w:firstLine="720"/>
        <w:jc w:val="both"/>
        <w:rPr>
          <w:rFonts w:cs="Arial"/>
          <w:color w:val="auto"/>
          <w:sz w:val="24"/>
          <w:szCs w:val="24"/>
        </w:rPr>
      </w:pPr>
      <w:r w:rsidRPr="00A23011">
        <w:rPr>
          <w:rFonts w:cs="Arial"/>
          <w:color w:val="auto"/>
          <w:sz w:val="24"/>
          <w:szCs w:val="24"/>
        </w:rPr>
        <w:t xml:space="preserve">The fundamental challenge facing the Talibon Polytechnic College (TPC) ecosystem is the </w:t>
      </w:r>
      <w:r w:rsidRPr="00A23011">
        <w:rPr>
          <w:rFonts w:cs="Arial"/>
          <w:color w:val="auto"/>
          <w:sz w:val="24"/>
          <w:szCs w:val="24"/>
        </w:rPr>
        <w:t xml:space="preserve">high cognitive friction students experience when navigating fragmented institutional policies. Students must comply with the comprehensive TPC Student Handbook, which dictates strict academic and behavioral guidelines, as well as external regulations like </w:t>
      </w:r>
      <w:r w:rsidRPr="00A23011">
        <w:rPr>
          <w:rFonts w:cs="Arial"/>
          <w:color w:val="auto"/>
          <w:sz w:val="24"/>
          <w:szCs w:val="24"/>
        </w:rPr>
        <w:t>Talibon Municipal Ordinance No. 127, which governs off-campus boarding houses. Currently, students risk disciplinary infractions or enrollment delays because traditional keyword search systems cannot efficiently retrieve or synthesize highly specific rules</w:t>
      </w:r>
      <w:r w:rsidRPr="00A23011">
        <w:rPr>
          <w:rFonts w:cs="Arial"/>
          <w:color w:val="auto"/>
          <w:sz w:val="24"/>
          <w:szCs w:val="24"/>
        </w:rPr>
        <w:t xml:space="preserve"> hidden within dozens of pages of text. This project proposes building a Generative AI conversational agent capable of semantic retrieval to bypass the limitations of exact-string matching, providing students with highly accurate, context-aware answers to </w:t>
      </w:r>
      <w:r w:rsidRPr="00A23011">
        <w:rPr>
          <w:rFonts w:cs="Arial"/>
          <w:color w:val="auto"/>
          <w:sz w:val="24"/>
          <w:szCs w:val="24"/>
        </w:rPr>
        <w:t>campus policy questions.</w:t>
      </w:r>
    </w:p>
    <w:p w14:paraId="70897BA5" w14:textId="2D3376BE" w:rsidR="00407BA0" w:rsidRPr="00A23011" w:rsidRDefault="00A23011" w:rsidP="00A23011">
      <w:pPr>
        <w:keepNext/>
        <w:spacing w:before="320" w:after="80" w:line="480" w:lineRule="auto"/>
        <w:jc w:val="both"/>
        <w:rPr>
          <w:rFonts w:cs="Arial"/>
          <w:color w:val="auto"/>
          <w:sz w:val="24"/>
          <w:szCs w:val="24"/>
        </w:rPr>
      </w:pPr>
      <w:r w:rsidRPr="00A23011">
        <w:rPr>
          <w:rFonts w:cs="Arial"/>
          <w:b/>
          <w:color w:val="auto"/>
          <w:sz w:val="24"/>
          <w:szCs w:val="24"/>
        </w:rPr>
        <w:t>Target Users</w:t>
      </w:r>
    </w:p>
    <w:p w14:paraId="6559525D" w14:textId="77777777" w:rsidR="00407BA0" w:rsidRPr="00A23011" w:rsidRDefault="00A23011" w:rsidP="00A23011">
      <w:pPr>
        <w:spacing w:line="480" w:lineRule="auto"/>
        <w:ind w:firstLine="720"/>
        <w:jc w:val="both"/>
        <w:rPr>
          <w:rFonts w:cs="Arial"/>
          <w:color w:val="auto"/>
          <w:sz w:val="24"/>
          <w:szCs w:val="24"/>
        </w:rPr>
      </w:pPr>
      <w:r w:rsidRPr="00A23011">
        <w:rPr>
          <w:rFonts w:cs="Arial"/>
          <w:color w:val="auto"/>
          <w:sz w:val="24"/>
          <w:szCs w:val="24"/>
        </w:rPr>
        <w:t>The primary users of this application are the approximately 4,900 students currently enrolled at TPC. This demographic ranges from incoming freshmen who require immediate clarification on entrance exam dress codes (</w:t>
      </w:r>
      <w:r w:rsidRPr="00A23011">
        <w:rPr>
          <w:rFonts w:cs="Arial"/>
          <w:color w:val="auto"/>
          <w:sz w:val="24"/>
          <w:szCs w:val="24"/>
        </w:rPr>
        <w:t>such as the strict prohibition of ripped jeans, shorts, and slippers), to graduating seniors navigating 240-hour practical training requirements. A highly critical subset of users includes students residing in local boarding houses, who must balance academ</w:t>
      </w:r>
      <w:r w:rsidRPr="00A23011">
        <w:rPr>
          <w:rFonts w:cs="Arial"/>
          <w:color w:val="auto"/>
          <w:sz w:val="24"/>
          <w:szCs w:val="24"/>
        </w:rPr>
        <w:t>ic rules with municipal curfews and behavioral mandates enforced by the local Philippine National Police. Secondary stakeholders include the faculty, the Dean of Student Discipline, and the Chief Security Officer, who will utilize the tool as a rapid refer</w:t>
      </w:r>
      <w:r w:rsidRPr="00A23011">
        <w:rPr>
          <w:rFonts w:cs="Arial"/>
          <w:color w:val="auto"/>
          <w:sz w:val="24"/>
          <w:szCs w:val="24"/>
        </w:rPr>
        <w:t>ence utility to ensure uniform policy enforcement across the campus.</w:t>
      </w:r>
    </w:p>
    <w:p w14:paraId="2EB9A981" w14:textId="020EE602" w:rsidR="00407BA0" w:rsidRPr="00A23011" w:rsidRDefault="00A23011" w:rsidP="00A23011">
      <w:pPr>
        <w:keepNext/>
        <w:spacing w:before="320" w:after="80" w:line="480" w:lineRule="auto"/>
        <w:jc w:val="both"/>
        <w:rPr>
          <w:rFonts w:cs="Arial"/>
          <w:color w:val="auto"/>
          <w:sz w:val="24"/>
          <w:szCs w:val="24"/>
        </w:rPr>
      </w:pPr>
      <w:r w:rsidRPr="00A23011">
        <w:rPr>
          <w:rFonts w:cs="Arial"/>
          <w:b/>
          <w:color w:val="auto"/>
          <w:sz w:val="24"/>
          <w:szCs w:val="24"/>
        </w:rPr>
        <w:lastRenderedPageBreak/>
        <w:t>Chosen Theme</w:t>
      </w:r>
    </w:p>
    <w:p w14:paraId="23A88D09" w14:textId="77777777" w:rsidR="00407BA0" w:rsidRPr="00A23011" w:rsidRDefault="00A23011" w:rsidP="00A23011">
      <w:pPr>
        <w:spacing w:line="480" w:lineRule="auto"/>
        <w:ind w:firstLine="720"/>
        <w:jc w:val="both"/>
        <w:rPr>
          <w:rFonts w:cs="Arial"/>
          <w:color w:val="auto"/>
          <w:sz w:val="24"/>
          <w:szCs w:val="24"/>
        </w:rPr>
      </w:pPr>
      <w:r w:rsidRPr="00A23011">
        <w:rPr>
          <w:rFonts w:cs="Arial"/>
          <w:color w:val="auto"/>
          <w:sz w:val="24"/>
          <w:szCs w:val="24"/>
        </w:rPr>
        <w:t xml:space="preserve">In strict alignment with the course syllabus requirements, this project adopts the "Document/Knowledge-Base Q&amp;A Assistant" theme. The specific application being developed </w:t>
      </w:r>
      <w:r w:rsidRPr="00A23011">
        <w:rPr>
          <w:rFonts w:cs="Arial"/>
          <w:color w:val="auto"/>
          <w:sz w:val="24"/>
          <w:szCs w:val="24"/>
        </w:rPr>
        <w:t>is a campus policy and rules assistant officially titled "TPoliCynav: The TPC Policy Navigator."</w:t>
      </w:r>
    </w:p>
    <w:p w14:paraId="14375D93" w14:textId="16F6AEB5" w:rsidR="00407BA0" w:rsidRPr="00A23011" w:rsidRDefault="00A23011" w:rsidP="00A23011">
      <w:pPr>
        <w:keepNext/>
        <w:spacing w:before="320" w:after="80" w:line="480" w:lineRule="auto"/>
        <w:jc w:val="both"/>
        <w:rPr>
          <w:rFonts w:cs="Arial"/>
          <w:color w:val="auto"/>
          <w:sz w:val="24"/>
          <w:szCs w:val="24"/>
        </w:rPr>
      </w:pPr>
      <w:r w:rsidRPr="00A23011">
        <w:rPr>
          <w:rFonts w:cs="Arial"/>
          <w:b/>
          <w:color w:val="auto"/>
          <w:sz w:val="24"/>
          <w:szCs w:val="24"/>
        </w:rPr>
        <w:t>Dataset Sources &amp; Knowledge Base</w:t>
      </w:r>
    </w:p>
    <w:p w14:paraId="2B0D98EF" w14:textId="77777777" w:rsidR="00407BA0" w:rsidRPr="00A23011" w:rsidRDefault="00A23011" w:rsidP="00A23011">
      <w:pPr>
        <w:spacing w:line="480" w:lineRule="auto"/>
        <w:ind w:firstLine="720"/>
        <w:jc w:val="both"/>
        <w:rPr>
          <w:rFonts w:cs="Arial"/>
          <w:color w:val="auto"/>
          <w:sz w:val="24"/>
          <w:szCs w:val="24"/>
        </w:rPr>
      </w:pPr>
      <w:r w:rsidRPr="00A23011">
        <w:rPr>
          <w:rFonts w:cs="Arial"/>
          <w:color w:val="auto"/>
          <w:sz w:val="24"/>
          <w:szCs w:val="24"/>
        </w:rPr>
        <w:t>To satisfy the foundational data pipeline requirements, a highly curated, domain-specific corpus totaling over 30+ pages wa</w:t>
      </w:r>
      <w:r w:rsidRPr="00A23011">
        <w:rPr>
          <w:rFonts w:cs="Arial"/>
          <w:color w:val="auto"/>
          <w:sz w:val="24"/>
          <w:szCs w:val="24"/>
        </w:rPr>
        <w:t>s aggregated and preprocessed from official collegiate and municipal publications:</w:t>
      </w:r>
    </w:p>
    <w:tbl>
      <w:tblPr>
        <w:tblW w:w="0" w:type="auto"/>
        <w:jc w:val="center"/>
        <w:tblLook w:val="04A0" w:firstRow="1" w:lastRow="0" w:firstColumn="1" w:lastColumn="0" w:noHBand="0" w:noVBand="1"/>
      </w:tblPr>
      <w:tblGrid>
        <w:gridCol w:w="2340"/>
        <w:gridCol w:w="2340"/>
        <w:gridCol w:w="2340"/>
        <w:gridCol w:w="2340"/>
      </w:tblGrid>
      <w:tr w:rsidR="00A23011" w:rsidRPr="00A23011" w14:paraId="61E898E2" w14:textId="77777777">
        <w:trPr>
          <w:jc w:val="center"/>
        </w:trPr>
        <w:tc>
          <w:tcPr>
            <w:tcW w:w="2340" w:type="dxa"/>
            <w:shd w:val="clear" w:color="auto" w:fill="1B365D"/>
            <w:tcMar>
              <w:top w:w="110" w:type="dxa"/>
              <w:left w:w="120" w:type="dxa"/>
              <w:bottom w:w="110" w:type="dxa"/>
              <w:right w:w="120" w:type="dxa"/>
            </w:tcMar>
          </w:tcPr>
          <w:p w14:paraId="43B0DC12"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Document</w:t>
            </w:r>
          </w:p>
        </w:tc>
        <w:tc>
          <w:tcPr>
            <w:tcW w:w="2340" w:type="dxa"/>
            <w:shd w:val="clear" w:color="auto" w:fill="1B365D"/>
            <w:tcMar>
              <w:top w:w="110" w:type="dxa"/>
              <w:left w:w="120" w:type="dxa"/>
              <w:bottom w:w="110" w:type="dxa"/>
              <w:right w:w="120" w:type="dxa"/>
            </w:tcMar>
          </w:tcPr>
          <w:p w14:paraId="72F770CF"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Authority</w:t>
            </w:r>
          </w:p>
        </w:tc>
        <w:tc>
          <w:tcPr>
            <w:tcW w:w="2340" w:type="dxa"/>
            <w:shd w:val="clear" w:color="auto" w:fill="1B365D"/>
            <w:tcMar>
              <w:top w:w="110" w:type="dxa"/>
              <w:left w:w="120" w:type="dxa"/>
              <w:bottom w:w="110" w:type="dxa"/>
              <w:right w:w="120" w:type="dxa"/>
            </w:tcMar>
          </w:tcPr>
          <w:p w14:paraId="19AF9FFA"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Size</w:t>
            </w:r>
          </w:p>
        </w:tc>
        <w:tc>
          <w:tcPr>
            <w:tcW w:w="2340" w:type="dxa"/>
            <w:shd w:val="clear" w:color="auto" w:fill="1B365D"/>
            <w:tcMar>
              <w:top w:w="110" w:type="dxa"/>
              <w:left w:w="120" w:type="dxa"/>
              <w:bottom w:w="110" w:type="dxa"/>
              <w:right w:w="120" w:type="dxa"/>
            </w:tcMar>
          </w:tcPr>
          <w:p w14:paraId="0198E728"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Content Scope</w:t>
            </w:r>
          </w:p>
        </w:tc>
      </w:tr>
      <w:tr w:rsidR="00A23011" w:rsidRPr="00A23011" w14:paraId="790816C3" w14:textId="77777777">
        <w:trPr>
          <w:jc w:val="center"/>
        </w:trPr>
        <w:tc>
          <w:tcPr>
            <w:tcW w:w="2340" w:type="dxa"/>
            <w:shd w:val="clear" w:color="auto" w:fill="FFFFFF"/>
            <w:tcMar>
              <w:top w:w="80" w:type="dxa"/>
              <w:left w:w="110" w:type="dxa"/>
              <w:bottom w:w="80" w:type="dxa"/>
              <w:right w:w="110" w:type="dxa"/>
            </w:tcMar>
          </w:tcPr>
          <w:p w14:paraId="333E0E83"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TPC Student Handbook v.04</w:t>
            </w:r>
          </w:p>
        </w:tc>
        <w:tc>
          <w:tcPr>
            <w:tcW w:w="2340" w:type="dxa"/>
            <w:shd w:val="clear" w:color="auto" w:fill="FFFFFF"/>
            <w:tcMar>
              <w:top w:w="80" w:type="dxa"/>
              <w:left w:w="110" w:type="dxa"/>
              <w:bottom w:w="80" w:type="dxa"/>
              <w:right w:w="110" w:type="dxa"/>
            </w:tcMar>
          </w:tcPr>
          <w:p w14:paraId="6EBF98EB"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Board of Trustees</w:t>
            </w:r>
          </w:p>
        </w:tc>
        <w:tc>
          <w:tcPr>
            <w:tcW w:w="2340" w:type="dxa"/>
            <w:shd w:val="clear" w:color="auto" w:fill="FFFFFF"/>
            <w:tcMar>
              <w:top w:w="80" w:type="dxa"/>
              <w:left w:w="110" w:type="dxa"/>
              <w:bottom w:w="80" w:type="dxa"/>
              <w:right w:w="110" w:type="dxa"/>
            </w:tcMar>
          </w:tcPr>
          <w:p w14:paraId="475A6DB3"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199 pp. (252 KB)</w:t>
            </w:r>
          </w:p>
        </w:tc>
        <w:tc>
          <w:tcPr>
            <w:tcW w:w="2340" w:type="dxa"/>
            <w:shd w:val="clear" w:color="auto" w:fill="FFFFFF"/>
            <w:tcMar>
              <w:top w:w="80" w:type="dxa"/>
              <w:left w:w="110" w:type="dxa"/>
              <w:bottom w:w="80" w:type="dxa"/>
              <w:right w:w="110" w:type="dxa"/>
            </w:tcMar>
          </w:tcPr>
          <w:p w14:paraId="732F4F74" w14:textId="41CD233D" w:rsidR="00407BA0" w:rsidRPr="00A23011" w:rsidRDefault="00A23011" w:rsidP="00A23011">
            <w:pPr>
              <w:spacing w:line="480" w:lineRule="auto"/>
              <w:rPr>
                <w:rFonts w:cs="Arial"/>
                <w:color w:val="auto"/>
                <w:sz w:val="24"/>
                <w:szCs w:val="24"/>
              </w:rPr>
            </w:pPr>
            <w:r w:rsidRPr="00A23011">
              <w:rPr>
                <w:rFonts w:cs="Arial"/>
                <w:color w:val="auto"/>
                <w:sz w:val="24"/>
                <w:szCs w:val="24"/>
              </w:rPr>
              <w:t>Academic policies, grading, retention, 7-degree</w:t>
            </w:r>
            <w:r w:rsidRPr="00A23011">
              <w:rPr>
                <w:rFonts w:cs="Arial"/>
                <w:color w:val="auto"/>
                <w:sz w:val="24"/>
                <w:szCs w:val="24"/>
              </w:rPr>
              <w:t xml:space="preserve"> programs, </w:t>
            </w:r>
            <w:r w:rsidRPr="00A23011">
              <w:rPr>
                <w:rFonts w:cs="Arial"/>
                <w:color w:val="auto"/>
                <w:sz w:val="24"/>
                <w:szCs w:val="24"/>
              </w:rPr>
              <w:t>disciplinary matrix</w:t>
            </w:r>
          </w:p>
        </w:tc>
      </w:tr>
      <w:tr w:rsidR="00A23011" w:rsidRPr="00A23011" w14:paraId="23794DA3" w14:textId="77777777">
        <w:trPr>
          <w:jc w:val="center"/>
        </w:trPr>
        <w:tc>
          <w:tcPr>
            <w:tcW w:w="2340" w:type="dxa"/>
            <w:shd w:val="clear" w:color="auto" w:fill="F8FAFC"/>
            <w:tcMar>
              <w:top w:w="80" w:type="dxa"/>
              <w:left w:w="110" w:type="dxa"/>
              <w:bottom w:w="80" w:type="dxa"/>
              <w:right w:w="110" w:type="dxa"/>
            </w:tcMar>
          </w:tcPr>
          <w:p w14:paraId="465E4055"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Municipal Ordinance No. 127</w:t>
            </w:r>
          </w:p>
        </w:tc>
        <w:tc>
          <w:tcPr>
            <w:tcW w:w="2340" w:type="dxa"/>
            <w:shd w:val="clear" w:color="auto" w:fill="F8FAFC"/>
            <w:tcMar>
              <w:top w:w="80" w:type="dxa"/>
              <w:left w:w="110" w:type="dxa"/>
              <w:bottom w:w="80" w:type="dxa"/>
              <w:right w:w="110" w:type="dxa"/>
            </w:tcMar>
          </w:tcPr>
          <w:p w14:paraId="28D6E2B5"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Sangguniang Bayan</w:t>
            </w:r>
          </w:p>
        </w:tc>
        <w:tc>
          <w:tcPr>
            <w:tcW w:w="2340" w:type="dxa"/>
            <w:shd w:val="clear" w:color="auto" w:fill="F8FAFC"/>
            <w:tcMar>
              <w:top w:w="80" w:type="dxa"/>
              <w:left w:w="110" w:type="dxa"/>
              <w:bottom w:w="80" w:type="dxa"/>
              <w:right w:w="110" w:type="dxa"/>
            </w:tcMar>
          </w:tcPr>
          <w:p w14:paraId="56C40DD3"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6 pp. (5.6 KB)</w:t>
            </w:r>
          </w:p>
        </w:tc>
        <w:tc>
          <w:tcPr>
            <w:tcW w:w="2340" w:type="dxa"/>
            <w:shd w:val="clear" w:color="auto" w:fill="F8FAFC"/>
            <w:tcMar>
              <w:top w:w="80" w:type="dxa"/>
              <w:left w:w="110" w:type="dxa"/>
              <w:bottom w:w="80" w:type="dxa"/>
              <w:right w:w="110" w:type="dxa"/>
            </w:tcMar>
          </w:tcPr>
          <w:p w14:paraId="3A5329D9"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Boarding house rules, 10 PM / 11 PM curfew, 500m alcohol zone</w:t>
            </w:r>
          </w:p>
        </w:tc>
      </w:tr>
      <w:tr w:rsidR="00A23011" w:rsidRPr="00A23011" w14:paraId="66E78193" w14:textId="77777777">
        <w:trPr>
          <w:jc w:val="center"/>
        </w:trPr>
        <w:tc>
          <w:tcPr>
            <w:tcW w:w="2340" w:type="dxa"/>
            <w:shd w:val="clear" w:color="auto" w:fill="FFFFFF"/>
            <w:tcMar>
              <w:top w:w="80" w:type="dxa"/>
              <w:left w:w="110" w:type="dxa"/>
              <w:bottom w:w="80" w:type="dxa"/>
              <w:right w:w="110" w:type="dxa"/>
            </w:tcMar>
          </w:tcPr>
          <w:p w14:paraId="7FA43DF4"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Uniform &amp; Dress Code Guide</w:t>
            </w:r>
          </w:p>
        </w:tc>
        <w:tc>
          <w:tcPr>
            <w:tcW w:w="2340" w:type="dxa"/>
            <w:shd w:val="clear" w:color="auto" w:fill="FFFFFF"/>
            <w:tcMar>
              <w:top w:w="80" w:type="dxa"/>
              <w:left w:w="110" w:type="dxa"/>
              <w:bottom w:w="80" w:type="dxa"/>
              <w:right w:w="110" w:type="dxa"/>
            </w:tcMar>
          </w:tcPr>
          <w:p w14:paraId="5AE9AE61"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OSAS / TPC</w:t>
            </w:r>
          </w:p>
        </w:tc>
        <w:tc>
          <w:tcPr>
            <w:tcW w:w="2340" w:type="dxa"/>
            <w:shd w:val="clear" w:color="auto" w:fill="FFFFFF"/>
            <w:tcMar>
              <w:top w:w="80" w:type="dxa"/>
              <w:left w:w="110" w:type="dxa"/>
              <w:bottom w:w="80" w:type="dxa"/>
              <w:right w:w="110" w:type="dxa"/>
            </w:tcMar>
          </w:tcPr>
          <w:p w14:paraId="51D39914"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4 pp. (5.4 KB)</w:t>
            </w:r>
          </w:p>
        </w:tc>
        <w:tc>
          <w:tcPr>
            <w:tcW w:w="2340" w:type="dxa"/>
            <w:shd w:val="clear" w:color="auto" w:fill="FFFFFF"/>
            <w:tcMar>
              <w:top w:w="80" w:type="dxa"/>
              <w:left w:w="110" w:type="dxa"/>
              <w:bottom w:w="80" w:type="dxa"/>
              <w:right w:w="110" w:type="dxa"/>
            </w:tcMar>
          </w:tcPr>
          <w:p w14:paraId="3DA465F0"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 xml:space="preserve">Type A uniform, freshmen transition </w:t>
            </w:r>
            <w:r w:rsidRPr="00A23011">
              <w:rPr>
                <w:rFonts w:cs="Arial"/>
                <w:color w:val="auto"/>
                <w:sz w:val="24"/>
                <w:szCs w:val="24"/>
              </w:rPr>
              <w:lastRenderedPageBreak/>
              <w:t xml:space="preserve">attire, 12 </w:t>
            </w:r>
            <w:r w:rsidRPr="00A23011">
              <w:rPr>
                <w:rFonts w:cs="Arial"/>
                <w:color w:val="auto"/>
                <w:sz w:val="24"/>
                <w:szCs w:val="24"/>
              </w:rPr>
              <w:t>prohibited styles</w:t>
            </w:r>
          </w:p>
        </w:tc>
      </w:tr>
      <w:tr w:rsidR="00A23011" w:rsidRPr="00A23011" w14:paraId="1A88E80D" w14:textId="77777777">
        <w:trPr>
          <w:jc w:val="center"/>
        </w:trPr>
        <w:tc>
          <w:tcPr>
            <w:tcW w:w="2340" w:type="dxa"/>
            <w:shd w:val="clear" w:color="auto" w:fill="F8FAFC"/>
            <w:tcMar>
              <w:top w:w="80" w:type="dxa"/>
              <w:left w:w="110" w:type="dxa"/>
              <w:bottom w:w="80" w:type="dxa"/>
              <w:right w:w="110" w:type="dxa"/>
            </w:tcMar>
          </w:tcPr>
          <w:p w14:paraId="5A62D8FD"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lastRenderedPageBreak/>
              <w:t>PNP–TPC Security Protocols</w:t>
            </w:r>
          </w:p>
        </w:tc>
        <w:tc>
          <w:tcPr>
            <w:tcW w:w="2340" w:type="dxa"/>
            <w:shd w:val="clear" w:color="auto" w:fill="F8FAFC"/>
            <w:tcMar>
              <w:top w:w="80" w:type="dxa"/>
              <w:left w:w="110" w:type="dxa"/>
              <w:bottom w:w="80" w:type="dxa"/>
              <w:right w:w="110" w:type="dxa"/>
            </w:tcMar>
          </w:tcPr>
          <w:p w14:paraId="1D2B5407"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PNP Talibon Station</w:t>
            </w:r>
          </w:p>
        </w:tc>
        <w:tc>
          <w:tcPr>
            <w:tcW w:w="2340" w:type="dxa"/>
            <w:shd w:val="clear" w:color="auto" w:fill="F8FAFC"/>
            <w:tcMar>
              <w:top w:w="80" w:type="dxa"/>
              <w:left w:w="110" w:type="dxa"/>
              <w:bottom w:w="80" w:type="dxa"/>
              <w:right w:w="110" w:type="dxa"/>
            </w:tcMar>
          </w:tcPr>
          <w:p w14:paraId="22435C86"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3 pp. (2.6 KB)</w:t>
            </w:r>
          </w:p>
        </w:tc>
        <w:tc>
          <w:tcPr>
            <w:tcW w:w="2340" w:type="dxa"/>
            <w:shd w:val="clear" w:color="auto" w:fill="F8FAFC"/>
            <w:tcMar>
              <w:top w:w="80" w:type="dxa"/>
              <w:left w:w="110" w:type="dxa"/>
              <w:bottom w:w="80" w:type="dxa"/>
              <w:right w:w="110" w:type="dxa"/>
            </w:tcMar>
          </w:tcPr>
          <w:p w14:paraId="0D413B34"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Joint safety patrols, surprise inspections, logbook compliance</w:t>
            </w:r>
          </w:p>
        </w:tc>
      </w:tr>
      <w:tr w:rsidR="00A23011" w:rsidRPr="00A23011" w14:paraId="1BF82EAC" w14:textId="77777777">
        <w:trPr>
          <w:jc w:val="center"/>
        </w:trPr>
        <w:tc>
          <w:tcPr>
            <w:tcW w:w="2340" w:type="dxa"/>
            <w:shd w:val="clear" w:color="auto" w:fill="FFFFFF"/>
            <w:tcMar>
              <w:top w:w="80" w:type="dxa"/>
              <w:left w:w="110" w:type="dxa"/>
              <w:bottom w:w="80" w:type="dxa"/>
              <w:right w:w="110" w:type="dxa"/>
            </w:tcMar>
          </w:tcPr>
          <w:p w14:paraId="113AEA01"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CHED Free Education (RA 10931)</w:t>
            </w:r>
          </w:p>
        </w:tc>
        <w:tc>
          <w:tcPr>
            <w:tcW w:w="2340" w:type="dxa"/>
            <w:shd w:val="clear" w:color="auto" w:fill="FFFFFF"/>
            <w:tcMar>
              <w:top w:w="80" w:type="dxa"/>
              <w:left w:w="110" w:type="dxa"/>
              <w:bottom w:w="80" w:type="dxa"/>
              <w:right w:w="110" w:type="dxa"/>
            </w:tcMar>
          </w:tcPr>
          <w:p w14:paraId="1C2FF372"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CHED</w:t>
            </w:r>
          </w:p>
        </w:tc>
        <w:tc>
          <w:tcPr>
            <w:tcW w:w="2340" w:type="dxa"/>
            <w:shd w:val="clear" w:color="auto" w:fill="FFFFFF"/>
            <w:tcMar>
              <w:top w:w="80" w:type="dxa"/>
              <w:left w:w="110" w:type="dxa"/>
              <w:bottom w:w="80" w:type="dxa"/>
              <w:right w:w="110" w:type="dxa"/>
            </w:tcMar>
          </w:tcPr>
          <w:p w14:paraId="769B1009"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3 pp. (2.0 KB)</w:t>
            </w:r>
          </w:p>
        </w:tc>
        <w:tc>
          <w:tcPr>
            <w:tcW w:w="2340" w:type="dxa"/>
            <w:shd w:val="clear" w:color="auto" w:fill="FFFFFF"/>
            <w:tcMar>
              <w:top w:w="80" w:type="dxa"/>
              <w:left w:w="110" w:type="dxa"/>
              <w:bottom w:w="80" w:type="dxa"/>
              <w:right w:w="110" w:type="dxa"/>
            </w:tcMar>
          </w:tcPr>
          <w:p w14:paraId="35C32F3E"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Free tuition for LUCs, TES grants, fee exemptions</w:t>
            </w:r>
          </w:p>
        </w:tc>
      </w:tr>
      <w:tr w:rsidR="00A23011" w:rsidRPr="00A23011" w14:paraId="7AAF30F4" w14:textId="77777777">
        <w:trPr>
          <w:jc w:val="center"/>
        </w:trPr>
        <w:tc>
          <w:tcPr>
            <w:tcW w:w="2340" w:type="dxa"/>
            <w:shd w:val="clear" w:color="auto" w:fill="F8FAFC"/>
            <w:tcMar>
              <w:top w:w="80" w:type="dxa"/>
              <w:left w:w="110" w:type="dxa"/>
              <w:bottom w:w="80" w:type="dxa"/>
              <w:right w:w="110" w:type="dxa"/>
            </w:tcMar>
          </w:tcPr>
          <w:p w14:paraId="1B234B76"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 xml:space="preserve">GSIS </w:t>
            </w:r>
            <w:r w:rsidRPr="00A23011">
              <w:rPr>
                <w:rFonts w:cs="Arial"/>
                <w:b/>
                <w:color w:val="auto"/>
                <w:sz w:val="24"/>
                <w:szCs w:val="24"/>
              </w:rPr>
              <w:t>STEM Subsidy (GSSP)</w:t>
            </w:r>
          </w:p>
        </w:tc>
        <w:tc>
          <w:tcPr>
            <w:tcW w:w="2340" w:type="dxa"/>
            <w:shd w:val="clear" w:color="auto" w:fill="F8FAFC"/>
            <w:tcMar>
              <w:top w:w="80" w:type="dxa"/>
              <w:left w:w="110" w:type="dxa"/>
              <w:bottom w:w="80" w:type="dxa"/>
              <w:right w:w="110" w:type="dxa"/>
            </w:tcMar>
          </w:tcPr>
          <w:p w14:paraId="3412B294"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GSIS</w:t>
            </w:r>
          </w:p>
        </w:tc>
        <w:tc>
          <w:tcPr>
            <w:tcW w:w="2340" w:type="dxa"/>
            <w:shd w:val="clear" w:color="auto" w:fill="F8FAFC"/>
            <w:tcMar>
              <w:top w:w="80" w:type="dxa"/>
              <w:left w:w="110" w:type="dxa"/>
              <w:bottom w:w="80" w:type="dxa"/>
              <w:right w:w="110" w:type="dxa"/>
            </w:tcMar>
          </w:tcPr>
          <w:p w14:paraId="4C59A0E5"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2 pp. (1.9 KB)</w:t>
            </w:r>
          </w:p>
        </w:tc>
        <w:tc>
          <w:tcPr>
            <w:tcW w:w="2340" w:type="dxa"/>
            <w:shd w:val="clear" w:color="auto" w:fill="F8FAFC"/>
            <w:tcMar>
              <w:top w:w="80" w:type="dxa"/>
              <w:left w:w="110" w:type="dxa"/>
              <w:bottom w:w="80" w:type="dxa"/>
              <w:right w:w="110" w:type="dxa"/>
            </w:tcMar>
          </w:tcPr>
          <w:p w14:paraId="257E55D2"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Scholarship requiring 90% minimum GWA</w:t>
            </w:r>
          </w:p>
        </w:tc>
      </w:tr>
      <w:tr w:rsidR="00A23011" w:rsidRPr="00A23011" w14:paraId="0C3F428D" w14:textId="77777777">
        <w:trPr>
          <w:jc w:val="center"/>
        </w:trPr>
        <w:tc>
          <w:tcPr>
            <w:tcW w:w="2340" w:type="dxa"/>
            <w:shd w:val="clear" w:color="auto" w:fill="FFFFFF"/>
            <w:tcMar>
              <w:top w:w="80" w:type="dxa"/>
              <w:left w:w="110" w:type="dxa"/>
              <w:bottom w:w="80" w:type="dxa"/>
              <w:right w:w="110" w:type="dxa"/>
            </w:tcMar>
          </w:tcPr>
          <w:p w14:paraId="2DF5EE69"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Admissions &amp; TPCAT Guidelines</w:t>
            </w:r>
          </w:p>
        </w:tc>
        <w:tc>
          <w:tcPr>
            <w:tcW w:w="2340" w:type="dxa"/>
            <w:shd w:val="clear" w:color="auto" w:fill="FFFFFF"/>
            <w:tcMar>
              <w:top w:w="80" w:type="dxa"/>
              <w:left w:w="110" w:type="dxa"/>
              <w:bottom w:w="80" w:type="dxa"/>
              <w:right w:w="110" w:type="dxa"/>
            </w:tcMar>
          </w:tcPr>
          <w:p w14:paraId="4EC81007"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TPC Admissions</w:t>
            </w:r>
          </w:p>
        </w:tc>
        <w:tc>
          <w:tcPr>
            <w:tcW w:w="2340" w:type="dxa"/>
            <w:shd w:val="clear" w:color="auto" w:fill="FFFFFF"/>
            <w:tcMar>
              <w:top w:w="80" w:type="dxa"/>
              <w:left w:w="110" w:type="dxa"/>
              <w:bottom w:w="80" w:type="dxa"/>
              <w:right w:w="110" w:type="dxa"/>
            </w:tcMar>
          </w:tcPr>
          <w:p w14:paraId="6C1BCD3C"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2 pp. (1.8 KB)</w:t>
            </w:r>
          </w:p>
        </w:tc>
        <w:tc>
          <w:tcPr>
            <w:tcW w:w="2340" w:type="dxa"/>
            <w:shd w:val="clear" w:color="auto" w:fill="FFFFFF"/>
            <w:tcMar>
              <w:top w:w="80" w:type="dxa"/>
              <w:left w:w="110" w:type="dxa"/>
              <w:bottom w:w="80" w:type="dxa"/>
              <w:right w:w="110" w:type="dxa"/>
            </w:tcMar>
          </w:tcPr>
          <w:p w14:paraId="019D57D5"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Entrance exam schedule, required documents, dress code</w:t>
            </w:r>
          </w:p>
        </w:tc>
      </w:tr>
    </w:tbl>
    <w:p w14:paraId="71E8C93A" w14:textId="77777777" w:rsidR="00407BA0" w:rsidRPr="00A23011" w:rsidRDefault="00407BA0" w:rsidP="00A23011">
      <w:pPr>
        <w:spacing w:line="480" w:lineRule="auto"/>
        <w:rPr>
          <w:rFonts w:cs="Arial"/>
          <w:color w:val="auto"/>
          <w:sz w:val="24"/>
          <w:szCs w:val="24"/>
        </w:rPr>
      </w:pPr>
    </w:p>
    <w:p w14:paraId="0A7CAFA5" w14:textId="0CBBF966" w:rsidR="00407BA0" w:rsidRPr="00A23011" w:rsidRDefault="00A23011" w:rsidP="00A23011">
      <w:pPr>
        <w:keepNext/>
        <w:spacing w:before="320" w:after="80" w:line="480" w:lineRule="auto"/>
        <w:rPr>
          <w:rFonts w:cs="Arial"/>
          <w:color w:val="auto"/>
          <w:sz w:val="24"/>
          <w:szCs w:val="24"/>
        </w:rPr>
      </w:pPr>
      <w:r w:rsidRPr="00A23011">
        <w:rPr>
          <w:rFonts w:cs="Arial"/>
          <w:b/>
          <w:color w:val="auto"/>
          <w:sz w:val="24"/>
          <w:szCs w:val="24"/>
        </w:rPr>
        <w:lastRenderedPageBreak/>
        <w:t>Text Preprocessing Pipeline</w:t>
      </w:r>
    </w:p>
    <w:p w14:paraId="6C6B08A8" w14:textId="77777777" w:rsidR="00407BA0" w:rsidRPr="00A23011" w:rsidRDefault="00A23011" w:rsidP="00A23011">
      <w:pPr>
        <w:spacing w:line="480" w:lineRule="auto"/>
        <w:ind w:firstLine="720"/>
        <w:rPr>
          <w:rFonts w:cs="Arial"/>
          <w:color w:val="auto"/>
          <w:sz w:val="24"/>
          <w:szCs w:val="24"/>
        </w:rPr>
      </w:pPr>
      <w:r w:rsidRPr="00A23011">
        <w:rPr>
          <w:rFonts w:cs="Arial"/>
          <w:color w:val="auto"/>
          <w:sz w:val="24"/>
          <w:szCs w:val="24"/>
        </w:rPr>
        <w:t xml:space="preserve">Implemented in </w:t>
      </w:r>
      <w:r w:rsidRPr="00A23011">
        <w:rPr>
          <w:rFonts w:cs="Arial"/>
          <w:color w:val="auto"/>
          <w:sz w:val="24"/>
          <w:szCs w:val="24"/>
        </w:rPr>
        <w:t>scripts/preprocess.py, the pipeline applies four sequential stages:</w:t>
      </w:r>
    </w:p>
    <w:tbl>
      <w:tblPr>
        <w:tblW w:w="0" w:type="auto"/>
        <w:jc w:val="center"/>
        <w:tblLook w:val="04A0" w:firstRow="1" w:lastRow="0" w:firstColumn="1" w:lastColumn="0" w:noHBand="0" w:noVBand="1"/>
      </w:tblPr>
      <w:tblGrid>
        <w:gridCol w:w="3120"/>
        <w:gridCol w:w="3120"/>
        <w:gridCol w:w="3120"/>
      </w:tblGrid>
      <w:tr w:rsidR="00A23011" w:rsidRPr="00A23011" w14:paraId="54D73DA4" w14:textId="77777777">
        <w:trPr>
          <w:jc w:val="center"/>
        </w:trPr>
        <w:tc>
          <w:tcPr>
            <w:tcW w:w="3120" w:type="dxa"/>
            <w:shd w:val="clear" w:color="auto" w:fill="1B365D"/>
            <w:tcMar>
              <w:top w:w="110" w:type="dxa"/>
              <w:left w:w="120" w:type="dxa"/>
              <w:bottom w:w="110" w:type="dxa"/>
              <w:right w:w="120" w:type="dxa"/>
            </w:tcMar>
          </w:tcPr>
          <w:p w14:paraId="61380C51"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Stage</w:t>
            </w:r>
          </w:p>
        </w:tc>
        <w:tc>
          <w:tcPr>
            <w:tcW w:w="3120" w:type="dxa"/>
            <w:shd w:val="clear" w:color="auto" w:fill="1B365D"/>
            <w:tcMar>
              <w:top w:w="110" w:type="dxa"/>
              <w:left w:w="120" w:type="dxa"/>
              <w:bottom w:w="110" w:type="dxa"/>
              <w:right w:w="120" w:type="dxa"/>
            </w:tcMar>
          </w:tcPr>
          <w:p w14:paraId="3E3D5FDC"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Technique</w:t>
            </w:r>
          </w:p>
        </w:tc>
        <w:tc>
          <w:tcPr>
            <w:tcW w:w="3120" w:type="dxa"/>
            <w:shd w:val="clear" w:color="auto" w:fill="1B365D"/>
            <w:tcMar>
              <w:top w:w="110" w:type="dxa"/>
              <w:left w:w="120" w:type="dxa"/>
              <w:bottom w:w="110" w:type="dxa"/>
              <w:right w:w="120" w:type="dxa"/>
            </w:tcMar>
          </w:tcPr>
          <w:p w14:paraId="53934BFE"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Implementation Detail</w:t>
            </w:r>
          </w:p>
        </w:tc>
      </w:tr>
      <w:tr w:rsidR="00A23011" w:rsidRPr="00A23011" w14:paraId="77CE0D7A" w14:textId="77777777">
        <w:trPr>
          <w:jc w:val="center"/>
        </w:trPr>
        <w:tc>
          <w:tcPr>
            <w:tcW w:w="3120" w:type="dxa"/>
            <w:shd w:val="clear" w:color="auto" w:fill="FFFFFF"/>
            <w:tcMar>
              <w:top w:w="80" w:type="dxa"/>
              <w:left w:w="110" w:type="dxa"/>
              <w:bottom w:w="80" w:type="dxa"/>
              <w:right w:w="110" w:type="dxa"/>
            </w:tcMar>
          </w:tcPr>
          <w:p w14:paraId="6064ABC5"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1. Noise Removal</w:t>
            </w:r>
          </w:p>
        </w:tc>
        <w:tc>
          <w:tcPr>
            <w:tcW w:w="3120" w:type="dxa"/>
            <w:shd w:val="clear" w:color="auto" w:fill="FFFFFF"/>
            <w:tcMar>
              <w:top w:w="80" w:type="dxa"/>
              <w:left w:w="110" w:type="dxa"/>
              <w:bottom w:w="80" w:type="dxa"/>
              <w:right w:w="110" w:type="dxa"/>
            </w:tcMar>
          </w:tcPr>
          <w:p w14:paraId="111E93B0"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Regex pattern matching</w:t>
            </w:r>
          </w:p>
        </w:tc>
        <w:tc>
          <w:tcPr>
            <w:tcW w:w="3120" w:type="dxa"/>
            <w:shd w:val="clear" w:color="auto" w:fill="FFFFFF"/>
            <w:tcMar>
              <w:top w:w="80" w:type="dxa"/>
              <w:left w:w="110" w:type="dxa"/>
              <w:bottom w:w="80" w:type="dxa"/>
              <w:right w:w="110" w:type="dxa"/>
            </w:tcMar>
          </w:tcPr>
          <w:p w14:paraId="5D1488B9"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 xml:space="preserve">Strips '--- Page N ---' markers, standalone page numbers, form-feed characters, and rejoins hyphenated words </w:t>
            </w:r>
            <w:r w:rsidRPr="00A23011">
              <w:rPr>
                <w:rFonts w:cs="Arial"/>
                <w:color w:val="auto"/>
                <w:sz w:val="24"/>
                <w:szCs w:val="24"/>
              </w:rPr>
              <w:t>split across lines.</w:t>
            </w:r>
          </w:p>
        </w:tc>
      </w:tr>
      <w:tr w:rsidR="00A23011" w:rsidRPr="00A23011" w14:paraId="358F0C6B" w14:textId="77777777">
        <w:trPr>
          <w:jc w:val="center"/>
        </w:trPr>
        <w:tc>
          <w:tcPr>
            <w:tcW w:w="3120" w:type="dxa"/>
            <w:shd w:val="clear" w:color="auto" w:fill="F8FAFC"/>
            <w:tcMar>
              <w:top w:w="80" w:type="dxa"/>
              <w:left w:w="110" w:type="dxa"/>
              <w:bottom w:w="80" w:type="dxa"/>
              <w:right w:w="110" w:type="dxa"/>
            </w:tcMar>
          </w:tcPr>
          <w:p w14:paraId="36E7ED38"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2. Unicode Normalization</w:t>
            </w:r>
          </w:p>
        </w:tc>
        <w:tc>
          <w:tcPr>
            <w:tcW w:w="3120" w:type="dxa"/>
            <w:shd w:val="clear" w:color="auto" w:fill="F8FAFC"/>
            <w:tcMar>
              <w:top w:w="80" w:type="dxa"/>
              <w:left w:w="110" w:type="dxa"/>
              <w:bottom w:w="80" w:type="dxa"/>
              <w:right w:w="110" w:type="dxa"/>
            </w:tcMar>
          </w:tcPr>
          <w:p w14:paraId="7A844665"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NFKC decomposition</w:t>
            </w:r>
          </w:p>
        </w:tc>
        <w:tc>
          <w:tcPr>
            <w:tcW w:w="3120" w:type="dxa"/>
            <w:shd w:val="clear" w:color="auto" w:fill="F8FAFC"/>
            <w:tcMar>
              <w:top w:w="80" w:type="dxa"/>
              <w:left w:w="110" w:type="dxa"/>
              <w:bottom w:w="80" w:type="dxa"/>
              <w:right w:w="110" w:type="dxa"/>
            </w:tcMar>
          </w:tcPr>
          <w:p w14:paraId="3F8D94B7"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Converts curly/smart quotes to ASCII, replaces bullet glyphs (•●○) with hyphens, collapses multiple spaces while preserving newlines.</w:t>
            </w:r>
          </w:p>
        </w:tc>
      </w:tr>
      <w:tr w:rsidR="00A23011" w:rsidRPr="00A23011" w14:paraId="441A47FA" w14:textId="77777777">
        <w:trPr>
          <w:jc w:val="center"/>
        </w:trPr>
        <w:tc>
          <w:tcPr>
            <w:tcW w:w="3120" w:type="dxa"/>
            <w:shd w:val="clear" w:color="auto" w:fill="FFFFFF"/>
            <w:tcMar>
              <w:top w:w="80" w:type="dxa"/>
              <w:left w:w="110" w:type="dxa"/>
              <w:bottom w:w="80" w:type="dxa"/>
              <w:right w:w="110" w:type="dxa"/>
            </w:tcMar>
          </w:tcPr>
          <w:p w14:paraId="4BDC39D7"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3. Sentence Tokenization</w:t>
            </w:r>
          </w:p>
        </w:tc>
        <w:tc>
          <w:tcPr>
            <w:tcW w:w="3120" w:type="dxa"/>
            <w:shd w:val="clear" w:color="auto" w:fill="FFFFFF"/>
            <w:tcMar>
              <w:top w:w="80" w:type="dxa"/>
              <w:left w:w="110" w:type="dxa"/>
              <w:bottom w:w="80" w:type="dxa"/>
              <w:right w:w="110" w:type="dxa"/>
            </w:tcMar>
          </w:tcPr>
          <w:p w14:paraId="5AA3C632"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NLTK punkt</w:t>
            </w:r>
          </w:p>
        </w:tc>
        <w:tc>
          <w:tcPr>
            <w:tcW w:w="3120" w:type="dxa"/>
            <w:shd w:val="clear" w:color="auto" w:fill="FFFFFF"/>
            <w:tcMar>
              <w:top w:w="80" w:type="dxa"/>
              <w:left w:w="110" w:type="dxa"/>
              <w:bottom w:w="80" w:type="dxa"/>
              <w:right w:w="110" w:type="dxa"/>
            </w:tcMar>
          </w:tcPr>
          <w:p w14:paraId="57F744E1"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 xml:space="preserve">Detects </w:t>
            </w:r>
            <w:r w:rsidRPr="00A23011">
              <w:rPr>
                <w:rFonts w:cs="Arial"/>
                <w:color w:val="auto"/>
                <w:sz w:val="24"/>
                <w:szCs w:val="24"/>
              </w:rPr>
              <w:t>grammatical sentence boundaries to prevent mid-sentence chunk splits.</w:t>
            </w:r>
          </w:p>
        </w:tc>
      </w:tr>
      <w:tr w:rsidR="00A23011" w:rsidRPr="00A23011" w14:paraId="7C609455" w14:textId="77777777">
        <w:trPr>
          <w:jc w:val="center"/>
        </w:trPr>
        <w:tc>
          <w:tcPr>
            <w:tcW w:w="3120" w:type="dxa"/>
            <w:shd w:val="clear" w:color="auto" w:fill="F8FAFC"/>
            <w:tcMar>
              <w:top w:w="80" w:type="dxa"/>
              <w:left w:w="110" w:type="dxa"/>
              <w:bottom w:w="80" w:type="dxa"/>
              <w:right w:w="110" w:type="dxa"/>
            </w:tcMar>
          </w:tcPr>
          <w:p w14:paraId="3F480C4D"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lastRenderedPageBreak/>
              <w:t>4. Sliding-Window Chunking</w:t>
            </w:r>
          </w:p>
        </w:tc>
        <w:tc>
          <w:tcPr>
            <w:tcW w:w="3120" w:type="dxa"/>
            <w:shd w:val="clear" w:color="auto" w:fill="F8FAFC"/>
            <w:tcMar>
              <w:top w:w="80" w:type="dxa"/>
              <w:left w:w="110" w:type="dxa"/>
              <w:bottom w:w="80" w:type="dxa"/>
              <w:right w:w="110" w:type="dxa"/>
            </w:tcMar>
          </w:tcPr>
          <w:p w14:paraId="4A0CAE94"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400-word windows, 80-word overlap</w:t>
            </w:r>
          </w:p>
        </w:tc>
        <w:tc>
          <w:tcPr>
            <w:tcW w:w="3120" w:type="dxa"/>
            <w:shd w:val="clear" w:color="auto" w:fill="F8FAFC"/>
            <w:tcMar>
              <w:top w:w="80" w:type="dxa"/>
              <w:left w:w="110" w:type="dxa"/>
              <w:bottom w:w="80" w:type="dxa"/>
              <w:right w:w="110" w:type="dxa"/>
            </w:tcMar>
          </w:tcPr>
          <w:p w14:paraId="63923DFA"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Produces 119 overlapping segments with metadata (chunk_id, source document, word_count).</w:t>
            </w:r>
          </w:p>
        </w:tc>
      </w:tr>
    </w:tbl>
    <w:p w14:paraId="20276C07" w14:textId="77777777" w:rsidR="00407BA0" w:rsidRPr="00A23011" w:rsidRDefault="00407BA0" w:rsidP="00A23011">
      <w:pPr>
        <w:spacing w:line="480" w:lineRule="auto"/>
        <w:rPr>
          <w:rFonts w:cs="Arial"/>
          <w:color w:val="auto"/>
          <w:sz w:val="24"/>
          <w:szCs w:val="24"/>
        </w:rPr>
      </w:pPr>
    </w:p>
    <w:tbl>
      <w:tblPr>
        <w:tblW w:w="0" w:type="auto"/>
        <w:jc w:val="center"/>
        <w:tblLook w:val="04A0" w:firstRow="1" w:lastRow="0" w:firstColumn="1" w:lastColumn="0" w:noHBand="0" w:noVBand="1"/>
      </w:tblPr>
      <w:tblGrid>
        <w:gridCol w:w="9360"/>
      </w:tblGrid>
      <w:tr w:rsidR="00A23011" w:rsidRPr="00A23011" w14:paraId="6B8BEBD3" w14:textId="77777777">
        <w:trPr>
          <w:jc w:val="center"/>
        </w:trPr>
        <w:tc>
          <w:tcPr>
            <w:tcW w:w="9360" w:type="dxa"/>
            <w:tcBorders>
              <w:left w:val="single" w:sz="24" w:space="0" w:color="0066CC"/>
            </w:tcBorders>
            <w:shd w:val="clear" w:color="auto" w:fill="F8FAFC"/>
            <w:tcMar>
              <w:top w:w="130" w:type="dxa"/>
              <w:left w:w="180" w:type="dxa"/>
              <w:bottom w:w="130" w:type="dxa"/>
              <w:right w:w="180" w:type="dxa"/>
            </w:tcMar>
          </w:tcPr>
          <w:p w14:paraId="236818CB"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Before &amp; After Demonstration</w:t>
            </w:r>
            <w:r w:rsidRPr="00A23011">
              <w:rPr>
                <w:rFonts w:cs="Arial"/>
                <w:b/>
                <w:color w:val="auto"/>
                <w:sz w:val="24"/>
                <w:szCs w:val="24"/>
              </w:rPr>
              <w:br/>
            </w:r>
            <w:r w:rsidRPr="00A23011">
              <w:rPr>
                <w:rFonts w:cs="Arial"/>
                <w:color w:val="auto"/>
                <w:sz w:val="24"/>
                <w:szCs w:val="24"/>
              </w:rPr>
              <w:t>RAW:</w:t>
            </w:r>
            <w:r w:rsidRPr="00A23011">
              <w:rPr>
                <w:rFonts w:cs="Arial"/>
                <w:color w:val="auto"/>
                <w:sz w:val="24"/>
                <w:szCs w:val="24"/>
              </w:rPr>
              <w:t xml:space="preserve">  'DISCIPLINARY PRO- \nCEDURES --- Page 42 --- \n• First Offense: Warning \x0c'</w:t>
            </w:r>
            <w:r w:rsidRPr="00A23011">
              <w:rPr>
                <w:rFonts w:cs="Arial"/>
                <w:color w:val="auto"/>
                <w:sz w:val="24"/>
                <w:szCs w:val="24"/>
              </w:rPr>
              <w:br/>
              <w:t>CLEAN: 'DISCIPLINARY PROCEDURES\n- First Offense: Warning'</w:t>
            </w:r>
            <w:r w:rsidRPr="00A23011">
              <w:rPr>
                <w:rFonts w:cs="Arial"/>
                <w:color w:val="auto"/>
                <w:sz w:val="24"/>
                <w:szCs w:val="24"/>
              </w:rPr>
              <w:br/>
              <w:t>META</w:t>
            </w:r>
            <w:proofErr w:type="gramStart"/>
            <w:r w:rsidRPr="00A23011">
              <w:rPr>
                <w:rFonts w:cs="Arial"/>
                <w:color w:val="auto"/>
                <w:sz w:val="24"/>
                <w:szCs w:val="24"/>
              </w:rPr>
              <w:t>:  {</w:t>
            </w:r>
            <w:proofErr w:type="gramEnd"/>
            <w:r w:rsidRPr="00A23011">
              <w:rPr>
                <w:rFonts w:cs="Arial"/>
                <w:color w:val="auto"/>
                <w:sz w:val="24"/>
                <w:szCs w:val="24"/>
              </w:rPr>
              <w:t>chunk_id: 'tpc_student_handbook_chunk_0042', source: 'tpc_student_handbook', words: 388}</w:t>
            </w:r>
          </w:p>
        </w:tc>
      </w:tr>
    </w:tbl>
    <w:p w14:paraId="71E2F3D0" w14:textId="77777777" w:rsidR="00407BA0" w:rsidRPr="00A23011" w:rsidRDefault="00407BA0" w:rsidP="00A23011">
      <w:pPr>
        <w:spacing w:after="80" w:line="480" w:lineRule="auto"/>
        <w:rPr>
          <w:rFonts w:cs="Arial"/>
          <w:color w:val="auto"/>
          <w:sz w:val="24"/>
          <w:szCs w:val="24"/>
        </w:rPr>
      </w:pPr>
    </w:p>
    <w:p w14:paraId="2AB05DA3" w14:textId="1D30828C" w:rsidR="00407BA0" w:rsidRPr="00A23011" w:rsidRDefault="00A23011" w:rsidP="00A23011">
      <w:pPr>
        <w:keepNext/>
        <w:spacing w:before="320" w:after="80" w:line="480" w:lineRule="auto"/>
        <w:jc w:val="both"/>
        <w:rPr>
          <w:rFonts w:cs="Arial"/>
          <w:color w:val="auto"/>
          <w:sz w:val="24"/>
          <w:szCs w:val="24"/>
        </w:rPr>
      </w:pPr>
      <w:r w:rsidRPr="00A23011">
        <w:rPr>
          <w:rFonts w:cs="Arial"/>
          <w:b/>
          <w:color w:val="auto"/>
          <w:sz w:val="24"/>
          <w:szCs w:val="24"/>
        </w:rPr>
        <w:t>Embedding Generation &amp; Model Justification</w:t>
      </w:r>
    </w:p>
    <w:p w14:paraId="4B04FF6B" w14:textId="77777777" w:rsidR="00407BA0" w:rsidRPr="00A23011" w:rsidRDefault="00A23011" w:rsidP="00A23011">
      <w:pPr>
        <w:spacing w:line="480" w:lineRule="auto"/>
        <w:ind w:firstLine="720"/>
        <w:jc w:val="both"/>
        <w:rPr>
          <w:rFonts w:cs="Arial"/>
          <w:color w:val="auto"/>
          <w:sz w:val="24"/>
          <w:szCs w:val="24"/>
        </w:rPr>
      </w:pPr>
      <w:r w:rsidRPr="00A23011">
        <w:rPr>
          <w:rFonts w:cs="Arial"/>
          <w:color w:val="auto"/>
          <w:sz w:val="24"/>
          <w:szCs w:val="24"/>
        </w:rPr>
        <w:t>Implemented in scripts/generate_embeddings.py, all 119 chunks are encoded into dense vectors and saved as data/processed/embeddings.npy (shape: 119 × 384, dtype: float32).</w:t>
      </w:r>
    </w:p>
    <w:tbl>
      <w:tblPr>
        <w:tblW w:w="0" w:type="auto"/>
        <w:jc w:val="center"/>
        <w:tblLook w:val="04A0" w:firstRow="1" w:lastRow="0" w:firstColumn="1" w:lastColumn="0" w:noHBand="0" w:noVBand="1"/>
      </w:tblPr>
      <w:tblGrid>
        <w:gridCol w:w="3120"/>
        <w:gridCol w:w="3120"/>
        <w:gridCol w:w="3120"/>
      </w:tblGrid>
      <w:tr w:rsidR="00A23011" w:rsidRPr="00A23011" w14:paraId="02314837" w14:textId="77777777">
        <w:trPr>
          <w:jc w:val="center"/>
        </w:trPr>
        <w:tc>
          <w:tcPr>
            <w:tcW w:w="3120" w:type="dxa"/>
            <w:shd w:val="clear" w:color="auto" w:fill="1B365D"/>
            <w:tcMar>
              <w:top w:w="110" w:type="dxa"/>
              <w:left w:w="120" w:type="dxa"/>
              <w:bottom w:w="110" w:type="dxa"/>
              <w:right w:w="120" w:type="dxa"/>
            </w:tcMar>
          </w:tcPr>
          <w:p w14:paraId="19C79779"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Property</w:t>
            </w:r>
          </w:p>
        </w:tc>
        <w:tc>
          <w:tcPr>
            <w:tcW w:w="3120" w:type="dxa"/>
            <w:shd w:val="clear" w:color="auto" w:fill="1B365D"/>
            <w:tcMar>
              <w:top w:w="110" w:type="dxa"/>
              <w:left w:w="120" w:type="dxa"/>
              <w:bottom w:w="110" w:type="dxa"/>
              <w:right w:w="120" w:type="dxa"/>
            </w:tcMar>
          </w:tcPr>
          <w:p w14:paraId="190AAA24"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Value</w:t>
            </w:r>
          </w:p>
        </w:tc>
        <w:tc>
          <w:tcPr>
            <w:tcW w:w="3120" w:type="dxa"/>
            <w:shd w:val="clear" w:color="auto" w:fill="1B365D"/>
            <w:tcMar>
              <w:top w:w="110" w:type="dxa"/>
              <w:left w:w="120" w:type="dxa"/>
              <w:bottom w:w="110" w:type="dxa"/>
              <w:right w:w="120" w:type="dxa"/>
            </w:tcMar>
          </w:tcPr>
          <w:p w14:paraId="492DEEDC"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Rationale</w:t>
            </w:r>
          </w:p>
        </w:tc>
      </w:tr>
      <w:tr w:rsidR="00A23011" w:rsidRPr="00A23011" w14:paraId="0B86DE69" w14:textId="77777777">
        <w:trPr>
          <w:jc w:val="center"/>
        </w:trPr>
        <w:tc>
          <w:tcPr>
            <w:tcW w:w="3120" w:type="dxa"/>
            <w:shd w:val="clear" w:color="auto" w:fill="FFFFFF"/>
            <w:tcMar>
              <w:top w:w="80" w:type="dxa"/>
              <w:left w:w="110" w:type="dxa"/>
              <w:bottom w:w="80" w:type="dxa"/>
              <w:right w:w="110" w:type="dxa"/>
            </w:tcMar>
          </w:tcPr>
          <w:p w14:paraId="37AC14BD"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Model</w:t>
            </w:r>
          </w:p>
        </w:tc>
        <w:tc>
          <w:tcPr>
            <w:tcW w:w="3120" w:type="dxa"/>
            <w:shd w:val="clear" w:color="auto" w:fill="FFFFFF"/>
            <w:tcMar>
              <w:top w:w="80" w:type="dxa"/>
              <w:left w:w="110" w:type="dxa"/>
              <w:bottom w:w="80" w:type="dxa"/>
              <w:right w:w="110" w:type="dxa"/>
            </w:tcMar>
          </w:tcPr>
          <w:p w14:paraId="5FA45753"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BAAI/bge-</w:t>
            </w:r>
            <w:r w:rsidRPr="00A23011">
              <w:rPr>
                <w:rFonts w:cs="Arial"/>
                <w:color w:val="auto"/>
                <w:sz w:val="24"/>
                <w:szCs w:val="24"/>
              </w:rPr>
              <w:t>small-en-v1.5</w:t>
            </w:r>
          </w:p>
        </w:tc>
        <w:tc>
          <w:tcPr>
            <w:tcW w:w="3120" w:type="dxa"/>
            <w:shd w:val="clear" w:color="auto" w:fill="FFFFFF"/>
            <w:tcMar>
              <w:top w:w="80" w:type="dxa"/>
              <w:left w:w="110" w:type="dxa"/>
              <w:bottom w:w="80" w:type="dxa"/>
              <w:right w:w="110" w:type="dxa"/>
            </w:tcMar>
          </w:tcPr>
          <w:p w14:paraId="3EB6F2A1"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Top-ranked on MTEB retrieval benchmarks for models under 150 MB.</w:t>
            </w:r>
          </w:p>
        </w:tc>
      </w:tr>
      <w:tr w:rsidR="00A23011" w:rsidRPr="00A23011" w14:paraId="58300D33" w14:textId="77777777">
        <w:trPr>
          <w:jc w:val="center"/>
        </w:trPr>
        <w:tc>
          <w:tcPr>
            <w:tcW w:w="3120" w:type="dxa"/>
            <w:shd w:val="clear" w:color="auto" w:fill="F8FAFC"/>
            <w:tcMar>
              <w:top w:w="80" w:type="dxa"/>
              <w:left w:w="110" w:type="dxa"/>
              <w:bottom w:w="80" w:type="dxa"/>
              <w:right w:w="110" w:type="dxa"/>
            </w:tcMar>
          </w:tcPr>
          <w:p w14:paraId="500F2667"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lastRenderedPageBreak/>
              <w:t>Dimensions</w:t>
            </w:r>
          </w:p>
        </w:tc>
        <w:tc>
          <w:tcPr>
            <w:tcW w:w="3120" w:type="dxa"/>
            <w:shd w:val="clear" w:color="auto" w:fill="F8FAFC"/>
            <w:tcMar>
              <w:top w:w="80" w:type="dxa"/>
              <w:left w:w="110" w:type="dxa"/>
              <w:bottom w:w="80" w:type="dxa"/>
              <w:right w:w="110" w:type="dxa"/>
            </w:tcMar>
          </w:tcPr>
          <w:p w14:paraId="70412976"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384</w:t>
            </w:r>
          </w:p>
        </w:tc>
        <w:tc>
          <w:tcPr>
            <w:tcW w:w="3120" w:type="dxa"/>
            <w:shd w:val="clear" w:color="auto" w:fill="F8FAFC"/>
            <w:tcMar>
              <w:top w:w="80" w:type="dxa"/>
              <w:left w:w="110" w:type="dxa"/>
              <w:bottom w:w="80" w:type="dxa"/>
              <w:right w:w="110" w:type="dxa"/>
            </w:tcMar>
          </w:tcPr>
          <w:p w14:paraId="0EE0913A"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Compact yet highly discriminative for domain-specific semantic similarity.</w:t>
            </w:r>
          </w:p>
        </w:tc>
      </w:tr>
      <w:tr w:rsidR="00A23011" w:rsidRPr="00A23011" w14:paraId="0DB12A99" w14:textId="77777777">
        <w:trPr>
          <w:jc w:val="center"/>
        </w:trPr>
        <w:tc>
          <w:tcPr>
            <w:tcW w:w="3120" w:type="dxa"/>
            <w:shd w:val="clear" w:color="auto" w:fill="FFFFFF"/>
            <w:tcMar>
              <w:top w:w="80" w:type="dxa"/>
              <w:left w:w="110" w:type="dxa"/>
              <w:bottom w:w="80" w:type="dxa"/>
              <w:right w:w="110" w:type="dxa"/>
            </w:tcMar>
          </w:tcPr>
          <w:p w14:paraId="46774108"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Normalization</w:t>
            </w:r>
          </w:p>
        </w:tc>
        <w:tc>
          <w:tcPr>
            <w:tcW w:w="3120" w:type="dxa"/>
            <w:shd w:val="clear" w:color="auto" w:fill="FFFFFF"/>
            <w:tcMar>
              <w:top w:w="80" w:type="dxa"/>
              <w:left w:w="110" w:type="dxa"/>
              <w:bottom w:w="80" w:type="dxa"/>
              <w:right w:w="110" w:type="dxa"/>
            </w:tcMar>
          </w:tcPr>
          <w:p w14:paraId="6806B223"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L2 unit-length</w:t>
            </w:r>
          </w:p>
        </w:tc>
        <w:tc>
          <w:tcPr>
            <w:tcW w:w="3120" w:type="dxa"/>
            <w:shd w:val="clear" w:color="auto" w:fill="FFFFFF"/>
            <w:tcMar>
              <w:top w:w="80" w:type="dxa"/>
              <w:left w:w="110" w:type="dxa"/>
              <w:bottom w:w="80" w:type="dxa"/>
              <w:right w:w="110" w:type="dxa"/>
            </w:tcMar>
          </w:tcPr>
          <w:p w14:paraId="63ECC792"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 xml:space="preserve">Enables direct use of cosine similarity as dot </w:t>
            </w:r>
            <w:r w:rsidRPr="00A23011">
              <w:rPr>
                <w:rFonts w:cs="Arial"/>
                <w:color w:val="auto"/>
                <w:sz w:val="24"/>
                <w:szCs w:val="24"/>
              </w:rPr>
              <w:t>product.</w:t>
            </w:r>
          </w:p>
        </w:tc>
      </w:tr>
      <w:tr w:rsidR="00A23011" w:rsidRPr="00A23011" w14:paraId="7BB3DD32" w14:textId="77777777">
        <w:trPr>
          <w:jc w:val="center"/>
        </w:trPr>
        <w:tc>
          <w:tcPr>
            <w:tcW w:w="3120" w:type="dxa"/>
            <w:shd w:val="clear" w:color="auto" w:fill="F8FAFC"/>
            <w:tcMar>
              <w:top w:w="80" w:type="dxa"/>
              <w:left w:w="110" w:type="dxa"/>
              <w:bottom w:w="80" w:type="dxa"/>
              <w:right w:w="110" w:type="dxa"/>
            </w:tcMar>
          </w:tcPr>
          <w:p w14:paraId="60BBDB0A"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Footprint</w:t>
            </w:r>
          </w:p>
        </w:tc>
        <w:tc>
          <w:tcPr>
            <w:tcW w:w="3120" w:type="dxa"/>
            <w:shd w:val="clear" w:color="auto" w:fill="F8FAFC"/>
            <w:tcMar>
              <w:top w:w="80" w:type="dxa"/>
              <w:left w:w="110" w:type="dxa"/>
              <w:bottom w:w="80" w:type="dxa"/>
              <w:right w:w="110" w:type="dxa"/>
            </w:tcMar>
          </w:tcPr>
          <w:p w14:paraId="21CEF5F6"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~130 MB</w:t>
            </w:r>
          </w:p>
        </w:tc>
        <w:tc>
          <w:tcPr>
            <w:tcW w:w="3120" w:type="dxa"/>
            <w:shd w:val="clear" w:color="auto" w:fill="F8FAFC"/>
            <w:tcMar>
              <w:top w:w="80" w:type="dxa"/>
              <w:left w:w="110" w:type="dxa"/>
              <w:bottom w:w="80" w:type="dxa"/>
              <w:right w:w="110" w:type="dxa"/>
            </w:tcMar>
          </w:tcPr>
          <w:p w14:paraId="1BBEA45A"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Runs on consumer hardware; fast local inference without GPU requirement.</w:t>
            </w:r>
          </w:p>
        </w:tc>
      </w:tr>
      <w:tr w:rsidR="00A23011" w:rsidRPr="00A23011" w14:paraId="535E27DD" w14:textId="77777777">
        <w:trPr>
          <w:jc w:val="center"/>
        </w:trPr>
        <w:tc>
          <w:tcPr>
            <w:tcW w:w="3120" w:type="dxa"/>
            <w:shd w:val="clear" w:color="auto" w:fill="FFFFFF"/>
            <w:tcMar>
              <w:top w:w="80" w:type="dxa"/>
              <w:left w:w="110" w:type="dxa"/>
              <w:bottom w:w="80" w:type="dxa"/>
              <w:right w:w="110" w:type="dxa"/>
            </w:tcMar>
          </w:tcPr>
          <w:p w14:paraId="3E39B276" w14:textId="77777777" w:rsidR="00407BA0" w:rsidRPr="00A23011" w:rsidRDefault="00A23011" w:rsidP="00A23011">
            <w:pPr>
              <w:spacing w:line="480" w:lineRule="auto"/>
              <w:rPr>
                <w:rFonts w:cs="Arial"/>
                <w:color w:val="auto"/>
                <w:sz w:val="24"/>
                <w:szCs w:val="24"/>
              </w:rPr>
            </w:pPr>
            <w:r w:rsidRPr="00A23011">
              <w:rPr>
                <w:rFonts w:cs="Arial"/>
                <w:b/>
                <w:color w:val="auto"/>
                <w:sz w:val="24"/>
                <w:szCs w:val="24"/>
              </w:rPr>
              <w:t>License</w:t>
            </w:r>
          </w:p>
        </w:tc>
        <w:tc>
          <w:tcPr>
            <w:tcW w:w="3120" w:type="dxa"/>
            <w:shd w:val="clear" w:color="auto" w:fill="FFFFFF"/>
            <w:tcMar>
              <w:top w:w="80" w:type="dxa"/>
              <w:left w:w="110" w:type="dxa"/>
              <w:bottom w:w="80" w:type="dxa"/>
              <w:right w:w="110" w:type="dxa"/>
            </w:tcMar>
          </w:tcPr>
          <w:p w14:paraId="468036E7"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MIT</w:t>
            </w:r>
          </w:p>
        </w:tc>
        <w:tc>
          <w:tcPr>
            <w:tcW w:w="3120" w:type="dxa"/>
            <w:shd w:val="clear" w:color="auto" w:fill="FFFFFF"/>
            <w:tcMar>
              <w:top w:w="80" w:type="dxa"/>
              <w:left w:w="110" w:type="dxa"/>
              <w:bottom w:w="80" w:type="dxa"/>
              <w:right w:w="110" w:type="dxa"/>
            </w:tcMar>
          </w:tcPr>
          <w:p w14:paraId="3FC7142F" w14:textId="77777777" w:rsidR="00407BA0" w:rsidRPr="00A23011" w:rsidRDefault="00A23011" w:rsidP="00A23011">
            <w:pPr>
              <w:spacing w:line="480" w:lineRule="auto"/>
              <w:rPr>
                <w:rFonts w:cs="Arial"/>
                <w:color w:val="auto"/>
                <w:sz w:val="24"/>
                <w:szCs w:val="24"/>
              </w:rPr>
            </w:pPr>
            <w:r w:rsidRPr="00A23011">
              <w:rPr>
                <w:rFonts w:cs="Arial"/>
                <w:color w:val="auto"/>
                <w:sz w:val="24"/>
                <w:szCs w:val="24"/>
              </w:rPr>
              <w:t>Fully open-source; no commercial restrictions.</w:t>
            </w:r>
          </w:p>
        </w:tc>
      </w:tr>
    </w:tbl>
    <w:p w14:paraId="5E2C2C7D" w14:textId="77777777" w:rsidR="00407BA0" w:rsidRPr="00A23011" w:rsidRDefault="00407BA0" w:rsidP="00A23011">
      <w:pPr>
        <w:spacing w:line="480" w:lineRule="auto"/>
        <w:rPr>
          <w:rFonts w:cs="Arial"/>
          <w:color w:val="auto"/>
          <w:sz w:val="24"/>
          <w:szCs w:val="24"/>
        </w:rPr>
      </w:pPr>
    </w:p>
    <w:p w14:paraId="5FB3A421" w14:textId="4E3A32D1" w:rsidR="00407BA0" w:rsidRPr="00A23011" w:rsidRDefault="00A23011" w:rsidP="00A23011">
      <w:pPr>
        <w:keepNext/>
        <w:spacing w:before="320" w:after="80" w:line="480" w:lineRule="auto"/>
        <w:jc w:val="both"/>
        <w:rPr>
          <w:rFonts w:cs="Arial"/>
          <w:color w:val="auto"/>
          <w:sz w:val="24"/>
          <w:szCs w:val="24"/>
        </w:rPr>
      </w:pPr>
      <w:r w:rsidRPr="00A23011">
        <w:rPr>
          <w:rFonts w:cs="Arial"/>
          <w:b/>
          <w:color w:val="auto"/>
          <w:sz w:val="24"/>
          <w:szCs w:val="24"/>
        </w:rPr>
        <w:t>Reflection: What Was Messy About Our Data</w:t>
      </w:r>
    </w:p>
    <w:p w14:paraId="09AC7556" w14:textId="77777777" w:rsidR="00407BA0" w:rsidRPr="00A23011" w:rsidRDefault="00A23011" w:rsidP="00A23011">
      <w:pPr>
        <w:spacing w:line="480" w:lineRule="auto"/>
        <w:ind w:firstLine="360"/>
        <w:jc w:val="both"/>
        <w:rPr>
          <w:rFonts w:cs="Arial"/>
          <w:color w:val="auto"/>
          <w:sz w:val="24"/>
          <w:szCs w:val="24"/>
        </w:rPr>
      </w:pPr>
      <w:r w:rsidRPr="00A23011">
        <w:rPr>
          <w:rFonts w:cs="Arial"/>
          <w:color w:val="auto"/>
          <w:sz w:val="24"/>
          <w:szCs w:val="24"/>
        </w:rPr>
        <w:t xml:space="preserve">Real-world educational data presented five </w:t>
      </w:r>
      <w:r w:rsidRPr="00A23011">
        <w:rPr>
          <w:rFonts w:cs="Arial"/>
          <w:color w:val="auto"/>
          <w:sz w:val="24"/>
          <w:szCs w:val="24"/>
        </w:rPr>
        <w:t>major challenges, each of which required targeted engineering solutions:</w:t>
      </w:r>
    </w:p>
    <w:p w14:paraId="381E1492" w14:textId="77777777" w:rsidR="00407BA0" w:rsidRPr="00A23011" w:rsidRDefault="00A23011" w:rsidP="00A23011">
      <w:pPr>
        <w:pStyle w:val="ListBullet"/>
        <w:spacing w:after="40" w:line="480" w:lineRule="auto"/>
        <w:jc w:val="both"/>
        <w:rPr>
          <w:rFonts w:cs="Arial"/>
          <w:color w:val="auto"/>
          <w:sz w:val="24"/>
          <w:szCs w:val="24"/>
        </w:rPr>
      </w:pPr>
      <w:r w:rsidRPr="00A23011">
        <w:rPr>
          <w:rFonts w:cs="Arial"/>
          <w:color w:val="auto"/>
          <w:sz w:val="24"/>
          <w:szCs w:val="24"/>
        </w:rPr>
        <w:t>PDF Extraction Artifacts — The 199-page handbook produced repeated headers, standalone page numbers, and jumbled table rows. Regex rules strip markers and rejoin hyphenated words.</w:t>
      </w:r>
    </w:p>
    <w:p w14:paraId="750804F2" w14:textId="77777777" w:rsidR="00407BA0" w:rsidRPr="00A23011" w:rsidRDefault="00A23011" w:rsidP="00A23011">
      <w:pPr>
        <w:pStyle w:val="ListBullet"/>
        <w:spacing w:after="40" w:line="480" w:lineRule="auto"/>
        <w:jc w:val="both"/>
        <w:rPr>
          <w:rFonts w:cs="Arial"/>
          <w:color w:val="auto"/>
          <w:sz w:val="24"/>
          <w:szCs w:val="24"/>
        </w:rPr>
      </w:pPr>
      <w:r w:rsidRPr="00A23011">
        <w:rPr>
          <w:rFonts w:cs="Arial"/>
          <w:color w:val="auto"/>
          <w:sz w:val="24"/>
          <w:szCs w:val="24"/>
        </w:rPr>
        <w:lastRenderedPageBreak/>
        <w:t>Bil</w:t>
      </w:r>
      <w:r w:rsidRPr="00A23011">
        <w:rPr>
          <w:rFonts w:cs="Arial"/>
          <w:color w:val="auto"/>
          <w:sz w:val="24"/>
          <w:szCs w:val="24"/>
        </w:rPr>
        <w:t>ingual Content — ~5% of text is in Filipino (Tagalog/Bisaya). We kept it in-place; the BGE model captures contextual semantics from surrounding English.</w:t>
      </w:r>
    </w:p>
    <w:p w14:paraId="4FB2A4EF" w14:textId="77777777" w:rsidR="00407BA0" w:rsidRPr="00A23011" w:rsidRDefault="00A23011" w:rsidP="00A23011">
      <w:pPr>
        <w:pStyle w:val="ListBullet"/>
        <w:spacing w:after="40" w:line="480" w:lineRule="auto"/>
        <w:jc w:val="both"/>
        <w:rPr>
          <w:rFonts w:cs="Arial"/>
          <w:color w:val="auto"/>
          <w:sz w:val="24"/>
          <w:szCs w:val="24"/>
        </w:rPr>
      </w:pPr>
      <w:r w:rsidRPr="00A23011">
        <w:rPr>
          <w:rFonts w:cs="Arial"/>
          <w:color w:val="auto"/>
          <w:sz w:val="24"/>
          <w:szCs w:val="24"/>
        </w:rPr>
        <w:t>Heterogeneous Formatting — Legal ordinance numbering vs. collegiate bullet-point style. Unified through</w:t>
      </w:r>
      <w:r w:rsidRPr="00A23011">
        <w:rPr>
          <w:rFonts w:cs="Arial"/>
          <w:color w:val="auto"/>
          <w:sz w:val="24"/>
          <w:szCs w:val="24"/>
        </w:rPr>
        <w:t xml:space="preserve"> Unicode normalization and bullet standardization.</w:t>
      </w:r>
    </w:p>
    <w:p w14:paraId="136E49C1" w14:textId="77777777" w:rsidR="00407BA0" w:rsidRPr="00A23011" w:rsidRDefault="00A23011" w:rsidP="00A23011">
      <w:pPr>
        <w:pStyle w:val="ListBullet"/>
        <w:spacing w:after="40" w:line="480" w:lineRule="auto"/>
        <w:jc w:val="both"/>
        <w:rPr>
          <w:rFonts w:cs="Arial"/>
          <w:color w:val="auto"/>
          <w:sz w:val="24"/>
          <w:szCs w:val="24"/>
        </w:rPr>
      </w:pPr>
      <w:r w:rsidRPr="00A23011">
        <w:rPr>
          <w:rFonts w:cs="Arial"/>
          <w:color w:val="auto"/>
          <w:sz w:val="24"/>
          <w:szCs w:val="24"/>
        </w:rPr>
        <w:t>Chunk Size Trade-offs — Tested windows from 100 to 1,000 words. Settled on 400 words with 80-word overlap for optimal density-precision balance.</w:t>
      </w:r>
    </w:p>
    <w:p w14:paraId="09103E4B" w14:textId="77777777" w:rsidR="00407BA0" w:rsidRPr="00A23011" w:rsidRDefault="00A23011" w:rsidP="00A23011">
      <w:pPr>
        <w:pStyle w:val="ListBullet"/>
        <w:spacing w:after="40" w:line="480" w:lineRule="auto"/>
        <w:jc w:val="both"/>
        <w:rPr>
          <w:rFonts w:cs="Arial"/>
          <w:color w:val="auto"/>
          <w:sz w:val="24"/>
          <w:szCs w:val="24"/>
        </w:rPr>
      </w:pPr>
      <w:r w:rsidRPr="00A23011">
        <w:rPr>
          <w:rFonts w:cs="Arial"/>
          <w:color w:val="auto"/>
          <w:sz w:val="24"/>
          <w:szCs w:val="24"/>
        </w:rPr>
        <w:t>Government WAF Blocking — GSIS.gov.ph rejected automated req</w:t>
      </w:r>
      <w:r w:rsidRPr="00A23011">
        <w:rPr>
          <w:rFonts w:cs="Arial"/>
          <w:color w:val="auto"/>
          <w:sz w:val="24"/>
          <w:szCs w:val="24"/>
        </w:rPr>
        <w:t>uests. Content was manually verified and extracted to preserve factual accuracy.</w:t>
      </w:r>
    </w:p>
    <w:p w14:paraId="4F327A2B" w14:textId="39FCD0C1" w:rsidR="00407BA0" w:rsidRPr="00A23011" w:rsidRDefault="00A23011" w:rsidP="00A23011">
      <w:pPr>
        <w:keepNext/>
        <w:spacing w:before="320" w:after="80" w:line="480" w:lineRule="auto"/>
        <w:rPr>
          <w:rFonts w:cs="Arial"/>
          <w:color w:val="auto"/>
          <w:sz w:val="24"/>
          <w:szCs w:val="24"/>
        </w:rPr>
      </w:pPr>
      <w:r w:rsidRPr="00A23011">
        <w:rPr>
          <w:rFonts w:cs="Arial"/>
          <w:b/>
          <w:color w:val="auto"/>
          <w:sz w:val="24"/>
          <w:szCs w:val="24"/>
        </w:rPr>
        <w:t>Success Criteria</w:t>
      </w:r>
    </w:p>
    <w:p w14:paraId="5E85A2EE" w14:textId="77777777" w:rsidR="00407BA0" w:rsidRPr="00A23011" w:rsidRDefault="00A23011" w:rsidP="00A23011">
      <w:pPr>
        <w:pStyle w:val="ListBullet"/>
        <w:spacing w:after="40" w:line="480" w:lineRule="auto"/>
        <w:rPr>
          <w:rFonts w:cs="Arial"/>
          <w:color w:val="auto"/>
          <w:sz w:val="24"/>
          <w:szCs w:val="24"/>
        </w:rPr>
      </w:pPr>
      <w:r w:rsidRPr="00A23011">
        <w:rPr>
          <w:rFonts w:cs="Arial"/>
          <w:color w:val="auto"/>
          <w:sz w:val="24"/>
          <w:szCs w:val="24"/>
        </w:rPr>
        <w:t>Data Sanitization — Preprocessing eliminates formatting noise without truncating policy thresholds or numeric rules.</w:t>
      </w:r>
    </w:p>
    <w:p w14:paraId="47C86019" w14:textId="77777777" w:rsidR="00407BA0" w:rsidRPr="00A23011" w:rsidRDefault="00A23011" w:rsidP="00A23011">
      <w:pPr>
        <w:pStyle w:val="ListBullet"/>
        <w:spacing w:after="40" w:line="480" w:lineRule="auto"/>
        <w:rPr>
          <w:rFonts w:cs="Arial"/>
          <w:color w:val="auto"/>
          <w:sz w:val="24"/>
          <w:szCs w:val="24"/>
        </w:rPr>
      </w:pPr>
      <w:r w:rsidRPr="00A23011">
        <w:rPr>
          <w:rFonts w:cs="Arial"/>
          <w:color w:val="auto"/>
          <w:sz w:val="24"/>
          <w:szCs w:val="24"/>
        </w:rPr>
        <w:t xml:space="preserve">Embedding Stability — 384-dim vectors </w:t>
      </w:r>
      <w:r w:rsidRPr="00A23011">
        <w:rPr>
          <w:rFonts w:cs="Arial"/>
          <w:color w:val="auto"/>
          <w:sz w:val="24"/>
          <w:szCs w:val="24"/>
        </w:rPr>
        <w:t>generated for all 119 chunks with zero sequence truncation errors.</w:t>
      </w:r>
    </w:p>
    <w:p w14:paraId="6D1B7E8A" w14:textId="77777777" w:rsidR="00407BA0" w:rsidRPr="00A23011" w:rsidRDefault="00A23011" w:rsidP="00A23011">
      <w:pPr>
        <w:pStyle w:val="ListBullet"/>
        <w:spacing w:after="40" w:line="480" w:lineRule="auto"/>
        <w:rPr>
          <w:rFonts w:cs="Arial"/>
          <w:color w:val="auto"/>
          <w:sz w:val="24"/>
          <w:szCs w:val="24"/>
        </w:rPr>
      </w:pPr>
      <w:r w:rsidRPr="00A23011">
        <w:rPr>
          <w:rFonts w:cs="Arial"/>
          <w:color w:val="auto"/>
          <w:sz w:val="24"/>
          <w:szCs w:val="24"/>
        </w:rPr>
        <w:t>Retrieval Accuracy — Correct policy chunk ranks in Top-3 across natural-language queries (e.g., 'torn pants' matches 'ripped jeans').</w:t>
      </w:r>
    </w:p>
    <w:p w14:paraId="2CE8ECD0" w14:textId="4D2D207B" w:rsidR="00A23011" w:rsidRPr="00A23011" w:rsidRDefault="00A23011" w:rsidP="00A23011">
      <w:pPr>
        <w:pStyle w:val="ListBullet"/>
        <w:spacing w:after="40" w:line="480" w:lineRule="auto"/>
        <w:rPr>
          <w:rFonts w:cs="Arial"/>
          <w:color w:val="auto"/>
          <w:sz w:val="24"/>
          <w:szCs w:val="24"/>
        </w:rPr>
      </w:pPr>
      <w:r w:rsidRPr="00A23011">
        <w:rPr>
          <w:rFonts w:cs="Arial"/>
          <w:color w:val="auto"/>
          <w:sz w:val="24"/>
          <w:szCs w:val="24"/>
        </w:rPr>
        <w:t>Scope Containment — Strict system prompts reject off-to</w:t>
      </w:r>
      <w:r w:rsidRPr="00A23011">
        <w:rPr>
          <w:rFonts w:cs="Arial"/>
          <w:color w:val="auto"/>
          <w:sz w:val="24"/>
          <w:szCs w:val="24"/>
        </w:rPr>
        <w:t>pic queries with zero hallucination.</w:t>
      </w:r>
    </w:p>
    <w:p w14:paraId="4F7FD8E7" w14:textId="54B48897" w:rsidR="00407BA0" w:rsidRPr="00A23011" w:rsidRDefault="00A23011" w:rsidP="00A23011">
      <w:pPr>
        <w:keepNext/>
        <w:spacing w:before="320" w:after="80" w:line="480" w:lineRule="auto"/>
        <w:rPr>
          <w:rFonts w:cs="Arial"/>
          <w:color w:val="auto"/>
          <w:sz w:val="24"/>
          <w:szCs w:val="24"/>
        </w:rPr>
      </w:pPr>
      <w:r w:rsidRPr="00A23011">
        <w:rPr>
          <w:rFonts w:cs="Arial"/>
          <w:b/>
          <w:color w:val="auto"/>
          <w:sz w:val="24"/>
          <w:szCs w:val="24"/>
        </w:rPr>
        <w:t>Works Cited</w:t>
      </w:r>
    </w:p>
    <w:p w14:paraId="76B103D6" w14:textId="77777777" w:rsidR="00407BA0" w:rsidRPr="00A23011" w:rsidRDefault="00A23011" w:rsidP="00A23011">
      <w:pPr>
        <w:spacing w:after="40" w:line="480" w:lineRule="auto"/>
        <w:ind w:left="432"/>
        <w:rPr>
          <w:rFonts w:cs="Arial"/>
          <w:color w:val="auto"/>
          <w:sz w:val="24"/>
          <w:szCs w:val="24"/>
        </w:rPr>
      </w:pPr>
      <w:r w:rsidRPr="00A23011">
        <w:rPr>
          <w:rFonts w:cs="Arial"/>
          <w:color w:val="auto"/>
          <w:sz w:val="24"/>
          <w:szCs w:val="24"/>
        </w:rPr>
        <w:t>1. GenAI Capstone Semester Project Guide.docx.pdf, uploaded.</w:t>
      </w:r>
    </w:p>
    <w:p w14:paraId="7FED147C" w14:textId="77777777" w:rsidR="00407BA0" w:rsidRPr="00A23011" w:rsidRDefault="00A23011" w:rsidP="00A23011">
      <w:pPr>
        <w:spacing w:after="40" w:line="480" w:lineRule="auto"/>
        <w:ind w:left="432"/>
        <w:rPr>
          <w:rFonts w:cs="Arial"/>
          <w:color w:val="auto"/>
          <w:sz w:val="24"/>
          <w:szCs w:val="24"/>
        </w:rPr>
      </w:pPr>
      <w:r w:rsidRPr="00A23011">
        <w:rPr>
          <w:rFonts w:cs="Arial"/>
          <w:color w:val="auto"/>
          <w:sz w:val="24"/>
          <w:szCs w:val="24"/>
        </w:rPr>
        <w:t>2. Talibon Polytechnic College Student Handbook | PDF - Scribd, https://www.scribd.com/document/7</w:t>
      </w:r>
      <w:r w:rsidRPr="00A23011">
        <w:rPr>
          <w:rFonts w:cs="Arial"/>
          <w:color w:val="auto"/>
          <w:sz w:val="24"/>
          <w:szCs w:val="24"/>
        </w:rPr>
        <w:t>12840267/TPC-Student-Handbook-for-August22-2023-Orientation</w:t>
      </w:r>
    </w:p>
    <w:p w14:paraId="4537E10B" w14:textId="77777777" w:rsidR="00407BA0" w:rsidRPr="00A23011" w:rsidRDefault="00A23011" w:rsidP="00A23011">
      <w:pPr>
        <w:spacing w:after="40" w:line="480" w:lineRule="auto"/>
        <w:ind w:left="432"/>
        <w:rPr>
          <w:rFonts w:cs="Arial"/>
          <w:color w:val="auto"/>
          <w:sz w:val="24"/>
          <w:szCs w:val="24"/>
        </w:rPr>
      </w:pPr>
      <w:r w:rsidRPr="00A23011">
        <w:rPr>
          <w:rFonts w:cs="Arial"/>
          <w:color w:val="auto"/>
          <w:sz w:val="24"/>
          <w:szCs w:val="24"/>
        </w:rPr>
        <w:lastRenderedPageBreak/>
        <w:t>3. Municipality of Talibon. Ordinance No. 127, https://talibon.gov.ph/wp-content/uploads/2026/02/127-Regulating-the-Establishment-Management-and-operation-of-apartments-boarding-houses-homestay-an</w:t>
      </w:r>
      <w:r w:rsidRPr="00A23011">
        <w:rPr>
          <w:rFonts w:cs="Arial"/>
          <w:color w:val="auto"/>
          <w:sz w:val="24"/>
          <w:szCs w:val="24"/>
        </w:rPr>
        <w:t>d-dormitories-near-the-TPC.pdf</w:t>
      </w:r>
    </w:p>
    <w:p w14:paraId="0BC1308D" w14:textId="77777777" w:rsidR="00407BA0" w:rsidRPr="00A23011" w:rsidRDefault="00A23011" w:rsidP="00A23011">
      <w:pPr>
        <w:spacing w:after="40" w:line="480" w:lineRule="auto"/>
        <w:ind w:left="432"/>
        <w:rPr>
          <w:rFonts w:cs="Arial"/>
          <w:color w:val="auto"/>
          <w:sz w:val="24"/>
          <w:szCs w:val="24"/>
        </w:rPr>
      </w:pPr>
      <w:r w:rsidRPr="00A23011">
        <w:rPr>
          <w:rFonts w:cs="Arial"/>
          <w:color w:val="auto"/>
          <w:sz w:val="24"/>
          <w:szCs w:val="24"/>
        </w:rPr>
        <w:t>4. LGU Talibon. WELCOME BACK | TPC – 2ND SEMESTER AY 2025–2026, https://talibon.gov.ph/welcome-back-talibon-polytechnic-college-2nd-semester-ay-2025-2026/</w:t>
      </w:r>
    </w:p>
    <w:p w14:paraId="0D7044A0" w14:textId="77777777" w:rsidR="00407BA0" w:rsidRPr="00A23011" w:rsidRDefault="00A23011" w:rsidP="00A23011">
      <w:pPr>
        <w:spacing w:after="40" w:line="480" w:lineRule="auto"/>
        <w:ind w:left="432"/>
        <w:rPr>
          <w:rFonts w:cs="Arial"/>
          <w:color w:val="auto"/>
          <w:sz w:val="24"/>
          <w:szCs w:val="24"/>
        </w:rPr>
      </w:pPr>
      <w:r w:rsidRPr="00A23011">
        <w:rPr>
          <w:rFonts w:cs="Arial"/>
          <w:color w:val="auto"/>
          <w:sz w:val="24"/>
          <w:szCs w:val="24"/>
        </w:rPr>
        <w:t xml:space="preserve">5. LGU Talibon. Calling all aspiring </w:t>
      </w:r>
      <w:proofErr w:type="gramStart"/>
      <w:r w:rsidRPr="00A23011">
        <w:rPr>
          <w:rFonts w:cs="Arial"/>
          <w:color w:val="auto"/>
          <w:sz w:val="24"/>
          <w:szCs w:val="24"/>
        </w:rPr>
        <w:t>Freshmen!,</w:t>
      </w:r>
      <w:proofErr w:type="gramEnd"/>
      <w:r w:rsidRPr="00A23011">
        <w:rPr>
          <w:rFonts w:cs="Arial"/>
          <w:color w:val="auto"/>
          <w:sz w:val="24"/>
          <w:szCs w:val="24"/>
        </w:rPr>
        <w:t xml:space="preserve"> https://talibon.gov.ph</w:t>
      </w:r>
      <w:r w:rsidRPr="00A23011">
        <w:rPr>
          <w:rFonts w:cs="Arial"/>
          <w:color w:val="auto"/>
          <w:sz w:val="24"/>
          <w:szCs w:val="24"/>
        </w:rPr>
        <w:t>/calling-all-aspiring-freshmen/</w:t>
      </w:r>
    </w:p>
    <w:p w14:paraId="270578D5" w14:textId="77777777" w:rsidR="00407BA0" w:rsidRPr="00A23011" w:rsidRDefault="00A23011" w:rsidP="00A23011">
      <w:pPr>
        <w:spacing w:after="40" w:line="480" w:lineRule="auto"/>
        <w:ind w:left="432"/>
        <w:rPr>
          <w:rFonts w:cs="Arial"/>
          <w:color w:val="auto"/>
          <w:sz w:val="24"/>
          <w:szCs w:val="24"/>
        </w:rPr>
      </w:pPr>
      <w:r w:rsidRPr="00A23011">
        <w:rPr>
          <w:rFonts w:cs="Arial"/>
          <w:color w:val="auto"/>
          <w:sz w:val="24"/>
          <w:szCs w:val="24"/>
        </w:rPr>
        <w:t>6. TPC BSA Practicum Request | PDF - Scribd, https://www.scribd.com/document/890815185/Updated-LOI-Ponce</w:t>
      </w:r>
    </w:p>
    <w:p w14:paraId="17F93A87" w14:textId="77777777" w:rsidR="00407BA0" w:rsidRPr="00A23011" w:rsidRDefault="00A23011" w:rsidP="00A23011">
      <w:pPr>
        <w:spacing w:after="40" w:line="480" w:lineRule="auto"/>
        <w:ind w:left="432"/>
        <w:rPr>
          <w:rFonts w:cs="Arial"/>
          <w:color w:val="auto"/>
          <w:sz w:val="24"/>
          <w:szCs w:val="24"/>
        </w:rPr>
      </w:pPr>
      <w:r w:rsidRPr="00A23011">
        <w:rPr>
          <w:rFonts w:cs="Arial"/>
          <w:color w:val="auto"/>
          <w:sz w:val="24"/>
          <w:szCs w:val="24"/>
        </w:rPr>
        <w:t>7. PNP &amp; TPC. Collaborate to Strengthen Student Safety, https://talibon.gov.ph/pnp-and-talibon-polytechnic-college-coll</w:t>
      </w:r>
      <w:r w:rsidRPr="00A23011">
        <w:rPr>
          <w:rFonts w:cs="Arial"/>
          <w:color w:val="auto"/>
          <w:sz w:val="24"/>
          <w:szCs w:val="24"/>
        </w:rPr>
        <w:t>aborate-to-strengthen-student-safety/</w:t>
      </w:r>
    </w:p>
    <w:p w14:paraId="4F471AE5" w14:textId="77777777" w:rsidR="00407BA0" w:rsidRPr="00A23011" w:rsidRDefault="00A23011" w:rsidP="00A23011">
      <w:pPr>
        <w:spacing w:after="40" w:line="480" w:lineRule="auto"/>
        <w:ind w:left="432"/>
        <w:rPr>
          <w:rFonts w:cs="Arial"/>
          <w:color w:val="auto"/>
          <w:sz w:val="24"/>
          <w:szCs w:val="24"/>
        </w:rPr>
      </w:pPr>
      <w:r w:rsidRPr="00A23011">
        <w:rPr>
          <w:rFonts w:cs="Arial"/>
          <w:color w:val="auto"/>
          <w:sz w:val="24"/>
          <w:szCs w:val="24"/>
        </w:rPr>
        <w:t>8. Melendres, J. A. (2026). 2.Data Preprocessing and Embeddings.pdf, Course Notes.</w:t>
      </w:r>
    </w:p>
    <w:p w14:paraId="75DF9276" w14:textId="77777777" w:rsidR="00407BA0" w:rsidRPr="00A23011" w:rsidRDefault="00A23011" w:rsidP="00A23011">
      <w:pPr>
        <w:spacing w:after="40" w:line="480" w:lineRule="auto"/>
        <w:ind w:left="432"/>
        <w:rPr>
          <w:rFonts w:cs="Arial"/>
          <w:color w:val="auto"/>
          <w:sz w:val="24"/>
          <w:szCs w:val="24"/>
        </w:rPr>
      </w:pPr>
      <w:r w:rsidRPr="00A23011">
        <w:rPr>
          <w:rFonts w:cs="Arial"/>
          <w:color w:val="auto"/>
          <w:sz w:val="24"/>
          <w:szCs w:val="24"/>
        </w:rPr>
        <w:t>9. CHED. More Filipino students can avail free higher education with 27 newly CHED-recognized LUCs, https://legacy.ched.gov.ph/more-fil</w:t>
      </w:r>
      <w:r w:rsidRPr="00A23011">
        <w:rPr>
          <w:rFonts w:cs="Arial"/>
          <w:color w:val="auto"/>
          <w:sz w:val="24"/>
          <w:szCs w:val="24"/>
        </w:rPr>
        <w:t>ipino-students-can-avail-free-higher-education-with-27-newly-ched-recognized-lucs/</w:t>
      </w:r>
    </w:p>
    <w:p w14:paraId="1D02BFD1" w14:textId="77777777" w:rsidR="00407BA0" w:rsidRPr="00A23011" w:rsidRDefault="00A23011" w:rsidP="00A23011">
      <w:pPr>
        <w:spacing w:after="40" w:line="480" w:lineRule="auto"/>
        <w:ind w:left="432"/>
        <w:rPr>
          <w:rFonts w:cs="Arial"/>
          <w:color w:val="auto"/>
          <w:sz w:val="24"/>
          <w:szCs w:val="24"/>
        </w:rPr>
      </w:pPr>
      <w:r w:rsidRPr="00A23011">
        <w:rPr>
          <w:rFonts w:cs="Arial"/>
          <w:color w:val="auto"/>
          <w:sz w:val="24"/>
          <w:szCs w:val="24"/>
        </w:rPr>
        <w:t>10. GSIS. Subsidy for STEM (GSSP), https://www.gsis.gov.ph/ginhawa-for-all/gsis-subsidy-for-science-technology-engineering-and-mathematics-gssp/</w:t>
      </w:r>
    </w:p>
    <w:p w14:paraId="0D856DA6" w14:textId="77777777" w:rsidR="00407BA0" w:rsidRPr="00A23011" w:rsidRDefault="00A23011" w:rsidP="00A23011">
      <w:pPr>
        <w:spacing w:after="40" w:line="480" w:lineRule="auto"/>
        <w:ind w:left="432"/>
        <w:rPr>
          <w:rFonts w:cs="Arial"/>
          <w:color w:val="auto"/>
          <w:sz w:val="24"/>
          <w:szCs w:val="24"/>
        </w:rPr>
      </w:pPr>
      <w:r w:rsidRPr="00A23011">
        <w:rPr>
          <w:rFonts w:cs="Arial"/>
          <w:color w:val="auto"/>
          <w:sz w:val="24"/>
          <w:szCs w:val="24"/>
        </w:rPr>
        <w:t>11. BAAI. (2023). bge-small-</w:t>
      </w:r>
      <w:r w:rsidRPr="00A23011">
        <w:rPr>
          <w:rFonts w:cs="Arial"/>
          <w:color w:val="auto"/>
          <w:sz w:val="24"/>
          <w:szCs w:val="24"/>
        </w:rPr>
        <w:t>en-v1.5. Hugging Face, https://huggingface.co/BAAI/bge-small-en-v1.5</w:t>
      </w:r>
    </w:p>
    <w:sectPr w:rsidR="00407BA0" w:rsidRPr="00A2301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BA0"/>
    <w:rsid w:val="00A230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C18518"/>
  <w14:defaultImageDpi w14:val="300"/>
  <w15:docId w15:val="{912A410B-A12D-435B-B6BB-263AB47D3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1194</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La Rosa</cp:lastModifiedBy>
  <cp:revision>2</cp:revision>
  <dcterms:created xsi:type="dcterms:W3CDTF">2013-12-23T23:15:00Z</dcterms:created>
  <dcterms:modified xsi:type="dcterms:W3CDTF">2026-08-28T03:54:00Z</dcterms:modified>
  <cp:category/>
</cp:coreProperties>
</file>