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6687E" w14:textId="30CA9D63" w:rsidR="0059518E" w:rsidRPr="009B3D6E" w:rsidRDefault="009B3D6E" w:rsidP="009B3D6E">
      <w:pPr>
        <w:keepNext/>
        <w:spacing w:before="320" w:line="480" w:lineRule="auto"/>
        <w:jc w:val="both"/>
        <w:rPr>
          <w:rFonts w:cs="Arial"/>
          <w:color w:val="auto"/>
          <w:sz w:val="24"/>
          <w:szCs w:val="24"/>
        </w:rPr>
      </w:pPr>
      <w:r w:rsidRPr="009B3D6E">
        <w:rPr>
          <w:rFonts w:cs="Arial"/>
          <w:b/>
          <w:color w:val="auto"/>
          <w:sz w:val="24"/>
          <w:szCs w:val="24"/>
        </w:rPr>
        <w:t>Prompt Engineering Architecture</w:t>
      </w:r>
    </w:p>
    <w:p w14:paraId="2E335CF3"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To guarantee zero hallucination and strict institutional compliance, TPoliCynav employs three specialized prompt architectures, each tailored for specific</w:t>
      </w:r>
      <w:r w:rsidRPr="009B3D6E">
        <w:rPr>
          <w:rFonts w:cs="Arial"/>
          <w:color w:val="auto"/>
          <w:sz w:val="24"/>
          <w:szCs w:val="24"/>
        </w:rPr>
        <w:t xml:space="preserve"> student query intents. Every prompt enforces context-only grounding, defensive fallback triggers, mandatory canonical citations, and strict scope boundaries.</w:t>
      </w:r>
    </w:p>
    <w:p w14:paraId="0381B271" w14:textId="77777777" w:rsidR="0059518E" w:rsidRPr="009B3D6E" w:rsidRDefault="009B3D6E" w:rsidP="009B3D6E">
      <w:pPr>
        <w:keepNext/>
        <w:spacing w:before="200" w:after="80" w:line="480" w:lineRule="auto"/>
        <w:jc w:val="both"/>
        <w:rPr>
          <w:rFonts w:cs="Arial"/>
          <w:color w:val="auto"/>
          <w:sz w:val="24"/>
          <w:szCs w:val="24"/>
        </w:rPr>
      </w:pPr>
      <w:r w:rsidRPr="009B3D6E">
        <w:rPr>
          <w:rFonts w:cs="Arial"/>
          <w:b/>
          <w:color w:val="auto"/>
          <w:sz w:val="24"/>
          <w:szCs w:val="24"/>
        </w:rPr>
        <w:t>Prompt 1: Strict Grounded Policy Assistant (Core RAG Engine)</w:t>
      </w:r>
    </w:p>
    <w:p w14:paraId="21A75C90"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Purpose: Handles general student inq</w:t>
      </w:r>
      <w:r w:rsidRPr="009B3D6E">
        <w:rPr>
          <w:rFonts w:cs="Arial"/>
          <w:color w:val="auto"/>
          <w:sz w:val="24"/>
          <w:szCs w:val="24"/>
        </w:rPr>
        <w:t>uiries about campus regulations, degree programs, facilities, and municipal ordinances. Forces the model to ground answers exclusively on retrieved context and cite source documents.</w:t>
      </w:r>
    </w:p>
    <w:p w14:paraId="2C96CD0A"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Template: "You are TPoliCynav, the official AI policy assistant for Talib</w:t>
      </w:r>
      <w:r w:rsidRPr="009B3D6E">
        <w:rPr>
          <w:rFonts w:cs="Arial"/>
          <w:color w:val="auto"/>
          <w:sz w:val="24"/>
          <w:szCs w:val="24"/>
        </w:rPr>
        <w:t xml:space="preserve">on Polytechnic College. Base answers SOLELY on the INSTITUTIONAL POLICY CONTEXT provided. Do NOT invent, assume, or extrapolate policies, fees, dates, or regulations. If context is insufficient, state: 'I cannot find specific information regarding that in </w:t>
      </w:r>
      <w:r w:rsidRPr="009B3D6E">
        <w:rPr>
          <w:rFonts w:cs="Arial"/>
          <w:color w:val="auto"/>
          <w:sz w:val="24"/>
          <w:szCs w:val="24"/>
        </w:rPr>
        <w:t>the official TPC policies. Please consult the TPC Registrar or OSAS.' Explicitly cite document sources."</w:t>
      </w:r>
    </w:p>
    <w:p w14:paraId="3044D279"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 xml:space="preserve">Anti-Hallucination Demo — Query: 'Can I bring my pet dog to my TPC classroom?' Naive LLM: 'Generally, colleges allow pets with vaccination records...' </w:t>
      </w:r>
      <w:r w:rsidRPr="009B3D6E">
        <w:rPr>
          <w:rFonts w:cs="Arial"/>
          <w:color w:val="auto"/>
          <w:sz w:val="24"/>
          <w:szCs w:val="24"/>
        </w:rPr>
        <w:t>(Hallucination). TPoliCynav: 'I cannot find specific information regarding pet policies in the official TPC Student Handbook. Please consult OSAS or Campus Security.' (Defensive Fallback).</w:t>
      </w:r>
    </w:p>
    <w:p w14:paraId="5B4B3DA1" w14:textId="77777777" w:rsidR="0059518E" w:rsidRPr="009B3D6E" w:rsidRDefault="009B3D6E" w:rsidP="009B3D6E">
      <w:pPr>
        <w:keepNext/>
        <w:spacing w:before="200" w:after="80" w:line="480" w:lineRule="auto"/>
        <w:jc w:val="both"/>
        <w:rPr>
          <w:rFonts w:cs="Arial"/>
          <w:color w:val="auto"/>
          <w:sz w:val="24"/>
          <w:szCs w:val="24"/>
        </w:rPr>
      </w:pPr>
      <w:r w:rsidRPr="009B3D6E">
        <w:rPr>
          <w:rFonts w:cs="Arial"/>
          <w:b/>
          <w:color w:val="auto"/>
          <w:sz w:val="24"/>
          <w:szCs w:val="24"/>
        </w:rPr>
        <w:lastRenderedPageBreak/>
        <w:t>Prompt 2: Disciplinary Infraction &amp; Conduct Advisor</w:t>
      </w:r>
    </w:p>
    <w:p w14:paraId="708822E0"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Purpose: Format</w:t>
      </w:r>
      <w:r w:rsidRPr="009B3D6E">
        <w:rPr>
          <w:rFonts w:cs="Arial"/>
          <w:color w:val="auto"/>
          <w:sz w:val="24"/>
          <w:szCs w:val="24"/>
        </w:rPr>
        <w:t>s disciplinary queries against the official handbook sanction matrix, preventing exaggerated penalties or informal advice. Classifies infractions strictly per the handbook (Minor vs. Major Offense) and emphasizes due process.</w:t>
      </w:r>
    </w:p>
    <w:p w14:paraId="31AEDFF7"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Template: "You are the TPoliCy</w:t>
      </w:r>
      <w:r w:rsidRPr="009B3D6E">
        <w:rPr>
          <w:rFonts w:cs="Arial"/>
          <w:color w:val="auto"/>
          <w:sz w:val="24"/>
          <w:szCs w:val="24"/>
        </w:rPr>
        <w:t>nav Student Conduct &amp; Disciplinary Policy Guide. Classify infractions strictly per the handbook (Minor vs Major Offense). Only state sanctions explicitly documented in retrieved policy text. Emphasize due process and referral to the Student Discipline Comm</w:t>
      </w:r>
      <w:r w:rsidRPr="009B3D6E">
        <w:rPr>
          <w:rFonts w:cs="Arial"/>
          <w:color w:val="auto"/>
          <w:sz w:val="24"/>
          <w:szCs w:val="24"/>
        </w:rPr>
        <w:t>ittee."</w:t>
      </w:r>
    </w:p>
    <w:p w14:paraId="1CD2D27C"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Anti-Hallucination Demo — Query: 'Will I get expelled if caught without my school ID once?' Naive LLM: 'Repeated violations might lead to expulsion...' (Exaggerated). TPoliCynav: 'Under the TPC Handbook Disciplinary Matrix, failure to wear an ID is</w:t>
      </w:r>
      <w:r w:rsidRPr="009B3D6E">
        <w:rPr>
          <w:rFonts w:cs="Arial"/>
          <w:color w:val="auto"/>
          <w:sz w:val="24"/>
          <w:szCs w:val="24"/>
        </w:rPr>
        <w:t xml:space="preserve"> a Minor Offense. First offense = verbal warning, not expulsion.' (Accurate).</w:t>
      </w:r>
    </w:p>
    <w:p w14:paraId="5EE1AB06" w14:textId="77777777" w:rsidR="0059518E" w:rsidRPr="009B3D6E" w:rsidRDefault="009B3D6E" w:rsidP="009B3D6E">
      <w:pPr>
        <w:keepNext/>
        <w:spacing w:before="200" w:after="80" w:line="480" w:lineRule="auto"/>
        <w:jc w:val="both"/>
        <w:rPr>
          <w:rFonts w:cs="Arial"/>
          <w:color w:val="auto"/>
          <w:sz w:val="24"/>
          <w:szCs w:val="24"/>
        </w:rPr>
      </w:pPr>
      <w:r w:rsidRPr="009B3D6E">
        <w:rPr>
          <w:rFonts w:cs="Arial"/>
          <w:b/>
          <w:color w:val="auto"/>
          <w:sz w:val="24"/>
          <w:szCs w:val="24"/>
        </w:rPr>
        <w:t>Prompt 3: Admissions &amp; Scholarship Eligibility Evaluator</w:t>
      </w:r>
    </w:p>
    <w:p w14:paraId="126AE611"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Purpose: Evaluates numerical eligibility thresholds (90% GWA for GSIS, RA 10931 Free Education) without rounding or fabri</w:t>
      </w:r>
      <w:r w:rsidRPr="009B3D6E">
        <w:rPr>
          <w:rFonts w:cs="Arial"/>
          <w:color w:val="auto"/>
          <w:sz w:val="24"/>
          <w:szCs w:val="24"/>
        </w:rPr>
        <w:t>cating exceptions. States exact GWA percentages, unit requirements, and prerequisites verbatim from policy documents.</w:t>
      </w:r>
    </w:p>
    <w:p w14:paraId="2A08C855"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Template: "You are the TPoliCynav Academic Eligibility and Scholarship Advisor. State exact GWA percentages, unit requirements, and prereq</w:t>
      </w:r>
      <w:r w:rsidRPr="009B3D6E">
        <w:rPr>
          <w:rFonts w:cs="Arial"/>
          <w:color w:val="auto"/>
          <w:sz w:val="24"/>
          <w:szCs w:val="24"/>
        </w:rPr>
        <w:t>uisites verbatim. Never round grades or claim exceptions without documented policy basis. List required documents and responsible offices."</w:t>
      </w:r>
    </w:p>
    <w:p w14:paraId="2DFA3A86"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Anti-Hallucination Demo — Query: 'My GWA is 87.5%. Can I still qualify for the GSIS STEM scholarship?' Naive LLM: '8</w:t>
      </w:r>
      <w:r w:rsidRPr="009B3D6E">
        <w:rPr>
          <w:rFonts w:cs="Arial"/>
          <w:color w:val="auto"/>
          <w:sz w:val="24"/>
          <w:szCs w:val="24"/>
        </w:rPr>
        <w:t xml:space="preserve">7.5% is close to 90%, you might still be </w:t>
      </w:r>
      <w:r w:rsidRPr="009B3D6E">
        <w:rPr>
          <w:rFonts w:cs="Arial"/>
          <w:color w:val="auto"/>
          <w:sz w:val="24"/>
          <w:szCs w:val="24"/>
        </w:rPr>
        <w:lastRenderedPageBreak/>
        <w:t>considered...' (False Hope). TPoliCynav: 'Based on GSSP Guidelines, you do not meet the minimum. The policy strictly mandates ≥90% GWA with no failing grades. Contact OSAS for alternatives.' (Strict).</w:t>
      </w:r>
    </w:p>
    <w:p w14:paraId="73A3F1C1" w14:textId="77777777" w:rsidR="0059518E" w:rsidRPr="009B3D6E" w:rsidRDefault="009B3D6E" w:rsidP="009B3D6E">
      <w:pPr>
        <w:keepNext/>
        <w:spacing w:before="320" w:line="480" w:lineRule="auto"/>
        <w:jc w:val="both"/>
        <w:rPr>
          <w:rFonts w:cs="Arial"/>
          <w:color w:val="auto"/>
          <w:sz w:val="24"/>
          <w:szCs w:val="24"/>
        </w:rPr>
      </w:pPr>
      <w:r w:rsidRPr="009B3D6E">
        <w:rPr>
          <w:rFonts w:cs="Arial"/>
          <w:b/>
          <w:color w:val="auto"/>
          <w:sz w:val="24"/>
          <w:szCs w:val="24"/>
        </w:rPr>
        <w:t xml:space="preserve">Vector </w:t>
      </w:r>
      <w:r w:rsidRPr="009B3D6E">
        <w:rPr>
          <w:rFonts w:cs="Arial"/>
          <w:b/>
          <w:color w:val="auto"/>
          <w:sz w:val="24"/>
          <w:szCs w:val="24"/>
        </w:rPr>
        <w:t>Database Setup</w:t>
      </w:r>
    </w:p>
    <w:p w14:paraId="737E7976"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All 119 preprocessed chunks from Checkpoint 1 were uploaded to a Pinecone Serverless cloud vector database with full metadata for source tracing and citation.</w:t>
      </w:r>
    </w:p>
    <w:tbl>
      <w:tblPr>
        <w:tblW w:w="0" w:type="auto"/>
        <w:jc w:val="center"/>
        <w:tblLook w:val="04A0" w:firstRow="1" w:lastRow="0" w:firstColumn="1" w:lastColumn="0" w:noHBand="0" w:noVBand="1"/>
      </w:tblPr>
      <w:tblGrid>
        <w:gridCol w:w="3120"/>
        <w:gridCol w:w="3120"/>
        <w:gridCol w:w="3120"/>
      </w:tblGrid>
      <w:tr w:rsidR="009B3D6E" w:rsidRPr="009B3D6E" w14:paraId="36D959A9" w14:textId="77777777">
        <w:trPr>
          <w:jc w:val="center"/>
        </w:trPr>
        <w:tc>
          <w:tcPr>
            <w:tcW w:w="3120" w:type="dxa"/>
            <w:shd w:val="clear" w:color="auto" w:fill="1B365D"/>
            <w:tcMar>
              <w:top w:w="80" w:type="dxa"/>
              <w:left w:w="110" w:type="dxa"/>
              <w:bottom w:w="80" w:type="dxa"/>
              <w:right w:w="110" w:type="dxa"/>
            </w:tcMar>
          </w:tcPr>
          <w:p w14:paraId="5606A9EA"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Component</w:t>
            </w:r>
          </w:p>
        </w:tc>
        <w:tc>
          <w:tcPr>
            <w:tcW w:w="3120" w:type="dxa"/>
            <w:shd w:val="clear" w:color="auto" w:fill="1B365D"/>
            <w:tcMar>
              <w:top w:w="80" w:type="dxa"/>
              <w:left w:w="110" w:type="dxa"/>
              <w:bottom w:w="80" w:type="dxa"/>
              <w:right w:w="110" w:type="dxa"/>
            </w:tcMar>
          </w:tcPr>
          <w:p w14:paraId="58B14E32"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Configuration</w:t>
            </w:r>
          </w:p>
        </w:tc>
        <w:tc>
          <w:tcPr>
            <w:tcW w:w="3120" w:type="dxa"/>
            <w:shd w:val="clear" w:color="auto" w:fill="1B365D"/>
            <w:tcMar>
              <w:top w:w="80" w:type="dxa"/>
              <w:left w:w="110" w:type="dxa"/>
              <w:bottom w:w="80" w:type="dxa"/>
              <w:right w:w="110" w:type="dxa"/>
            </w:tcMar>
          </w:tcPr>
          <w:p w14:paraId="2511CC5A"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Detail</w:t>
            </w:r>
          </w:p>
        </w:tc>
      </w:tr>
      <w:tr w:rsidR="009B3D6E" w:rsidRPr="009B3D6E" w14:paraId="39F8A10A" w14:textId="77777777">
        <w:trPr>
          <w:jc w:val="center"/>
        </w:trPr>
        <w:tc>
          <w:tcPr>
            <w:tcW w:w="3120" w:type="dxa"/>
            <w:shd w:val="clear" w:color="auto" w:fill="FFFFFF"/>
            <w:tcMar>
              <w:top w:w="80" w:type="dxa"/>
              <w:left w:w="110" w:type="dxa"/>
              <w:bottom w:w="80" w:type="dxa"/>
              <w:right w:w="110" w:type="dxa"/>
            </w:tcMar>
          </w:tcPr>
          <w:p w14:paraId="4B516E61"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Index Name</w:t>
            </w:r>
          </w:p>
        </w:tc>
        <w:tc>
          <w:tcPr>
            <w:tcW w:w="3120" w:type="dxa"/>
            <w:shd w:val="clear" w:color="auto" w:fill="FFFFFF"/>
            <w:tcMar>
              <w:top w:w="80" w:type="dxa"/>
              <w:left w:w="110" w:type="dxa"/>
              <w:bottom w:w="80" w:type="dxa"/>
              <w:right w:w="110" w:type="dxa"/>
            </w:tcMar>
          </w:tcPr>
          <w:p w14:paraId="0E044BBE"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tpolicynav</w:t>
            </w:r>
          </w:p>
        </w:tc>
        <w:tc>
          <w:tcPr>
            <w:tcW w:w="3120" w:type="dxa"/>
            <w:shd w:val="clear" w:color="auto" w:fill="FFFFFF"/>
            <w:tcMar>
              <w:top w:w="80" w:type="dxa"/>
              <w:left w:w="110" w:type="dxa"/>
              <w:bottom w:w="80" w:type="dxa"/>
              <w:right w:w="110" w:type="dxa"/>
            </w:tcMar>
          </w:tcPr>
          <w:p w14:paraId="55DA7CF5"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 xml:space="preserve">Pinecone </w:t>
            </w:r>
            <w:r w:rsidRPr="009B3D6E">
              <w:rPr>
                <w:rFonts w:cs="Arial"/>
                <w:color w:val="auto"/>
                <w:sz w:val="24"/>
                <w:szCs w:val="24"/>
              </w:rPr>
              <w:t>Serverless cloud index</w:t>
            </w:r>
          </w:p>
        </w:tc>
      </w:tr>
      <w:tr w:rsidR="009B3D6E" w:rsidRPr="009B3D6E" w14:paraId="35965FB5" w14:textId="77777777">
        <w:trPr>
          <w:jc w:val="center"/>
        </w:trPr>
        <w:tc>
          <w:tcPr>
            <w:tcW w:w="3120" w:type="dxa"/>
            <w:shd w:val="clear" w:color="auto" w:fill="F8FAFC"/>
            <w:tcMar>
              <w:top w:w="80" w:type="dxa"/>
              <w:left w:w="110" w:type="dxa"/>
              <w:bottom w:w="80" w:type="dxa"/>
              <w:right w:w="110" w:type="dxa"/>
            </w:tcMar>
          </w:tcPr>
          <w:p w14:paraId="1246D4E7"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Cloud / Region</w:t>
            </w:r>
          </w:p>
        </w:tc>
        <w:tc>
          <w:tcPr>
            <w:tcW w:w="3120" w:type="dxa"/>
            <w:shd w:val="clear" w:color="auto" w:fill="F8FAFC"/>
            <w:tcMar>
              <w:top w:w="80" w:type="dxa"/>
              <w:left w:w="110" w:type="dxa"/>
              <w:bottom w:w="80" w:type="dxa"/>
              <w:right w:w="110" w:type="dxa"/>
            </w:tcMar>
          </w:tcPr>
          <w:p w14:paraId="42625458"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AWS us-east-1</w:t>
            </w:r>
          </w:p>
        </w:tc>
        <w:tc>
          <w:tcPr>
            <w:tcW w:w="3120" w:type="dxa"/>
            <w:shd w:val="clear" w:color="auto" w:fill="F8FAFC"/>
            <w:tcMar>
              <w:top w:w="80" w:type="dxa"/>
              <w:left w:w="110" w:type="dxa"/>
              <w:bottom w:w="80" w:type="dxa"/>
              <w:right w:w="110" w:type="dxa"/>
            </w:tcMar>
          </w:tcPr>
          <w:p w14:paraId="514A972C"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Lowest latency for SE Asia queries</w:t>
            </w:r>
          </w:p>
        </w:tc>
      </w:tr>
      <w:tr w:rsidR="009B3D6E" w:rsidRPr="009B3D6E" w14:paraId="2B25ECF3" w14:textId="77777777">
        <w:trPr>
          <w:jc w:val="center"/>
        </w:trPr>
        <w:tc>
          <w:tcPr>
            <w:tcW w:w="3120" w:type="dxa"/>
            <w:shd w:val="clear" w:color="auto" w:fill="FFFFFF"/>
            <w:tcMar>
              <w:top w:w="80" w:type="dxa"/>
              <w:left w:w="110" w:type="dxa"/>
              <w:bottom w:w="80" w:type="dxa"/>
              <w:right w:w="110" w:type="dxa"/>
            </w:tcMar>
          </w:tcPr>
          <w:p w14:paraId="64E26BBB"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Dimension</w:t>
            </w:r>
          </w:p>
        </w:tc>
        <w:tc>
          <w:tcPr>
            <w:tcW w:w="3120" w:type="dxa"/>
            <w:shd w:val="clear" w:color="auto" w:fill="FFFFFF"/>
            <w:tcMar>
              <w:top w:w="80" w:type="dxa"/>
              <w:left w:w="110" w:type="dxa"/>
              <w:bottom w:w="80" w:type="dxa"/>
              <w:right w:w="110" w:type="dxa"/>
            </w:tcMar>
          </w:tcPr>
          <w:p w14:paraId="5D4BE1FD"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384</w:t>
            </w:r>
          </w:p>
        </w:tc>
        <w:tc>
          <w:tcPr>
            <w:tcW w:w="3120" w:type="dxa"/>
            <w:shd w:val="clear" w:color="auto" w:fill="FFFFFF"/>
            <w:tcMar>
              <w:top w:w="80" w:type="dxa"/>
              <w:left w:w="110" w:type="dxa"/>
              <w:bottom w:w="80" w:type="dxa"/>
              <w:right w:w="110" w:type="dxa"/>
            </w:tcMar>
          </w:tcPr>
          <w:p w14:paraId="432986D2"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Matches bge-small-en-v1.5 output</w:t>
            </w:r>
          </w:p>
        </w:tc>
      </w:tr>
      <w:tr w:rsidR="009B3D6E" w:rsidRPr="009B3D6E" w14:paraId="3030522D" w14:textId="77777777">
        <w:trPr>
          <w:jc w:val="center"/>
        </w:trPr>
        <w:tc>
          <w:tcPr>
            <w:tcW w:w="3120" w:type="dxa"/>
            <w:shd w:val="clear" w:color="auto" w:fill="F8FAFC"/>
            <w:tcMar>
              <w:top w:w="80" w:type="dxa"/>
              <w:left w:w="110" w:type="dxa"/>
              <w:bottom w:w="80" w:type="dxa"/>
              <w:right w:w="110" w:type="dxa"/>
            </w:tcMar>
          </w:tcPr>
          <w:p w14:paraId="68FFE4C4"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Metric</w:t>
            </w:r>
          </w:p>
        </w:tc>
        <w:tc>
          <w:tcPr>
            <w:tcW w:w="3120" w:type="dxa"/>
            <w:shd w:val="clear" w:color="auto" w:fill="F8FAFC"/>
            <w:tcMar>
              <w:top w:w="80" w:type="dxa"/>
              <w:left w:w="110" w:type="dxa"/>
              <w:bottom w:w="80" w:type="dxa"/>
              <w:right w:w="110" w:type="dxa"/>
            </w:tcMar>
          </w:tcPr>
          <w:p w14:paraId="3BF81FC6"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Cosine Similarity</w:t>
            </w:r>
          </w:p>
        </w:tc>
        <w:tc>
          <w:tcPr>
            <w:tcW w:w="3120" w:type="dxa"/>
            <w:shd w:val="clear" w:color="auto" w:fill="F8FAFC"/>
            <w:tcMar>
              <w:top w:w="80" w:type="dxa"/>
              <w:left w:w="110" w:type="dxa"/>
              <w:bottom w:w="80" w:type="dxa"/>
              <w:right w:w="110" w:type="dxa"/>
            </w:tcMar>
          </w:tcPr>
          <w:p w14:paraId="38E7D056"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Optimal for L2-normalized embeddings</w:t>
            </w:r>
          </w:p>
        </w:tc>
      </w:tr>
      <w:tr w:rsidR="009B3D6E" w:rsidRPr="009B3D6E" w14:paraId="4E9FE4EF" w14:textId="77777777">
        <w:trPr>
          <w:jc w:val="center"/>
        </w:trPr>
        <w:tc>
          <w:tcPr>
            <w:tcW w:w="3120" w:type="dxa"/>
            <w:shd w:val="clear" w:color="auto" w:fill="FFFFFF"/>
            <w:tcMar>
              <w:top w:w="80" w:type="dxa"/>
              <w:left w:w="110" w:type="dxa"/>
              <w:bottom w:w="80" w:type="dxa"/>
              <w:right w:w="110" w:type="dxa"/>
            </w:tcMar>
          </w:tcPr>
          <w:p w14:paraId="48CD6782"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Vector Count</w:t>
            </w:r>
          </w:p>
        </w:tc>
        <w:tc>
          <w:tcPr>
            <w:tcW w:w="3120" w:type="dxa"/>
            <w:shd w:val="clear" w:color="auto" w:fill="FFFFFF"/>
            <w:tcMar>
              <w:top w:w="80" w:type="dxa"/>
              <w:left w:w="110" w:type="dxa"/>
              <w:bottom w:w="80" w:type="dxa"/>
              <w:right w:w="110" w:type="dxa"/>
            </w:tcMar>
          </w:tcPr>
          <w:p w14:paraId="0B08B3EE"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119</w:t>
            </w:r>
          </w:p>
        </w:tc>
        <w:tc>
          <w:tcPr>
            <w:tcW w:w="3120" w:type="dxa"/>
            <w:shd w:val="clear" w:color="auto" w:fill="FFFFFF"/>
            <w:tcMar>
              <w:top w:w="80" w:type="dxa"/>
              <w:left w:w="110" w:type="dxa"/>
              <w:bottom w:w="80" w:type="dxa"/>
              <w:right w:w="110" w:type="dxa"/>
            </w:tcMar>
          </w:tcPr>
          <w:p w14:paraId="67EB72CC"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 xml:space="preserve">All preprocessed chunks with </w:t>
            </w:r>
            <w:r w:rsidRPr="009B3D6E">
              <w:rPr>
                <w:rFonts w:cs="Arial"/>
                <w:color w:val="auto"/>
                <w:sz w:val="24"/>
                <w:szCs w:val="24"/>
              </w:rPr>
              <w:t>metadata</w:t>
            </w:r>
          </w:p>
        </w:tc>
      </w:tr>
      <w:tr w:rsidR="009B3D6E" w:rsidRPr="009B3D6E" w14:paraId="4D6F00E2" w14:textId="77777777">
        <w:trPr>
          <w:jc w:val="center"/>
        </w:trPr>
        <w:tc>
          <w:tcPr>
            <w:tcW w:w="3120" w:type="dxa"/>
            <w:shd w:val="clear" w:color="auto" w:fill="F8FAFC"/>
            <w:tcMar>
              <w:top w:w="80" w:type="dxa"/>
              <w:left w:w="110" w:type="dxa"/>
              <w:bottom w:w="80" w:type="dxa"/>
              <w:right w:w="110" w:type="dxa"/>
            </w:tcMar>
          </w:tcPr>
          <w:p w14:paraId="671E8315"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Metadata Fields</w:t>
            </w:r>
          </w:p>
        </w:tc>
        <w:tc>
          <w:tcPr>
            <w:tcW w:w="3120" w:type="dxa"/>
            <w:shd w:val="clear" w:color="auto" w:fill="F8FAFC"/>
            <w:tcMar>
              <w:top w:w="80" w:type="dxa"/>
              <w:left w:w="110" w:type="dxa"/>
              <w:bottom w:w="80" w:type="dxa"/>
              <w:right w:w="110" w:type="dxa"/>
            </w:tcMar>
          </w:tcPr>
          <w:p w14:paraId="1897A9CD"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 xml:space="preserve">chunk_id, source, </w:t>
            </w:r>
            <w:r w:rsidRPr="009B3D6E">
              <w:rPr>
                <w:rFonts w:cs="Arial"/>
                <w:color w:val="auto"/>
                <w:sz w:val="24"/>
                <w:szCs w:val="24"/>
              </w:rPr>
              <w:lastRenderedPageBreak/>
              <w:t>word_count, text</w:t>
            </w:r>
          </w:p>
        </w:tc>
        <w:tc>
          <w:tcPr>
            <w:tcW w:w="3120" w:type="dxa"/>
            <w:shd w:val="clear" w:color="auto" w:fill="F8FAFC"/>
            <w:tcMar>
              <w:top w:w="80" w:type="dxa"/>
              <w:left w:w="110" w:type="dxa"/>
              <w:bottom w:w="80" w:type="dxa"/>
              <w:right w:w="110" w:type="dxa"/>
            </w:tcMar>
          </w:tcPr>
          <w:p w14:paraId="0D59E9E7"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lastRenderedPageBreak/>
              <w:t xml:space="preserve">Enables source tracing </w:t>
            </w:r>
            <w:r w:rsidRPr="009B3D6E">
              <w:rPr>
                <w:rFonts w:cs="Arial"/>
                <w:color w:val="auto"/>
                <w:sz w:val="24"/>
                <w:szCs w:val="24"/>
              </w:rPr>
              <w:lastRenderedPageBreak/>
              <w:t>and citation</w:t>
            </w:r>
          </w:p>
        </w:tc>
      </w:tr>
    </w:tbl>
    <w:p w14:paraId="3681C042" w14:textId="77777777" w:rsidR="0059518E" w:rsidRPr="009B3D6E" w:rsidRDefault="0059518E" w:rsidP="009B3D6E">
      <w:pPr>
        <w:spacing w:line="480" w:lineRule="auto"/>
        <w:rPr>
          <w:rFonts w:cs="Arial"/>
          <w:color w:val="auto"/>
          <w:sz w:val="24"/>
          <w:szCs w:val="24"/>
        </w:rPr>
      </w:pPr>
    </w:p>
    <w:p w14:paraId="2AB97BDE" w14:textId="77777777" w:rsidR="0059518E" w:rsidRPr="009B3D6E" w:rsidRDefault="009B3D6E" w:rsidP="009B3D6E">
      <w:pPr>
        <w:keepNext/>
        <w:spacing w:before="320" w:line="480" w:lineRule="auto"/>
        <w:jc w:val="both"/>
        <w:rPr>
          <w:rFonts w:cs="Arial"/>
          <w:color w:val="auto"/>
          <w:sz w:val="24"/>
          <w:szCs w:val="24"/>
        </w:rPr>
      </w:pPr>
      <w:r w:rsidRPr="009B3D6E">
        <w:rPr>
          <w:rFonts w:cs="Arial"/>
          <w:b/>
          <w:color w:val="auto"/>
          <w:sz w:val="24"/>
          <w:szCs w:val="24"/>
        </w:rPr>
        <w:t>Working Application (API Integration)</w:t>
      </w:r>
    </w:p>
    <w:p w14:paraId="28D1CFF6"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 xml:space="preserve">The live RAG application (app/rag_chatbot.py) orchestrates the full retrieval pipeline: user query → dense </w:t>
      </w:r>
      <w:r w:rsidRPr="009B3D6E">
        <w:rPr>
          <w:rFonts w:cs="Arial"/>
          <w:color w:val="auto"/>
          <w:sz w:val="24"/>
          <w:szCs w:val="24"/>
        </w:rPr>
        <w:t>encoding via bge-small-en-v1.5 → Pinecone Top-4 similarity search → confidence filtering (threshold ≥ 0.50) → grounded response synthesis with canonical document citations. Off-topic queries automatically trigger defensive fallback responses.</w:t>
      </w:r>
    </w:p>
    <w:p w14:paraId="1423E1D1" w14:textId="77777777" w:rsidR="0059518E" w:rsidRPr="009B3D6E" w:rsidRDefault="009B3D6E" w:rsidP="009B3D6E">
      <w:pPr>
        <w:keepNext/>
        <w:spacing w:before="320" w:line="480" w:lineRule="auto"/>
        <w:jc w:val="both"/>
        <w:rPr>
          <w:rFonts w:cs="Arial"/>
          <w:color w:val="auto"/>
          <w:sz w:val="24"/>
          <w:szCs w:val="24"/>
        </w:rPr>
      </w:pPr>
      <w:r w:rsidRPr="009B3D6E">
        <w:rPr>
          <w:rFonts w:cs="Arial"/>
          <w:b/>
          <w:color w:val="auto"/>
          <w:sz w:val="24"/>
          <w:szCs w:val="24"/>
        </w:rPr>
        <w:t>Distance Metr</w:t>
      </w:r>
      <w:r w:rsidRPr="009B3D6E">
        <w:rPr>
          <w:rFonts w:cs="Arial"/>
          <w:b/>
          <w:color w:val="auto"/>
          <w:sz w:val="24"/>
          <w:szCs w:val="24"/>
        </w:rPr>
        <w:t>ic Comparison</w:t>
      </w:r>
    </w:p>
    <w:p w14:paraId="3F9AD369"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Three mathematical distance metrics were benchmarked on the actual 119-chunk TPC corpus using BAAI/bge-small-en-v1.5 embeddings (384-dimensional, L2-normalized):</w:t>
      </w:r>
    </w:p>
    <w:tbl>
      <w:tblPr>
        <w:tblW w:w="0" w:type="auto"/>
        <w:jc w:val="center"/>
        <w:tblLook w:val="04A0" w:firstRow="1" w:lastRow="0" w:firstColumn="1" w:lastColumn="0" w:noHBand="0" w:noVBand="1"/>
      </w:tblPr>
      <w:tblGrid>
        <w:gridCol w:w="2340"/>
        <w:gridCol w:w="2340"/>
        <w:gridCol w:w="2340"/>
        <w:gridCol w:w="2340"/>
      </w:tblGrid>
      <w:tr w:rsidR="009B3D6E" w:rsidRPr="009B3D6E" w14:paraId="6214E645" w14:textId="77777777">
        <w:trPr>
          <w:jc w:val="center"/>
        </w:trPr>
        <w:tc>
          <w:tcPr>
            <w:tcW w:w="2340" w:type="dxa"/>
            <w:shd w:val="clear" w:color="auto" w:fill="1B365D"/>
            <w:tcMar>
              <w:top w:w="80" w:type="dxa"/>
              <w:left w:w="110" w:type="dxa"/>
              <w:bottom w:w="80" w:type="dxa"/>
              <w:right w:w="110" w:type="dxa"/>
            </w:tcMar>
          </w:tcPr>
          <w:p w14:paraId="31AD3DBC"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Metric</w:t>
            </w:r>
          </w:p>
        </w:tc>
        <w:tc>
          <w:tcPr>
            <w:tcW w:w="2340" w:type="dxa"/>
            <w:shd w:val="clear" w:color="auto" w:fill="1B365D"/>
            <w:tcMar>
              <w:top w:w="80" w:type="dxa"/>
              <w:left w:w="110" w:type="dxa"/>
              <w:bottom w:w="80" w:type="dxa"/>
              <w:right w:w="110" w:type="dxa"/>
            </w:tcMar>
          </w:tcPr>
          <w:p w14:paraId="5E261FED"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Formula</w:t>
            </w:r>
          </w:p>
        </w:tc>
        <w:tc>
          <w:tcPr>
            <w:tcW w:w="2340" w:type="dxa"/>
            <w:shd w:val="clear" w:color="auto" w:fill="1B365D"/>
            <w:tcMar>
              <w:top w:w="80" w:type="dxa"/>
              <w:left w:w="110" w:type="dxa"/>
              <w:bottom w:w="80" w:type="dxa"/>
              <w:right w:w="110" w:type="dxa"/>
            </w:tcMar>
          </w:tcPr>
          <w:p w14:paraId="77A39DA3"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Range</w:t>
            </w:r>
          </w:p>
        </w:tc>
        <w:tc>
          <w:tcPr>
            <w:tcW w:w="2340" w:type="dxa"/>
            <w:shd w:val="clear" w:color="auto" w:fill="1B365D"/>
            <w:tcMar>
              <w:top w:w="80" w:type="dxa"/>
              <w:left w:w="110" w:type="dxa"/>
              <w:bottom w:w="80" w:type="dxa"/>
              <w:right w:w="110" w:type="dxa"/>
            </w:tcMar>
          </w:tcPr>
          <w:p w14:paraId="5AE36E8C"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Characteristics</w:t>
            </w:r>
          </w:p>
        </w:tc>
      </w:tr>
      <w:tr w:rsidR="009B3D6E" w:rsidRPr="009B3D6E" w14:paraId="3B213E4A" w14:textId="77777777">
        <w:trPr>
          <w:jc w:val="center"/>
        </w:trPr>
        <w:tc>
          <w:tcPr>
            <w:tcW w:w="2340" w:type="dxa"/>
            <w:shd w:val="clear" w:color="auto" w:fill="FFFFFF"/>
            <w:tcMar>
              <w:top w:w="80" w:type="dxa"/>
              <w:left w:w="110" w:type="dxa"/>
              <w:bottom w:w="80" w:type="dxa"/>
              <w:right w:w="110" w:type="dxa"/>
            </w:tcMar>
          </w:tcPr>
          <w:p w14:paraId="56D2D71B"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Cosine Similarity</w:t>
            </w:r>
          </w:p>
        </w:tc>
        <w:tc>
          <w:tcPr>
            <w:tcW w:w="2340" w:type="dxa"/>
            <w:shd w:val="clear" w:color="auto" w:fill="FFFFFF"/>
            <w:tcMar>
              <w:top w:w="80" w:type="dxa"/>
              <w:left w:w="110" w:type="dxa"/>
              <w:bottom w:w="80" w:type="dxa"/>
              <w:right w:w="110" w:type="dxa"/>
            </w:tcMar>
          </w:tcPr>
          <w:p w14:paraId="7193122E"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 xml:space="preserve">cos(θ) = (A·B) / </w:t>
            </w:r>
            <w:r w:rsidRPr="009B3D6E">
              <w:rPr>
                <w:rFonts w:cs="Arial"/>
                <w:color w:val="auto"/>
                <w:sz w:val="24"/>
                <w:szCs w:val="24"/>
              </w:rPr>
              <w:t>(‖A‖ ‖B‖)</w:t>
            </w:r>
          </w:p>
        </w:tc>
        <w:tc>
          <w:tcPr>
            <w:tcW w:w="2340" w:type="dxa"/>
            <w:shd w:val="clear" w:color="auto" w:fill="FFFFFF"/>
            <w:tcMar>
              <w:top w:w="80" w:type="dxa"/>
              <w:left w:w="110" w:type="dxa"/>
              <w:bottom w:w="80" w:type="dxa"/>
              <w:right w:w="110" w:type="dxa"/>
            </w:tcMar>
          </w:tcPr>
          <w:p w14:paraId="322D53B7"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[-1, +1]</w:t>
            </w:r>
          </w:p>
        </w:tc>
        <w:tc>
          <w:tcPr>
            <w:tcW w:w="2340" w:type="dxa"/>
            <w:shd w:val="clear" w:color="auto" w:fill="FFFFFF"/>
            <w:tcMar>
              <w:top w:w="80" w:type="dxa"/>
              <w:left w:w="110" w:type="dxa"/>
              <w:bottom w:w="80" w:type="dxa"/>
              <w:right w:w="110" w:type="dxa"/>
            </w:tcMar>
          </w:tcPr>
          <w:p w14:paraId="0FF167A1"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Scale-invariant; bounded scores enable intuitive thresholding.</w:t>
            </w:r>
          </w:p>
        </w:tc>
      </w:tr>
      <w:tr w:rsidR="009B3D6E" w:rsidRPr="009B3D6E" w14:paraId="7CAA4983" w14:textId="77777777">
        <w:trPr>
          <w:jc w:val="center"/>
        </w:trPr>
        <w:tc>
          <w:tcPr>
            <w:tcW w:w="2340" w:type="dxa"/>
            <w:shd w:val="clear" w:color="auto" w:fill="F8FAFC"/>
            <w:tcMar>
              <w:top w:w="80" w:type="dxa"/>
              <w:left w:w="110" w:type="dxa"/>
              <w:bottom w:w="80" w:type="dxa"/>
              <w:right w:w="110" w:type="dxa"/>
            </w:tcMar>
          </w:tcPr>
          <w:p w14:paraId="055F7C92"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Euclidean (L2)</w:t>
            </w:r>
          </w:p>
        </w:tc>
        <w:tc>
          <w:tcPr>
            <w:tcW w:w="2340" w:type="dxa"/>
            <w:shd w:val="clear" w:color="auto" w:fill="F8FAFC"/>
            <w:tcMar>
              <w:top w:w="80" w:type="dxa"/>
              <w:left w:w="110" w:type="dxa"/>
              <w:bottom w:w="80" w:type="dxa"/>
              <w:right w:w="110" w:type="dxa"/>
            </w:tcMar>
          </w:tcPr>
          <w:p w14:paraId="3B3A9ECB"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d = √Σ(A</w:t>
            </w:r>
            <w:r w:rsidRPr="009B3D6E">
              <w:rPr>
                <w:rFonts w:cs="Arial"/>
                <w:color w:val="auto"/>
                <w:sz w:val="24"/>
                <w:szCs w:val="24"/>
              </w:rPr>
              <w:t>ᵢ</w:t>
            </w:r>
            <w:r w:rsidRPr="009B3D6E">
              <w:rPr>
                <w:rFonts w:cs="Arial"/>
                <w:color w:val="auto"/>
                <w:sz w:val="24"/>
                <w:szCs w:val="24"/>
              </w:rPr>
              <w:t>-</w:t>
            </w:r>
            <w:proofErr w:type="gramStart"/>
            <w:r w:rsidRPr="009B3D6E">
              <w:rPr>
                <w:rFonts w:cs="Arial"/>
                <w:color w:val="auto"/>
                <w:sz w:val="24"/>
                <w:szCs w:val="24"/>
              </w:rPr>
              <w:t>B</w:t>
            </w:r>
            <w:r w:rsidRPr="009B3D6E">
              <w:rPr>
                <w:rFonts w:cs="Arial"/>
                <w:color w:val="auto"/>
                <w:sz w:val="24"/>
                <w:szCs w:val="24"/>
              </w:rPr>
              <w:t>ᵢ</w:t>
            </w:r>
            <w:r w:rsidRPr="009B3D6E">
              <w:rPr>
                <w:rFonts w:cs="Arial"/>
                <w:color w:val="auto"/>
                <w:sz w:val="24"/>
                <w:szCs w:val="24"/>
              </w:rPr>
              <w:t>)²</w:t>
            </w:r>
            <w:proofErr w:type="gramEnd"/>
          </w:p>
        </w:tc>
        <w:tc>
          <w:tcPr>
            <w:tcW w:w="2340" w:type="dxa"/>
            <w:shd w:val="clear" w:color="auto" w:fill="F8FAFC"/>
            <w:tcMar>
              <w:top w:w="80" w:type="dxa"/>
              <w:left w:w="110" w:type="dxa"/>
              <w:bottom w:w="80" w:type="dxa"/>
              <w:right w:w="110" w:type="dxa"/>
            </w:tcMar>
          </w:tcPr>
          <w:p w14:paraId="52EA9C99"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[0, +∞)</w:t>
            </w:r>
          </w:p>
        </w:tc>
        <w:tc>
          <w:tcPr>
            <w:tcW w:w="2340" w:type="dxa"/>
            <w:shd w:val="clear" w:color="auto" w:fill="F8FAFC"/>
            <w:tcMar>
              <w:top w:w="80" w:type="dxa"/>
              <w:left w:w="110" w:type="dxa"/>
              <w:bottom w:w="80" w:type="dxa"/>
              <w:right w:w="110" w:type="dxa"/>
            </w:tcMar>
          </w:tcPr>
          <w:p w14:paraId="0D868508"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 xml:space="preserve">Sensitive to magnitude; </w:t>
            </w:r>
            <w:r w:rsidRPr="009B3D6E">
              <w:rPr>
                <w:rFonts w:cs="Arial"/>
                <w:color w:val="auto"/>
                <w:sz w:val="24"/>
                <w:szCs w:val="24"/>
              </w:rPr>
              <w:lastRenderedPageBreak/>
              <w:t>unbounded range complicates thresholding.</w:t>
            </w:r>
          </w:p>
        </w:tc>
      </w:tr>
      <w:tr w:rsidR="009B3D6E" w:rsidRPr="009B3D6E" w14:paraId="3EE47217" w14:textId="77777777">
        <w:trPr>
          <w:jc w:val="center"/>
        </w:trPr>
        <w:tc>
          <w:tcPr>
            <w:tcW w:w="2340" w:type="dxa"/>
            <w:shd w:val="clear" w:color="auto" w:fill="FFFFFF"/>
            <w:tcMar>
              <w:top w:w="80" w:type="dxa"/>
              <w:left w:w="110" w:type="dxa"/>
              <w:bottom w:w="80" w:type="dxa"/>
              <w:right w:w="110" w:type="dxa"/>
            </w:tcMar>
          </w:tcPr>
          <w:p w14:paraId="2BD31CFA"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lastRenderedPageBreak/>
              <w:t>Dot Product</w:t>
            </w:r>
          </w:p>
        </w:tc>
        <w:tc>
          <w:tcPr>
            <w:tcW w:w="2340" w:type="dxa"/>
            <w:shd w:val="clear" w:color="auto" w:fill="FFFFFF"/>
            <w:tcMar>
              <w:top w:w="80" w:type="dxa"/>
              <w:left w:w="110" w:type="dxa"/>
              <w:bottom w:w="80" w:type="dxa"/>
              <w:right w:w="110" w:type="dxa"/>
            </w:tcMar>
          </w:tcPr>
          <w:p w14:paraId="5D0B7C5C"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A·B = ΣA</w:t>
            </w:r>
            <w:r w:rsidRPr="009B3D6E">
              <w:rPr>
                <w:rFonts w:cs="Arial"/>
                <w:color w:val="auto"/>
                <w:sz w:val="24"/>
                <w:szCs w:val="24"/>
              </w:rPr>
              <w:t>ᵢ</w:t>
            </w:r>
            <w:r w:rsidRPr="009B3D6E">
              <w:rPr>
                <w:rFonts w:cs="Arial"/>
                <w:color w:val="auto"/>
                <w:sz w:val="24"/>
                <w:szCs w:val="24"/>
              </w:rPr>
              <w:t>B</w:t>
            </w:r>
            <w:r w:rsidRPr="009B3D6E">
              <w:rPr>
                <w:rFonts w:cs="Arial"/>
                <w:color w:val="auto"/>
                <w:sz w:val="24"/>
                <w:szCs w:val="24"/>
              </w:rPr>
              <w:t>ᵢ</w:t>
            </w:r>
          </w:p>
        </w:tc>
        <w:tc>
          <w:tcPr>
            <w:tcW w:w="2340" w:type="dxa"/>
            <w:shd w:val="clear" w:color="auto" w:fill="FFFFFF"/>
            <w:tcMar>
              <w:top w:w="80" w:type="dxa"/>
              <w:left w:w="110" w:type="dxa"/>
              <w:bottom w:w="80" w:type="dxa"/>
              <w:right w:w="110" w:type="dxa"/>
            </w:tcMar>
          </w:tcPr>
          <w:p w14:paraId="1CAEB196"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 +∞)</w:t>
            </w:r>
          </w:p>
        </w:tc>
        <w:tc>
          <w:tcPr>
            <w:tcW w:w="2340" w:type="dxa"/>
            <w:shd w:val="clear" w:color="auto" w:fill="FFFFFF"/>
            <w:tcMar>
              <w:top w:w="80" w:type="dxa"/>
              <w:left w:w="110" w:type="dxa"/>
              <w:bottom w:w="80" w:type="dxa"/>
              <w:right w:w="110" w:type="dxa"/>
            </w:tcMar>
          </w:tcPr>
          <w:p w14:paraId="74DF8B00"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 xml:space="preserve">Fastest computation; </w:t>
            </w:r>
            <w:r w:rsidRPr="009B3D6E">
              <w:rPr>
                <w:rFonts w:cs="Arial"/>
                <w:color w:val="auto"/>
                <w:sz w:val="24"/>
                <w:szCs w:val="24"/>
              </w:rPr>
              <w:t>equivalent to cosine when vectors are unit-normalized.</w:t>
            </w:r>
          </w:p>
        </w:tc>
      </w:tr>
    </w:tbl>
    <w:p w14:paraId="5CF9B631" w14:textId="77777777" w:rsidR="0059518E" w:rsidRPr="009B3D6E" w:rsidRDefault="0059518E" w:rsidP="009B3D6E">
      <w:pPr>
        <w:spacing w:line="480" w:lineRule="auto"/>
        <w:rPr>
          <w:rFonts w:cs="Arial"/>
          <w:color w:val="auto"/>
          <w:sz w:val="24"/>
          <w:szCs w:val="24"/>
        </w:rPr>
      </w:pPr>
    </w:p>
    <w:p w14:paraId="72CF6DD5" w14:textId="77777777" w:rsidR="0059518E" w:rsidRPr="009B3D6E" w:rsidRDefault="009B3D6E" w:rsidP="009B3D6E">
      <w:pPr>
        <w:keepNext/>
        <w:spacing w:before="200" w:after="80" w:line="480" w:lineRule="auto"/>
        <w:rPr>
          <w:rFonts w:cs="Arial"/>
          <w:color w:val="auto"/>
          <w:sz w:val="24"/>
          <w:szCs w:val="24"/>
        </w:rPr>
      </w:pPr>
      <w:r w:rsidRPr="009B3D6E">
        <w:rPr>
          <w:rFonts w:cs="Arial"/>
          <w:b/>
          <w:color w:val="auto"/>
          <w:sz w:val="24"/>
          <w:szCs w:val="24"/>
        </w:rPr>
        <w:t>Empirical Benchmark Results</w:t>
      </w:r>
    </w:p>
    <w:tbl>
      <w:tblPr>
        <w:tblW w:w="0" w:type="auto"/>
        <w:jc w:val="center"/>
        <w:tblLook w:val="04A0" w:firstRow="1" w:lastRow="0" w:firstColumn="1" w:lastColumn="0" w:noHBand="0" w:noVBand="1"/>
      </w:tblPr>
      <w:tblGrid>
        <w:gridCol w:w="1363"/>
        <w:gridCol w:w="4397"/>
        <w:gridCol w:w="1149"/>
        <w:gridCol w:w="1432"/>
        <w:gridCol w:w="1239"/>
      </w:tblGrid>
      <w:tr w:rsidR="009B3D6E" w:rsidRPr="009B3D6E" w14:paraId="2B4664E1" w14:textId="77777777">
        <w:trPr>
          <w:jc w:val="center"/>
        </w:trPr>
        <w:tc>
          <w:tcPr>
            <w:tcW w:w="1872" w:type="dxa"/>
            <w:shd w:val="clear" w:color="auto" w:fill="1B365D"/>
            <w:tcMar>
              <w:top w:w="80" w:type="dxa"/>
              <w:left w:w="110" w:type="dxa"/>
              <w:bottom w:w="80" w:type="dxa"/>
              <w:right w:w="110" w:type="dxa"/>
            </w:tcMar>
          </w:tcPr>
          <w:p w14:paraId="1AB58422"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Query</w:t>
            </w:r>
          </w:p>
        </w:tc>
        <w:tc>
          <w:tcPr>
            <w:tcW w:w="1872" w:type="dxa"/>
            <w:shd w:val="clear" w:color="auto" w:fill="1B365D"/>
            <w:tcMar>
              <w:top w:w="80" w:type="dxa"/>
              <w:left w:w="110" w:type="dxa"/>
              <w:bottom w:w="80" w:type="dxa"/>
              <w:right w:w="110" w:type="dxa"/>
            </w:tcMar>
          </w:tcPr>
          <w:p w14:paraId="409ADAA7"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Top-1 Chunk</w:t>
            </w:r>
          </w:p>
        </w:tc>
        <w:tc>
          <w:tcPr>
            <w:tcW w:w="1872" w:type="dxa"/>
            <w:shd w:val="clear" w:color="auto" w:fill="1B365D"/>
            <w:tcMar>
              <w:top w:w="80" w:type="dxa"/>
              <w:left w:w="110" w:type="dxa"/>
              <w:bottom w:w="80" w:type="dxa"/>
              <w:right w:w="110" w:type="dxa"/>
            </w:tcMar>
          </w:tcPr>
          <w:p w14:paraId="0FC30B64"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Cosine</w:t>
            </w:r>
          </w:p>
        </w:tc>
        <w:tc>
          <w:tcPr>
            <w:tcW w:w="1872" w:type="dxa"/>
            <w:shd w:val="clear" w:color="auto" w:fill="1B365D"/>
            <w:tcMar>
              <w:top w:w="80" w:type="dxa"/>
              <w:left w:w="110" w:type="dxa"/>
              <w:bottom w:w="80" w:type="dxa"/>
              <w:right w:w="110" w:type="dxa"/>
            </w:tcMar>
          </w:tcPr>
          <w:p w14:paraId="4898C32F"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Euclidean</w:t>
            </w:r>
          </w:p>
        </w:tc>
        <w:tc>
          <w:tcPr>
            <w:tcW w:w="1872" w:type="dxa"/>
            <w:shd w:val="clear" w:color="auto" w:fill="1B365D"/>
            <w:tcMar>
              <w:top w:w="80" w:type="dxa"/>
              <w:left w:w="110" w:type="dxa"/>
              <w:bottom w:w="80" w:type="dxa"/>
              <w:right w:w="110" w:type="dxa"/>
            </w:tcMar>
          </w:tcPr>
          <w:p w14:paraId="2784C355"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Dot Product</w:t>
            </w:r>
          </w:p>
        </w:tc>
      </w:tr>
      <w:tr w:rsidR="009B3D6E" w:rsidRPr="009B3D6E" w14:paraId="606D80C5" w14:textId="77777777">
        <w:trPr>
          <w:jc w:val="center"/>
        </w:trPr>
        <w:tc>
          <w:tcPr>
            <w:tcW w:w="1872" w:type="dxa"/>
            <w:shd w:val="clear" w:color="auto" w:fill="FFFFFF"/>
            <w:tcMar>
              <w:top w:w="80" w:type="dxa"/>
              <w:left w:w="110" w:type="dxa"/>
              <w:bottom w:w="80" w:type="dxa"/>
              <w:right w:w="110" w:type="dxa"/>
            </w:tcMar>
          </w:tcPr>
          <w:p w14:paraId="4698CCC7"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Curfew hours for boarding houses?</w:t>
            </w:r>
          </w:p>
        </w:tc>
        <w:tc>
          <w:tcPr>
            <w:tcW w:w="1872" w:type="dxa"/>
            <w:shd w:val="clear" w:color="auto" w:fill="FFFFFF"/>
            <w:tcMar>
              <w:top w:w="80" w:type="dxa"/>
              <w:left w:w="110" w:type="dxa"/>
              <w:bottom w:w="80" w:type="dxa"/>
              <w:right w:w="110" w:type="dxa"/>
            </w:tcMar>
          </w:tcPr>
          <w:p w14:paraId="6EF4BB3E"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municipal_ordinance_127_chunk_0001</w:t>
            </w:r>
          </w:p>
        </w:tc>
        <w:tc>
          <w:tcPr>
            <w:tcW w:w="1872" w:type="dxa"/>
            <w:shd w:val="clear" w:color="auto" w:fill="FFFFFF"/>
            <w:tcMar>
              <w:top w:w="80" w:type="dxa"/>
              <w:left w:w="110" w:type="dxa"/>
              <w:bottom w:w="80" w:type="dxa"/>
              <w:right w:w="110" w:type="dxa"/>
            </w:tcMar>
          </w:tcPr>
          <w:p w14:paraId="3DC02845"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0.7691</w:t>
            </w:r>
          </w:p>
        </w:tc>
        <w:tc>
          <w:tcPr>
            <w:tcW w:w="1872" w:type="dxa"/>
            <w:shd w:val="clear" w:color="auto" w:fill="FFFFFF"/>
            <w:tcMar>
              <w:top w:w="80" w:type="dxa"/>
              <w:left w:w="110" w:type="dxa"/>
              <w:bottom w:w="80" w:type="dxa"/>
              <w:right w:w="110" w:type="dxa"/>
            </w:tcMar>
          </w:tcPr>
          <w:p w14:paraId="0FD5A487"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0.6796</w:t>
            </w:r>
          </w:p>
        </w:tc>
        <w:tc>
          <w:tcPr>
            <w:tcW w:w="1872" w:type="dxa"/>
            <w:shd w:val="clear" w:color="auto" w:fill="FFFFFF"/>
            <w:tcMar>
              <w:top w:w="80" w:type="dxa"/>
              <w:left w:w="110" w:type="dxa"/>
              <w:bottom w:w="80" w:type="dxa"/>
              <w:right w:w="110" w:type="dxa"/>
            </w:tcMar>
          </w:tcPr>
          <w:p w14:paraId="12159122"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0.7691</w:t>
            </w:r>
          </w:p>
        </w:tc>
      </w:tr>
      <w:tr w:rsidR="009B3D6E" w:rsidRPr="009B3D6E" w14:paraId="356BA552" w14:textId="77777777">
        <w:trPr>
          <w:jc w:val="center"/>
        </w:trPr>
        <w:tc>
          <w:tcPr>
            <w:tcW w:w="1872" w:type="dxa"/>
            <w:shd w:val="clear" w:color="auto" w:fill="F8FAFC"/>
            <w:tcMar>
              <w:top w:w="80" w:type="dxa"/>
              <w:left w:w="110" w:type="dxa"/>
              <w:bottom w:w="80" w:type="dxa"/>
              <w:right w:w="110" w:type="dxa"/>
            </w:tcMar>
          </w:tcPr>
          <w:p w14:paraId="63F1E0FA"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 xml:space="preserve">Can I wear ripped </w:t>
            </w:r>
            <w:r w:rsidRPr="009B3D6E">
              <w:rPr>
                <w:rFonts w:cs="Arial"/>
                <w:b/>
                <w:color w:val="auto"/>
                <w:sz w:val="24"/>
                <w:szCs w:val="24"/>
              </w:rPr>
              <w:lastRenderedPageBreak/>
              <w:t xml:space="preserve">jeans on </w:t>
            </w:r>
            <w:r w:rsidRPr="009B3D6E">
              <w:rPr>
                <w:rFonts w:cs="Arial"/>
                <w:b/>
                <w:color w:val="auto"/>
                <w:sz w:val="24"/>
                <w:szCs w:val="24"/>
              </w:rPr>
              <w:t>campus?</w:t>
            </w:r>
          </w:p>
        </w:tc>
        <w:tc>
          <w:tcPr>
            <w:tcW w:w="1872" w:type="dxa"/>
            <w:shd w:val="clear" w:color="auto" w:fill="F8FAFC"/>
            <w:tcMar>
              <w:top w:w="80" w:type="dxa"/>
              <w:left w:w="110" w:type="dxa"/>
              <w:bottom w:w="80" w:type="dxa"/>
              <w:right w:w="110" w:type="dxa"/>
            </w:tcMar>
          </w:tcPr>
          <w:p w14:paraId="5150C7BD"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lastRenderedPageBreak/>
              <w:t>tpc_uniform_dress_code_chunk_0001</w:t>
            </w:r>
          </w:p>
        </w:tc>
        <w:tc>
          <w:tcPr>
            <w:tcW w:w="1872" w:type="dxa"/>
            <w:shd w:val="clear" w:color="auto" w:fill="F8FAFC"/>
            <w:tcMar>
              <w:top w:w="80" w:type="dxa"/>
              <w:left w:w="110" w:type="dxa"/>
              <w:bottom w:w="80" w:type="dxa"/>
              <w:right w:w="110" w:type="dxa"/>
            </w:tcMar>
          </w:tcPr>
          <w:p w14:paraId="230B6D3C"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0.7540</w:t>
            </w:r>
          </w:p>
        </w:tc>
        <w:tc>
          <w:tcPr>
            <w:tcW w:w="1872" w:type="dxa"/>
            <w:shd w:val="clear" w:color="auto" w:fill="F8FAFC"/>
            <w:tcMar>
              <w:top w:w="80" w:type="dxa"/>
              <w:left w:w="110" w:type="dxa"/>
              <w:bottom w:w="80" w:type="dxa"/>
              <w:right w:w="110" w:type="dxa"/>
            </w:tcMar>
          </w:tcPr>
          <w:p w14:paraId="086A6CE5"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0.7015</w:t>
            </w:r>
          </w:p>
        </w:tc>
        <w:tc>
          <w:tcPr>
            <w:tcW w:w="1872" w:type="dxa"/>
            <w:shd w:val="clear" w:color="auto" w:fill="F8FAFC"/>
            <w:tcMar>
              <w:top w:w="80" w:type="dxa"/>
              <w:left w:w="110" w:type="dxa"/>
              <w:bottom w:w="80" w:type="dxa"/>
              <w:right w:w="110" w:type="dxa"/>
            </w:tcMar>
          </w:tcPr>
          <w:p w14:paraId="75E0355A"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0.7540</w:t>
            </w:r>
          </w:p>
        </w:tc>
      </w:tr>
      <w:tr w:rsidR="009B3D6E" w:rsidRPr="009B3D6E" w14:paraId="7A8A245A" w14:textId="77777777">
        <w:trPr>
          <w:jc w:val="center"/>
        </w:trPr>
        <w:tc>
          <w:tcPr>
            <w:tcW w:w="1872" w:type="dxa"/>
            <w:shd w:val="clear" w:color="auto" w:fill="FFFFFF"/>
            <w:tcMar>
              <w:top w:w="80" w:type="dxa"/>
              <w:left w:w="110" w:type="dxa"/>
              <w:bottom w:w="80" w:type="dxa"/>
              <w:right w:w="110" w:type="dxa"/>
            </w:tcMar>
          </w:tcPr>
          <w:p w14:paraId="7DB21CB8" w14:textId="77777777" w:rsidR="0059518E" w:rsidRPr="009B3D6E" w:rsidRDefault="009B3D6E" w:rsidP="009B3D6E">
            <w:pPr>
              <w:spacing w:line="480" w:lineRule="auto"/>
              <w:rPr>
                <w:rFonts w:cs="Arial"/>
                <w:color w:val="auto"/>
                <w:sz w:val="24"/>
                <w:szCs w:val="24"/>
              </w:rPr>
            </w:pPr>
            <w:r w:rsidRPr="009B3D6E">
              <w:rPr>
                <w:rFonts w:cs="Arial"/>
                <w:b/>
                <w:color w:val="auto"/>
                <w:sz w:val="24"/>
                <w:szCs w:val="24"/>
              </w:rPr>
              <w:t>Minimum GWA for GSIS STEM?</w:t>
            </w:r>
          </w:p>
        </w:tc>
        <w:tc>
          <w:tcPr>
            <w:tcW w:w="1872" w:type="dxa"/>
            <w:shd w:val="clear" w:color="auto" w:fill="FFFFFF"/>
            <w:tcMar>
              <w:top w:w="80" w:type="dxa"/>
              <w:left w:w="110" w:type="dxa"/>
              <w:bottom w:w="80" w:type="dxa"/>
              <w:right w:w="110" w:type="dxa"/>
            </w:tcMar>
          </w:tcPr>
          <w:p w14:paraId="3504A832"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gsis_stem_subsidy_chunk_0000</w:t>
            </w:r>
          </w:p>
        </w:tc>
        <w:tc>
          <w:tcPr>
            <w:tcW w:w="1872" w:type="dxa"/>
            <w:shd w:val="clear" w:color="auto" w:fill="FFFFFF"/>
            <w:tcMar>
              <w:top w:w="80" w:type="dxa"/>
              <w:left w:w="110" w:type="dxa"/>
              <w:bottom w:w="80" w:type="dxa"/>
              <w:right w:w="110" w:type="dxa"/>
            </w:tcMar>
          </w:tcPr>
          <w:p w14:paraId="0EB548A1"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0.8151</w:t>
            </w:r>
          </w:p>
        </w:tc>
        <w:tc>
          <w:tcPr>
            <w:tcW w:w="1872" w:type="dxa"/>
            <w:shd w:val="clear" w:color="auto" w:fill="FFFFFF"/>
            <w:tcMar>
              <w:top w:w="80" w:type="dxa"/>
              <w:left w:w="110" w:type="dxa"/>
              <w:bottom w:w="80" w:type="dxa"/>
              <w:right w:w="110" w:type="dxa"/>
            </w:tcMar>
          </w:tcPr>
          <w:p w14:paraId="5BB00062"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0.6081</w:t>
            </w:r>
          </w:p>
        </w:tc>
        <w:tc>
          <w:tcPr>
            <w:tcW w:w="1872" w:type="dxa"/>
            <w:shd w:val="clear" w:color="auto" w:fill="FFFFFF"/>
            <w:tcMar>
              <w:top w:w="80" w:type="dxa"/>
              <w:left w:w="110" w:type="dxa"/>
              <w:bottom w:w="80" w:type="dxa"/>
              <w:right w:w="110" w:type="dxa"/>
            </w:tcMar>
          </w:tcPr>
          <w:p w14:paraId="0A0B9CC7" w14:textId="77777777" w:rsidR="0059518E" w:rsidRPr="009B3D6E" w:rsidRDefault="009B3D6E" w:rsidP="009B3D6E">
            <w:pPr>
              <w:spacing w:line="480" w:lineRule="auto"/>
              <w:rPr>
                <w:rFonts w:cs="Arial"/>
                <w:color w:val="auto"/>
                <w:sz w:val="24"/>
                <w:szCs w:val="24"/>
              </w:rPr>
            </w:pPr>
            <w:r w:rsidRPr="009B3D6E">
              <w:rPr>
                <w:rFonts w:cs="Arial"/>
                <w:color w:val="auto"/>
                <w:sz w:val="24"/>
                <w:szCs w:val="24"/>
              </w:rPr>
              <w:t>0.8151</w:t>
            </w:r>
          </w:p>
        </w:tc>
      </w:tr>
    </w:tbl>
    <w:p w14:paraId="20A19B64" w14:textId="77777777" w:rsidR="0059518E" w:rsidRPr="009B3D6E" w:rsidRDefault="0059518E" w:rsidP="009B3D6E">
      <w:pPr>
        <w:spacing w:line="480" w:lineRule="auto"/>
        <w:rPr>
          <w:rFonts w:cs="Arial"/>
          <w:color w:val="auto"/>
          <w:sz w:val="24"/>
          <w:szCs w:val="24"/>
        </w:rPr>
      </w:pPr>
    </w:p>
    <w:p w14:paraId="72D30731" w14:textId="77777777" w:rsidR="0059518E" w:rsidRPr="009B3D6E" w:rsidRDefault="009B3D6E" w:rsidP="009B3D6E">
      <w:pPr>
        <w:keepNext/>
        <w:spacing w:before="200" w:after="80" w:line="480" w:lineRule="auto"/>
        <w:jc w:val="both"/>
        <w:rPr>
          <w:rFonts w:cs="Arial"/>
          <w:color w:val="auto"/>
          <w:sz w:val="24"/>
          <w:szCs w:val="24"/>
        </w:rPr>
      </w:pPr>
      <w:r w:rsidRPr="009B3D6E">
        <w:rPr>
          <w:rFonts w:cs="Arial"/>
          <w:b/>
          <w:color w:val="auto"/>
          <w:sz w:val="24"/>
          <w:szCs w:val="24"/>
        </w:rPr>
        <w:t>Mathematical Proof of Equivalence</w:t>
      </w:r>
    </w:p>
    <w:p w14:paraId="24C7E806"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 xml:space="preserve">When vectors are L2-normalized (‖A‖ = ‖B‖ = 1): ‖A − B‖² = ‖A‖² + ‖B‖² − </w:t>
      </w:r>
      <w:r w:rsidRPr="009B3D6E">
        <w:rPr>
          <w:rFonts w:cs="Arial"/>
          <w:color w:val="auto"/>
          <w:sz w:val="24"/>
          <w:szCs w:val="24"/>
        </w:rPr>
        <w:t xml:space="preserve">2(A·B) = 2 − 2·cos(θ), therefore d_L2 = </w:t>
      </w:r>
      <w:proofErr w:type="gramStart"/>
      <w:r w:rsidRPr="009B3D6E">
        <w:rPr>
          <w:rFonts w:cs="Arial"/>
          <w:color w:val="auto"/>
          <w:sz w:val="24"/>
          <w:szCs w:val="24"/>
        </w:rPr>
        <w:t>√(</w:t>
      </w:r>
      <w:proofErr w:type="gramEnd"/>
      <w:r w:rsidRPr="009B3D6E">
        <w:rPr>
          <w:rFonts w:cs="Arial"/>
          <w:color w:val="auto"/>
          <w:sz w:val="24"/>
          <w:szCs w:val="24"/>
        </w:rPr>
        <w:t>2(1 − cos(θ))). Minimizing Euclidean distance is mathematically identical to maximizing Cosine similarity. All three metrics produce the same ranking on normalized vectors.</w:t>
      </w:r>
    </w:p>
    <w:p w14:paraId="241D0686" w14:textId="77777777" w:rsidR="0059518E" w:rsidRPr="009B3D6E" w:rsidRDefault="009B3D6E" w:rsidP="009B3D6E">
      <w:pPr>
        <w:keepNext/>
        <w:spacing w:before="200" w:after="80" w:line="480" w:lineRule="auto"/>
        <w:jc w:val="both"/>
        <w:rPr>
          <w:rFonts w:cs="Arial"/>
          <w:color w:val="auto"/>
          <w:sz w:val="24"/>
          <w:szCs w:val="24"/>
        </w:rPr>
      </w:pPr>
      <w:r w:rsidRPr="009B3D6E">
        <w:rPr>
          <w:rFonts w:cs="Arial"/>
          <w:b/>
          <w:color w:val="auto"/>
          <w:sz w:val="24"/>
          <w:szCs w:val="24"/>
        </w:rPr>
        <w:t>Recommendation</w:t>
      </w:r>
    </w:p>
    <w:p w14:paraId="088FFC14" w14:textId="77777777" w:rsidR="0059518E" w:rsidRPr="009B3D6E" w:rsidRDefault="009B3D6E" w:rsidP="009B3D6E">
      <w:pPr>
        <w:spacing w:line="480" w:lineRule="auto"/>
        <w:ind w:firstLine="720"/>
        <w:jc w:val="both"/>
        <w:rPr>
          <w:rFonts w:cs="Arial"/>
          <w:color w:val="auto"/>
          <w:sz w:val="24"/>
          <w:szCs w:val="24"/>
        </w:rPr>
      </w:pPr>
      <w:r w:rsidRPr="009B3D6E">
        <w:rPr>
          <w:rFonts w:cs="Arial"/>
          <w:color w:val="auto"/>
          <w:sz w:val="24"/>
          <w:szCs w:val="24"/>
        </w:rPr>
        <w:t>Selected Metric: Cosine Si</w:t>
      </w:r>
      <w:r w:rsidRPr="009B3D6E">
        <w:rPr>
          <w:rFonts w:cs="Arial"/>
          <w:color w:val="auto"/>
          <w:sz w:val="24"/>
          <w:szCs w:val="24"/>
        </w:rPr>
        <w:t>milarity. Cosine provides bounded [0, 1] scores that enable robust confidence thresholding: score &gt; 0.70 = high relevance (serve answer with citation); score &lt; 0.40 = out-of-scope (trigger defensive fallback). Pinecone index configured with metric='cosine'</w:t>
      </w:r>
      <w:r w:rsidRPr="009B3D6E">
        <w:rPr>
          <w:rFonts w:cs="Arial"/>
          <w:color w:val="auto"/>
          <w:sz w:val="24"/>
          <w:szCs w:val="24"/>
        </w:rPr>
        <w:t>.</w:t>
      </w:r>
    </w:p>
    <w:p w14:paraId="16C643FD" w14:textId="77777777" w:rsidR="0059518E" w:rsidRPr="009B3D6E" w:rsidRDefault="009B3D6E" w:rsidP="009B3D6E">
      <w:pPr>
        <w:keepNext/>
        <w:spacing w:before="320" w:line="480" w:lineRule="auto"/>
        <w:jc w:val="both"/>
        <w:rPr>
          <w:rFonts w:cs="Arial"/>
          <w:color w:val="auto"/>
          <w:sz w:val="24"/>
          <w:szCs w:val="24"/>
        </w:rPr>
      </w:pPr>
      <w:r w:rsidRPr="009B3D6E">
        <w:rPr>
          <w:rFonts w:cs="Arial"/>
          <w:b/>
          <w:color w:val="auto"/>
          <w:sz w:val="24"/>
          <w:szCs w:val="24"/>
        </w:rPr>
        <w:t>Success Criteria</w:t>
      </w:r>
    </w:p>
    <w:p w14:paraId="4F2B07A4" w14:textId="77777777" w:rsidR="0059518E" w:rsidRPr="009B3D6E" w:rsidRDefault="009B3D6E" w:rsidP="009B3D6E">
      <w:pPr>
        <w:pStyle w:val="ListBullet"/>
        <w:spacing w:after="40" w:line="480" w:lineRule="auto"/>
        <w:jc w:val="both"/>
        <w:rPr>
          <w:rFonts w:cs="Arial"/>
          <w:color w:val="auto"/>
          <w:sz w:val="24"/>
          <w:szCs w:val="24"/>
        </w:rPr>
      </w:pPr>
      <w:r w:rsidRPr="009B3D6E">
        <w:rPr>
          <w:rFonts w:cs="Arial"/>
          <w:color w:val="auto"/>
          <w:sz w:val="24"/>
          <w:szCs w:val="24"/>
        </w:rPr>
        <w:t>Prompt Compliance — All 3 prompts enforce strict grounding, mandatory citation, and defensive fallback on insufficient context.</w:t>
      </w:r>
    </w:p>
    <w:p w14:paraId="40D10A66" w14:textId="77777777" w:rsidR="0059518E" w:rsidRPr="009B3D6E" w:rsidRDefault="009B3D6E" w:rsidP="009B3D6E">
      <w:pPr>
        <w:pStyle w:val="ListBullet"/>
        <w:spacing w:after="40" w:line="480" w:lineRule="auto"/>
        <w:jc w:val="both"/>
        <w:rPr>
          <w:rFonts w:cs="Arial"/>
          <w:color w:val="auto"/>
          <w:sz w:val="24"/>
          <w:szCs w:val="24"/>
        </w:rPr>
      </w:pPr>
      <w:r w:rsidRPr="009B3D6E">
        <w:rPr>
          <w:rFonts w:cs="Arial"/>
          <w:color w:val="auto"/>
          <w:sz w:val="24"/>
          <w:szCs w:val="24"/>
        </w:rPr>
        <w:lastRenderedPageBreak/>
        <w:t>Retrieval Precision — Correct policy chunk ranks Top-1 across all 3 benchmark queries with cosine scores &gt; 0.</w:t>
      </w:r>
      <w:r w:rsidRPr="009B3D6E">
        <w:rPr>
          <w:rFonts w:cs="Arial"/>
          <w:color w:val="auto"/>
          <w:sz w:val="24"/>
          <w:szCs w:val="24"/>
        </w:rPr>
        <w:t>75.</w:t>
      </w:r>
    </w:p>
    <w:p w14:paraId="2E88D382" w14:textId="77777777" w:rsidR="0059518E" w:rsidRPr="009B3D6E" w:rsidRDefault="009B3D6E" w:rsidP="009B3D6E">
      <w:pPr>
        <w:pStyle w:val="ListBullet"/>
        <w:spacing w:after="40" w:line="480" w:lineRule="auto"/>
        <w:jc w:val="both"/>
        <w:rPr>
          <w:rFonts w:cs="Arial"/>
          <w:color w:val="auto"/>
          <w:sz w:val="24"/>
          <w:szCs w:val="24"/>
        </w:rPr>
      </w:pPr>
      <w:r w:rsidRPr="009B3D6E">
        <w:rPr>
          <w:rFonts w:cs="Arial"/>
          <w:color w:val="auto"/>
          <w:sz w:val="24"/>
          <w:szCs w:val="24"/>
        </w:rPr>
        <w:t>Anti-Hallucination — Demonstrated refusal of off-topic and trick questions across all 3 prompt tiers.</w:t>
      </w:r>
    </w:p>
    <w:p w14:paraId="5226DDA5" w14:textId="77777777" w:rsidR="0059518E" w:rsidRPr="009B3D6E" w:rsidRDefault="009B3D6E" w:rsidP="009B3D6E">
      <w:pPr>
        <w:pStyle w:val="ListBullet"/>
        <w:spacing w:after="40" w:line="480" w:lineRule="auto"/>
        <w:jc w:val="both"/>
        <w:rPr>
          <w:rFonts w:cs="Arial"/>
          <w:color w:val="auto"/>
          <w:sz w:val="24"/>
          <w:szCs w:val="24"/>
        </w:rPr>
      </w:pPr>
      <w:r w:rsidRPr="009B3D6E">
        <w:rPr>
          <w:rFonts w:cs="Arial"/>
          <w:color w:val="auto"/>
          <w:sz w:val="24"/>
          <w:szCs w:val="24"/>
        </w:rPr>
        <w:t>Live Application — Interactive chatbot successfully retrieves, filters, and synthesizes policy answers in real time.</w:t>
      </w:r>
    </w:p>
    <w:p w14:paraId="3811DE5B" w14:textId="77777777" w:rsidR="0059518E" w:rsidRPr="009B3D6E" w:rsidRDefault="009B3D6E" w:rsidP="009B3D6E">
      <w:pPr>
        <w:keepNext/>
        <w:spacing w:before="320" w:line="480" w:lineRule="auto"/>
        <w:rPr>
          <w:rFonts w:cs="Arial"/>
          <w:color w:val="auto"/>
          <w:sz w:val="24"/>
          <w:szCs w:val="24"/>
        </w:rPr>
      </w:pPr>
      <w:r w:rsidRPr="009B3D6E">
        <w:rPr>
          <w:rFonts w:cs="Arial"/>
          <w:b/>
          <w:color w:val="auto"/>
          <w:sz w:val="24"/>
          <w:szCs w:val="24"/>
        </w:rPr>
        <w:t>Works Cited</w:t>
      </w:r>
    </w:p>
    <w:p w14:paraId="208C139D"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t>1. GenAI Capstone Sem</w:t>
      </w:r>
      <w:r w:rsidRPr="009B3D6E">
        <w:rPr>
          <w:rFonts w:cs="Arial"/>
          <w:color w:val="auto"/>
          <w:sz w:val="24"/>
          <w:szCs w:val="24"/>
        </w:rPr>
        <w:t>ester Project Guide.docx.pdf, uploaded.</w:t>
      </w:r>
    </w:p>
    <w:p w14:paraId="38D93D9C"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t>2. Talibon Polytechnic College Student Handbook | PDF - Scribd, https://www.scribd.com/document/712840267/TPC-Student-Handbook-for-August22-2023-Orientation</w:t>
      </w:r>
    </w:p>
    <w:p w14:paraId="011D5FC5"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t xml:space="preserve">3. Municipality of Talibon. Ordinance No. 127, </w:t>
      </w:r>
      <w:r w:rsidRPr="009B3D6E">
        <w:rPr>
          <w:rFonts w:cs="Arial"/>
          <w:color w:val="auto"/>
          <w:sz w:val="24"/>
          <w:szCs w:val="24"/>
        </w:rPr>
        <w:t>https://talibon.gov.ph/wp-content/uploads/2026/02/127-Regulating-the-Establishment-Management-and-operation-of-apartments-boarding-houses-homestay-and-dormitories-near-the-TPC.pdf</w:t>
      </w:r>
    </w:p>
    <w:p w14:paraId="5EEFB0BA"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t>4. LGU Talibon. WELCOME BACK | TPC – 2ND SEMESTER AY 2025–2026, https://tali</w:t>
      </w:r>
      <w:r w:rsidRPr="009B3D6E">
        <w:rPr>
          <w:rFonts w:cs="Arial"/>
          <w:color w:val="auto"/>
          <w:sz w:val="24"/>
          <w:szCs w:val="24"/>
        </w:rPr>
        <w:t>bon.gov.ph/welcome-back-talibon-polytechnic-college-2nd-semester-ay-2025-2026/</w:t>
      </w:r>
    </w:p>
    <w:p w14:paraId="2C5BB733"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t xml:space="preserve">5. LGU Talibon. Calling all aspiring </w:t>
      </w:r>
      <w:proofErr w:type="gramStart"/>
      <w:r w:rsidRPr="009B3D6E">
        <w:rPr>
          <w:rFonts w:cs="Arial"/>
          <w:color w:val="auto"/>
          <w:sz w:val="24"/>
          <w:szCs w:val="24"/>
        </w:rPr>
        <w:t>Freshmen!,</w:t>
      </w:r>
      <w:proofErr w:type="gramEnd"/>
      <w:r w:rsidRPr="009B3D6E">
        <w:rPr>
          <w:rFonts w:cs="Arial"/>
          <w:color w:val="auto"/>
          <w:sz w:val="24"/>
          <w:szCs w:val="24"/>
        </w:rPr>
        <w:t xml:space="preserve"> https://talibon.gov.ph/calling-all-aspiring-freshmen/</w:t>
      </w:r>
    </w:p>
    <w:p w14:paraId="558FE67C"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t xml:space="preserve">6. TPC BSA Practicum Request | PDF - Scribd, </w:t>
      </w:r>
      <w:r w:rsidRPr="009B3D6E">
        <w:rPr>
          <w:rFonts w:cs="Arial"/>
          <w:color w:val="auto"/>
          <w:sz w:val="24"/>
          <w:szCs w:val="24"/>
        </w:rPr>
        <w:t>https://www.scribd.com/document/890815185/Updated-LOI-Ponce</w:t>
      </w:r>
    </w:p>
    <w:p w14:paraId="0C89FD6A"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lastRenderedPageBreak/>
        <w:t>7. PNP &amp; TPC. Collaborate to Strengthen Student Safety, https://talibon.gov.ph/pnp-and-talibon-polytechnic-college-collaborate-to-strengthen-student-safety/</w:t>
      </w:r>
    </w:p>
    <w:p w14:paraId="24CB813C"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t>8. Melendres, J. A. (2026). 2.Data Prep</w:t>
      </w:r>
      <w:r w:rsidRPr="009B3D6E">
        <w:rPr>
          <w:rFonts w:cs="Arial"/>
          <w:color w:val="auto"/>
          <w:sz w:val="24"/>
          <w:szCs w:val="24"/>
        </w:rPr>
        <w:t>rocessing and Embeddings.pdf, Course Notes.</w:t>
      </w:r>
    </w:p>
    <w:p w14:paraId="2E299757"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t>9. CHED. More Filipino students can avail free higher education with 27 newly CHED-recognized LUCs, https://legacy.ched.gov.ph/more-filipino-students-can-avail-free-higher-education-with-27-newly-ched-recognized-</w:t>
      </w:r>
      <w:r w:rsidRPr="009B3D6E">
        <w:rPr>
          <w:rFonts w:cs="Arial"/>
          <w:color w:val="auto"/>
          <w:sz w:val="24"/>
          <w:szCs w:val="24"/>
        </w:rPr>
        <w:t>lucs/</w:t>
      </w:r>
    </w:p>
    <w:p w14:paraId="0C9FB575"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t>10. GSIS. Subsidy for STEM (GSSP), https://www.gsis.gov.ph/ginhawa-for-all/gsis-subsidy-for-science-technology-engineering-and-mathematics-gssp/</w:t>
      </w:r>
    </w:p>
    <w:p w14:paraId="6600FC9A" w14:textId="77777777" w:rsidR="0059518E" w:rsidRPr="009B3D6E" w:rsidRDefault="009B3D6E" w:rsidP="009B3D6E">
      <w:pPr>
        <w:spacing w:after="40" w:line="480" w:lineRule="auto"/>
        <w:ind w:left="432"/>
        <w:rPr>
          <w:rFonts w:cs="Arial"/>
          <w:color w:val="auto"/>
          <w:sz w:val="24"/>
          <w:szCs w:val="24"/>
        </w:rPr>
      </w:pPr>
      <w:r w:rsidRPr="009B3D6E">
        <w:rPr>
          <w:rFonts w:cs="Arial"/>
          <w:color w:val="auto"/>
          <w:sz w:val="24"/>
          <w:szCs w:val="24"/>
        </w:rPr>
        <w:t>11. BAAI. (2023). bge-small-en-v1.5. Hugging Face, https://huggingface.co/BAAI/bge-small-en-v1.5</w:t>
      </w:r>
    </w:p>
    <w:sectPr w:rsidR="0059518E" w:rsidRPr="009B3D6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18E"/>
    <w:rsid w:val="009B3D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56B7F"/>
  <w14:defaultImageDpi w14:val="300"/>
  <w15:docId w15:val="{B334A8B9-A4A4-4493-9185-2731D02C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1154</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La Rosa</cp:lastModifiedBy>
  <cp:revision>2</cp:revision>
  <dcterms:created xsi:type="dcterms:W3CDTF">2013-12-23T23:15:00Z</dcterms:created>
  <dcterms:modified xsi:type="dcterms:W3CDTF">2026-08-28T08:39:00Z</dcterms:modified>
  <cp:category/>
</cp:coreProperties>
</file>