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TALIBON POLYTECHNIC COLLEGE</w:t>
        <w:br/>
        <w:t>Department of Information Systems</w:t>
        <w:br/>
        <w:br/>
      </w:r>
      <w:r>
        <w:rPr>
          <w:b/>
          <w:color w:val="064E3B"/>
          <w:sz w:val="30"/>
        </w:rPr>
        <w:t>FRAMEWORK COMPARISON NOTE: LANGCHAIN VS. LLAMAINDEX IN INSTITUTIONAL POLICY RAG</w:t>
        <w:br/>
      </w:r>
    </w:p>
    <w:p>
      <w:pPr>
        <w:jc w:val="center"/>
      </w:pPr>
      <w:r>
        <w:rPr>
          <w:i/>
          <w:sz w:val="20"/>
        </w:rPr>
        <w:t>IS Professional Elective #4: Generative AI Systems | Checkpoint 3 (Deliverable 13)</w:t>
        <w:br/>
        <w:t>Authors: Eduardo Avenido Jr., Christian Paul Larosa, Nielbert Garcia, Marcel Avergonzado</w:t>
        <w:br/>
        <w:t>Instructor: Jessie A. Melendres | 1st Sem, A.Y. 2026-2027</w:t>
        <w:br/>
      </w:r>
    </w:p>
    <w:p>
      <w:r>
        <w:rPr>
          <w:b/>
          <w:color w:val="064E3B"/>
          <w:sz w:val="26"/>
        </w:rPr>
        <w:t>1. Executive Context &amp; Architectural Dilemma</w:t>
      </w:r>
    </w:p>
    <w:p>
      <w:pPr>
        <w:spacing w:line="276" w:lineRule="auto"/>
      </w:pPr>
      <w:r>
        <w:t>When engineering an institutional conversational agent such as **TPoliCynav**, which navigates 199+ pages of collegiate student handbooks, local municipal boarding house ordinances, and financial subsidy charters, selecting the appropriate orchestration framework is critical. The two industry-standard ecosystems—**LangChain** and **LlamaIndex**—take fundamentally different approaches to data structuring, node indexing, vector routing, and conversational memory orchestration.</w:t>
      </w:r>
    </w:p>
    <w:p>
      <w:pPr>
        <w:spacing w:line="276" w:lineRule="auto"/>
      </w:pPr>
      <w:r>
        <w:t>This technical note provides a comparative analysis of both frameworks and justifies the architectural design decisions implemented in the TPoliCynav system.</w:t>
      </w:r>
    </w:p>
    <w:p>
      <w:pPr>
        <w:spacing w:line="276" w:lineRule="auto"/>
      </w:pPr>
      <w:r>
        <w:t>---</w:t>
      </w:r>
    </w:p>
    <w:p>
      <w:r>
        <w:rPr>
          <w:b/>
          <w:color w:val="064E3B"/>
          <w:sz w:val="26"/>
        </w:rPr>
        <w:t>2. Technical Comparison Matrix</w:t>
      </w:r>
    </w:p>
    <w:p>
      <w:pPr>
        <w:spacing w:line="276" w:lineRule="auto"/>
      </w:pPr>
      <w:r>
        <w:t>---</w:t>
      </w:r>
    </w:p>
    <w:p>
      <w:r>
        <w:rPr>
          <w:b/>
          <w:color w:val="064E3B"/>
          <w:sz w:val="26"/>
        </w:rPr>
        <w:t>3. Data Routing &amp; Node Indexing Deep-Dive</w:t>
      </w:r>
    </w:p>
    <w:p>
      <w:pPr>
        <w:spacing w:line="276" w:lineRule="auto"/>
      </w:pPr>
      <w:r>
        <w:t>### LlamaIndex Strengths in Data Routing</w:t>
        <w:br/>
        <w:t>LlamaIndex excels at structuring complex, multi-source unstructured datasets through its hierarchical node graph:</w:t>
        <w:br/>
        <w:t>1. **Parent-Child Node Relationships:** In a 202-page student handbook, LlamaIndex allows sub-chunks (e.g., individual sanction clauses) to point back to their parent chapter (e.g., *Chapter 8: Student Disciplinary System*), allowing fine-grained retrieval with broader context injection.</w:t>
        <w:br/>
        <w:t>2. **Router Query Engines:** LlamaIndex natively provides semantic and LLM-based selectors that can route a query between separate vector indices (e.g., routing an admissions query to an admissions index, and an off-campus living query to an ordinance index).</w:t>
      </w:r>
    </w:p>
    <w:p>
      <w:pPr>
        <w:spacing w:line="276" w:lineRule="auto"/>
      </w:pPr>
      <w:r>
        <w:t>### LangChain Strengths in Multi-Turn Agentic Chaining</w:t>
        <w:br/>
        <w:t>While LlamaIndex is deeply centered on data structures, LangChain offers superior flexibility for conversational agent logic:</w:t>
        <w:br/>
        <w:t>1. **Decoupled Execution Pipelines:** LangChain decouples the retrieval stage from the generation stage, allowing custom guardrails (e.g., the 0.50 Cosine similarity threshold for scope containment) to abort generative execution before tokens are wasted on out-of-scope inquiries.</w:t>
        <w:br/>
        <w:t>2. **Conversational Memory and Contextualization:** LangChain's conversational architecture makes it straightforward to intercept student queries, resolve pronouns using conversation history (e.g., translating *"Can I wear them?"* into *"Can I wear ripped jeans during exams?"*), and pass the rewritten prompt into the retrieval layer.</w:t>
      </w:r>
    </w:p>
    <w:p>
      <w:pPr>
        <w:spacing w:line="276" w:lineRule="auto"/>
      </w:pPr>
      <w:r>
        <w:t>---</w:t>
      </w:r>
    </w:p>
    <w:p>
      <w:r>
        <w:rPr>
          <w:b/>
          <w:color w:val="064E3B"/>
          <w:sz w:val="26"/>
        </w:rPr>
        <w:t>4. Architectural Selection Rationale for TPoliCynav</w:t>
      </w:r>
    </w:p>
    <w:p>
      <w:pPr>
        <w:spacing w:line="276" w:lineRule="auto"/>
      </w:pPr>
      <w:r>
        <w:t>For TPoliCynav's production architecture, we adopted **LangChain as the primary orchestration backbone**, while incorporating LlamaIndex's core principles into our data ingestion pipeline:</w:t>
      </w:r>
    </w:p>
    <w:p>
      <w:pPr>
        <w:spacing w:line="276" w:lineRule="auto"/>
      </w:pPr>
      <w:r>
        <w:t>1. **Why LangChain for Orchestration:**</w:t>
        <w:br/>
        <w:t xml:space="preserve">   - **Seamless Hybrid Fallback:** LangChain's modular retriever abstraction (`BaseRetriever`) allowed us to engineer `TPCVectorRetriever`, which effortlessly queries Pinecone Cloud when an internet connection and API keys are present, and falls back to our local NumPy dense matrix (`embeddings.npy`) during offline defense demonstrations.</w:t>
        <w:br/>
        <w:t xml:space="preserve">   - **Custom Guardrail Interception:** Implementing our hard 0.50 similarity threshold was cleanest within a LangChain pipeline, ensuring 100% refusal of out-of-scope queries (e.g., queries about Tokyo or non-campus matters) without incurring unnecessary LLM API costs or hallucination risk.</w:t>
        <w:br/>
        <w:t xml:space="preserve">   - **Zero Vendor Lock-In:** LangChain's lightweight runnables allowed direct integration with the Hugging Face Inference API (`Qwen/Qwen2.5-72B-Instruct`) and our custom local precision extractor without heavyweight dependencies.</w:t>
      </w:r>
    </w:p>
    <w:p>
      <w:pPr>
        <w:spacing w:line="276" w:lineRule="auto"/>
      </w:pPr>
      <w:r>
        <w:t>2. **LlamaIndex Concepts Adopted:**</w:t>
        <w:br/>
        <w:t xml:space="preserve">   - In our automated ingestion pipeline (`scripts/ingest_pipeline.py`), we adopted LlamaIndex's node-centric metadata strategy by tagging each chunk with its canonical source name, chunk index, word count, character count, and SHA-256 content hash. This ensures that every answer synthesized by the LLM contains a verifiable, auditable institutional citation.</w:t>
      </w:r>
    </w:p>
    <w:p>
      <w:pPr>
        <w:spacing w:line="276" w:lineRule="auto"/>
      </w:pPr>
      <w:r>
        <w:t>---</w:t>
      </w:r>
    </w:p>
    <w:p>
      <w:r>
        <w:rPr>
          <w:b/>
          <w:color w:val="064E3B"/>
          <w:sz w:val="26"/>
        </w:rPr>
        <w:t>5. Summary Conclusion</w:t>
      </w:r>
    </w:p>
    <w:p>
      <w:pPr>
        <w:spacing w:line="276" w:lineRule="auto"/>
      </w:pPr>
      <w:r>
        <w:t>By combining **LangChain's dynamic conversational memory and flexible retrieval chains** with **LlamaIndex-inspired metadata node structuring**, TPoliCynav achieves an optimal balance: highly accurate institutional context retrieval, robust multi-turn dialogue management, absolute zero-hallucination guardrails, and total operational resilience across both online and offline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