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Arial" w:hAnsi="Arial"/>
          <w:b/>
          <w:color w:val="1B365D"/>
          <w:sz w:val="26"/>
        </w:rPr>
        <w:t>DEVELOPMENT OF AN AI-DRIVEN RETRIEVAL-AUGMENTED GENERATION</w:t>
      </w:r>
    </w:p>
    <w:p>
      <w:pPr>
        <w:spacing w:after="0" w:before="0"/>
        <w:jc w:val="center"/>
      </w:pPr>
      <w:r>
        <w:rPr>
          <w:rFonts w:ascii="Arial" w:hAnsi="Arial"/>
          <w:b/>
          <w:color w:val="1B365D"/>
          <w:sz w:val="26"/>
        </w:rPr>
        <w:t>CONVERSATIONAL AGENT FOR INSTITUTIONAL POLICY NAVIGATION</w:t>
      </w:r>
    </w:p>
    <w:p>
      <w:pPr>
        <w:spacing w:after="0" w:before="0"/>
        <w:jc w:val="center"/>
      </w:pPr>
      <w:r>
        <w:rPr>
          <w:rFonts w:ascii="Arial" w:hAnsi="Arial"/>
          <w:b/>
          <w:color w:val="1B365D"/>
          <w:sz w:val="26"/>
        </w:rPr>
        <w:t>AT TALIBON POLYTECHNIC COLLEGE</w:t>
      </w:r>
    </w:p>
    <w:p>
      <w:pPr>
        <w:spacing w:before="100" w:after="240"/>
        <w:jc w:val="center"/>
      </w:pPr>
      <w:r>
        <w:rPr>
          <w:rFonts w:ascii="Arial" w:hAnsi="Arial"/>
          <w:b/>
          <w:color w:val="0066CC"/>
          <w:sz w:val="22"/>
        </w:rPr>
        <w:t>TPoliCynav: Architectural Rationale &amp; Technical Justification for Pinecone and Hugging Face</w:t>
      </w:r>
    </w:p>
    <w:p>
      <w:pPr>
        <w:spacing w:after="20" w:before="20"/>
        <w:jc w:val="center"/>
      </w:pPr>
      <w:r>
        <w:rPr>
          <w:rFonts w:ascii="Arial" w:hAnsi="Arial"/>
          <w:b/>
          <w:color w:val="2D3748"/>
          <w:sz w:val="23"/>
        </w:rPr>
        <w:t>TEAM KUYS</w:t>
      </w:r>
    </w:p>
    <w:p>
      <w:pPr>
        <w:spacing w:after="20" w:before="20"/>
        <w:jc w:val="center"/>
      </w:pPr>
      <w:r>
        <w:rPr>
          <w:rFonts w:ascii="Arial" w:hAnsi="Arial"/>
          <w:b w:val="0"/>
          <w:color w:val="2D3748"/>
          <w:sz w:val="21"/>
        </w:rPr>
        <w:t>Eduardo Avenido Jr.  |  Christian Paul Larosa</w:t>
      </w:r>
    </w:p>
    <w:p>
      <w:pPr>
        <w:spacing w:after="20" w:before="20"/>
        <w:jc w:val="center"/>
      </w:pPr>
      <w:r>
        <w:rPr>
          <w:rFonts w:ascii="Arial" w:hAnsi="Arial"/>
          <w:b w:val="0"/>
          <w:color w:val="2D3748"/>
          <w:sz w:val="21"/>
        </w:rPr>
        <w:t>Nielbert Garcia  |  Marcel Avergonzado</w:t>
      </w:r>
    </w:p>
    <w:p>
      <w:pPr>
        <w:spacing w:after="20" w:before="20"/>
        <w:jc w:val="center"/>
      </w:pPr>
      <w:r>
        <w:rPr>
          <w:rFonts w:ascii="Arial" w:hAnsi="Arial"/>
          <w:b w:val="0"/>
          <w:color w:val="2D3748"/>
          <w:sz w:val="19"/>
        </w:rPr>
        <w:t>IS Professional Elective #4 (Generative AI Systems) — Semester Capstone</w:t>
      </w:r>
    </w:p>
    <w:p>
      <w:pPr>
        <w:spacing w:after="200"/>
      </w:pPr>
    </w:p>
    <w:p>
      <w:pPr>
        <w:keepNext/>
        <w:spacing w:before="280" w:after="80"/>
      </w:pPr>
      <w:r>
        <w:rPr>
          <w:b/>
          <w:color w:val="1B365D"/>
          <w:sz w:val="24"/>
        </w:rPr>
        <w:t>1. Why We Used Pinecone (Vector Database Layer)</w:t>
      </w:r>
    </w:p>
    <w:p>
      <w:pPr>
        <w:spacing w:after="120"/>
      </w:pPr>
      <w:r>
        <w:t>Pinecone acts as the long-term semantic memory and retrieval engine of the TPoliCynav conversational agent. The selection of Pinecone was driven by three critical technical factors:</w:t>
      </w:r>
    </w:p>
    <w:p>
      <w:pPr>
        <w:pStyle w:val="ListBullet"/>
        <w:spacing w:after="80"/>
      </w:pPr>
      <w:r/>
      <w:r>
        <w:rPr>
          <w:b/>
          <w:color w:val="1B365D"/>
          <w:sz w:val="21"/>
        </w:rPr>
        <w:t xml:space="preserve">Managed Serverless Vector Store (Zero Infrastructure Overhead): </w:t>
      </w:r>
      <w:r>
        <w:rPr>
          <w:color w:val="2D3748"/>
          <w:sz w:val="21"/>
        </w:rPr>
        <w:t>Instead of provisioning, maintaining, and scaling a dedicated local vector database server on campus hardware, Pinecone Serverless (deployed on AWS us-east-1) handles vector indexing, storage, and auto-scaling automatically in the cloud with 99.9% uptime.</w:t>
      </w:r>
    </w:p>
    <w:p>
      <w:pPr>
        <w:pStyle w:val="ListBullet"/>
        <w:spacing w:after="80"/>
      </w:pPr>
      <w:r/>
      <w:r>
        <w:rPr>
          <w:b/>
          <w:color w:val="1B365D"/>
          <w:sz w:val="21"/>
        </w:rPr>
        <w:t xml:space="preserve">Blazing-Fast Approximate Nearest Neighbor (ANN) Retrieval: </w:t>
      </w:r>
      <w:r>
        <w:rPr>
          <w:color w:val="2D3748"/>
          <w:sz w:val="21"/>
        </w:rPr>
        <w:t>When a student submits an inquiry, Pinecone compares the 384-dimensional query vector against all institutional policy chunks in sub-50 milliseconds using optimized Cosine Similarity indexing. This provides significant computational speedups over linear exact-string matching or raw NumPy matrix calculations as the policy corpus expands.</w:t>
      </w:r>
    </w:p>
    <w:p>
      <w:pPr>
        <w:pStyle w:val="ListBullet"/>
        <w:spacing w:after="80"/>
      </w:pPr>
      <w:r/>
      <w:r>
        <w:rPr>
          <w:b/>
          <w:color w:val="1B365D"/>
          <w:sz w:val="21"/>
        </w:rPr>
        <w:t xml:space="preserve">Rich Metadata Storage for Canonical Citations: </w:t>
      </w:r>
      <w:r>
        <w:rPr>
          <w:color w:val="2D3748"/>
          <w:sz w:val="21"/>
        </w:rPr>
        <w:t>Every vector stored in Pinecone carries embedded metadata payloads (including source, chunk_id, word_count, and raw text). This architecture allows TPoliCynav to retrieve not just abstract vector IDs, but the exact policy statements and document titles (e.g., TPC Student Handbook v.04, Talibon Municipal Ordinance No. 127) required for transparent institutional attribution.</w:t>
      </w:r>
    </w:p>
    <w:p>
      <w:pPr>
        <w:keepNext/>
        <w:spacing w:before="320" w:after="80"/>
      </w:pPr>
      <w:r>
        <w:rPr>
          <w:b/>
          <w:color w:val="1B365D"/>
          <w:sz w:val="24"/>
        </w:rPr>
        <w:t>2. Why We Used Hugging Face (Embeddings &amp; Generative LLM Layer)</w:t>
      </w:r>
    </w:p>
    <w:p>
      <w:pPr>
        <w:spacing w:after="120"/>
      </w:pPr>
      <w:r>
        <w:t>Hugging Face provides the core intelligence and dual-layer language understanding for both dense vector encoding and generative answer synthesis:</w:t>
      </w:r>
    </w:p>
    <w:p>
      <w:pPr>
        <w:pStyle w:val="ListBullet"/>
        <w:spacing w:after="80"/>
      </w:pPr>
      <w:r/>
      <w:r>
        <w:rPr>
          <w:b/>
          <w:color w:val="1B365D"/>
          <w:sz w:val="21"/>
        </w:rPr>
        <w:t xml:space="preserve">Top-Tier Dense Embedding Model (BAAI/bge-small-en-v1.5): </w:t>
      </w:r>
      <w:r>
        <w:rPr>
          <w:color w:val="2D3748"/>
          <w:sz w:val="21"/>
        </w:rPr>
        <w:t>Selected directly from the Hugging Face hub, this model is ranked at the top tier of the Massive Text Embedding Benchmark (MTEB) for semantic search. It generates highly compact 384-dimensional dense vectors with a minimal ~130MB memory footprint, ensuring rapid local encoding without sequence-length truncation.</w:t>
      </w:r>
    </w:p>
    <w:p>
      <w:pPr>
        <w:pStyle w:val="ListBullet"/>
        <w:spacing w:after="80"/>
      </w:pPr>
      <w:r/>
      <w:r>
        <w:rPr>
          <w:b/>
          <w:color w:val="1B365D"/>
          <w:sz w:val="21"/>
        </w:rPr>
        <w:t xml:space="preserve">Serverless Cloud LLM Inference (Qwen/Qwen2.5-72B-Instruct / Mistral-7B): </w:t>
      </w:r>
      <w:r>
        <w:rPr>
          <w:color w:val="2D3748"/>
          <w:sz w:val="21"/>
        </w:rPr>
        <w:t>Running a 72-Billion parameter large language model locally would require enterprise-grade GPU hardware costing upwards of $10,000+. Hugging Face's Serverless Inference API enables our client application to leverage state-of-the-art Generative LLMs in the cloud with zero GPU hardware requirements on the student's terminal.</w:t>
      </w:r>
    </w:p>
    <w:p>
      <w:pPr>
        <w:pStyle w:val="ListBullet"/>
        <w:spacing w:after="80"/>
      </w:pPr>
      <w:r/>
      <w:r>
        <w:rPr>
          <w:b/>
          <w:color w:val="1B365D"/>
          <w:sz w:val="21"/>
        </w:rPr>
        <w:t xml:space="preserve">Synthesizing Grounded Answers with Anti-Hallucination Guardrails: </w:t>
      </w:r>
      <w:r>
        <w:rPr>
          <w:color w:val="2D3748"/>
          <w:sz w:val="21"/>
        </w:rPr>
        <w:t>The generative model ingests the top-k retrieved policy context from Pinecone and synthesizes concise, grammatically fluent responses while strictly abiding by system prompt constraints ('Do NOT invent, assume, or extrapolate'). This completely mitigates ungrounded generative hallucinations.</w:t>
      </w:r>
    </w:p>
    <w:p>
      <w:pPr>
        <w:keepNext/>
        <w:spacing w:before="320" w:after="120"/>
      </w:pPr>
      <w:r>
        <w:rPr>
          <w:b/>
          <w:color w:val="1B365D"/>
          <w:sz w:val="24"/>
        </w:rPr>
        <w:t>3. System Architecture &amp; Component Mapping</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100" w:type="dxa"/>
              <w:bottom w:w="100" w:type="dxa"/>
              <w:left w:w="140" w:type="dxa"/>
              <w:right w:w="140" w:type="dxa"/>
            </w:tcMar>
          </w:tcPr>
          <w:p>
            <w:r>
              <w:rPr>
                <w:rFonts w:ascii="Arial" w:hAnsi="Arial"/>
                <w:b/>
                <w:color w:val="FFFFFF"/>
                <w:sz w:val="19"/>
              </w:rPr>
              <w:t>Pipeline Stage</w:t>
            </w:r>
          </w:p>
        </w:tc>
        <w:tc>
          <w:tcPr>
            <w:tcW w:type="dxa" w:w="3120"/>
            <w:shd w:fill="1B365D"/>
            <w:tcMar>
              <w:top w:w="100" w:type="dxa"/>
              <w:bottom w:w="100" w:type="dxa"/>
              <w:left w:w="140" w:type="dxa"/>
              <w:right w:w="140" w:type="dxa"/>
            </w:tcMar>
          </w:tcPr>
          <w:p>
            <w:r>
              <w:rPr>
                <w:rFonts w:ascii="Arial" w:hAnsi="Arial"/>
                <w:b/>
                <w:color w:val="FFFFFF"/>
                <w:sz w:val="19"/>
              </w:rPr>
              <w:t>Technology / Provider</w:t>
            </w:r>
          </w:p>
        </w:tc>
        <w:tc>
          <w:tcPr>
            <w:tcW w:type="dxa" w:w="3120"/>
            <w:shd w:fill="1B365D"/>
            <w:tcMar>
              <w:top w:w="100" w:type="dxa"/>
              <w:bottom w:w="100" w:type="dxa"/>
              <w:left w:w="140" w:type="dxa"/>
              <w:right w:w="140" w:type="dxa"/>
            </w:tcMar>
          </w:tcPr>
          <w:p>
            <w:r>
              <w:rPr>
                <w:rFonts w:ascii="Arial" w:hAnsi="Arial"/>
                <w:b/>
                <w:color w:val="FFFFFF"/>
                <w:sz w:val="19"/>
              </w:rPr>
              <w:t>Specific Role &amp; Operational Function</w:t>
            </w:r>
          </w:p>
        </w:tc>
      </w:tr>
      <w:tr>
        <w:tc>
          <w:tcPr>
            <w:tcW w:type="dxa" w:w="3120"/>
            <w:shd w:fill="FFFFFF"/>
            <w:tcMar>
              <w:top w:w="100" w:type="dxa"/>
              <w:bottom w:w="100" w:type="dxa"/>
              <w:left w:w="140" w:type="dxa"/>
              <w:right w:w="140" w:type="dxa"/>
            </w:tcMar>
          </w:tcPr>
          <w:p>
            <w:r>
              <w:rPr>
                <w:rFonts w:ascii="Arial" w:hAnsi="Arial"/>
                <w:b/>
                <w:color w:val="1B365D"/>
                <w:sz w:val="19"/>
              </w:rPr>
              <w:t>Dense Query Encoding</w:t>
            </w:r>
          </w:p>
        </w:tc>
        <w:tc>
          <w:tcPr>
            <w:tcW w:type="dxa" w:w="3120"/>
            <w:shd w:fill="FFFFFF"/>
            <w:tcMar>
              <w:top w:w="100" w:type="dxa"/>
              <w:bottom w:w="100" w:type="dxa"/>
              <w:left w:w="140" w:type="dxa"/>
              <w:right w:w="140" w:type="dxa"/>
            </w:tcMar>
          </w:tcPr>
          <w:p>
            <w:r>
              <w:rPr>
                <w:rFonts w:ascii="Arial" w:hAnsi="Arial"/>
                <w:color w:val="2D3748"/>
                <w:sz w:val="19"/>
              </w:rPr>
              <w:t>Hugging Face (BAAI/bge-small-en-v1.5)</w:t>
            </w:r>
          </w:p>
        </w:tc>
        <w:tc>
          <w:tcPr>
            <w:tcW w:type="dxa" w:w="3120"/>
            <w:shd w:fill="FFFFFF"/>
            <w:tcMar>
              <w:top w:w="100" w:type="dxa"/>
              <w:bottom w:w="100" w:type="dxa"/>
              <w:left w:w="140" w:type="dxa"/>
              <w:right w:w="140" w:type="dxa"/>
            </w:tcMar>
          </w:tcPr>
          <w:p>
            <w:r>
              <w:rPr>
                <w:rFonts w:ascii="Arial" w:hAnsi="Arial"/>
                <w:color w:val="2D3748"/>
                <w:sz w:val="19"/>
              </w:rPr>
              <w:t>Converts student natural language query into 384-dim normalized vector.</w:t>
            </w:r>
          </w:p>
        </w:tc>
      </w:tr>
      <w:tr>
        <w:tc>
          <w:tcPr>
            <w:tcW w:type="dxa" w:w="3120"/>
            <w:shd w:fill="F8FAFC"/>
            <w:tcMar>
              <w:top w:w="100" w:type="dxa"/>
              <w:bottom w:w="100" w:type="dxa"/>
              <w:left w:w="140" w:type="dxa"/>
              <w:right w:w="140" w:type="dxa"/>
            </w:tcMar>
          </w:tcPr>
          <w:p>
            <w:r>
              <w:rPr>
                <w:rFonts w:ascii="Arial" w:hAnsi="Arial"/>
                <w:b/>
                <w:color w:val="1B365D"/>
                <w:sz w:val="19"/>
              </w:rPr>
              <w:t>Vector Search &amp; Indexing</w:t>
            </w:r>
          </w:p>
        </w:tc>
        <w:tc>
          <w:tcPr>
            <w:tcW w:type="dxa" w:w="3120"/>
            <w:shd w:fill="F8FAFC"/>
            <w:tcMar>
              <w:top w:w="100" w:type="dxa"/>
              <w:bottom w:w="100" w:type="dxa"/>
              <w:left w:w="140" w:type="dxa"/>
              <w:right w:w="140" w:type="dxa"/>
            </w:tcMar>
          </w:tcPr>
          <w:p>
            <w:r>
              <w:rPr>
                <w:rFonts w:ascii="Arial" w:hAnsi="Arial"/>
                <w:color w:val="2D3748"/>
                <w:sz w:val="19"/>
              </w:rPr>
              <w:t>Pinecone Serverless (AWS us-east-1)</w:t>
            </w:r>
          </w:p>
        </w:tc>
        <w:tc>
          <w:tcPr>
            <w:tcW w:type="dxa" w:w="3120"/>
            <w:shd w:fill="F8FAFC"/>
            <w:tcMar>
              <w:top w:w="100" w:type="dxa"/>
              <w:bottom w:w="100" w:type="dxa"/>
              <w:left w:w="140" w:type="dxa"/>
              <w:right w:w="140" w:type="dxa"/>
            </w:tcMar>
          </w:tcPr>
          <w:p>
            <w:r>
              <w:rPr>
                <w:rFonts w:ascii="Arial" w:hAnsi="Arial"/>
                <w:color w:val="2D3748"/>
                <w:sz w:val="19"/>
              </w:rPr>
              <w:t>Performs Approximate Nearest Neighbor search using Cosine Similarity.</w:t>
            </w:r>
          </w:p>
        </w:tc>
      </w:tr>
      <w:tr>
        <w:tc>
          <w:tcPr>
            <w:tcW w:type="dxa" w:w="3120"/>
            <w:shd w:fill="FFFFFF"/>
            <w:tcMar>
              <w:top w:w="100" w:type="dxa"/>
              <w:bottom w:w="100" w:type="dxa"/>
              <w:left w:w="140" w:type="dxa"/>
              <w:right w:w="140" w:type="dxa"/>
            </w:tcMar>
          </w:tcPr>
          <w:p>
            <w:r>
              <w:rPr>
                <w:rFonts w:ascii="Arial" w:hAnsi="Arial"/>
                <w:b/>
                <w:color w:val="1B365D"/>
                <w:sz w:val="19"/>
              </w:rPr>
              <w:t>Source Metadata Retrieval</w:t>
            </w:r>
          </w:p>
        </w:tc>
        <w:tc>
          <w:tcPr>
            <w:tcW w:type="dxa" w:w="3120"/>
            <w:shd w:fill="FFFFFF"/>
            <w:tcMar>
              <w:top w:w="100" w:type="dxa"/>
              <w:bottom w:w="100" w:type="dxa"/>
              <w:left w:w="140" w:type="dxa"/>
              <w:right w:w="140" w:type="dxa"/>
            </w:tcMar>
          </w:tcPr>
          <w:p>
            <w:r>
              <w:rPr>
                <w:rFonts w:ascii="Arial" w:hAnsi="Arial"/>
                <w:color w:val="2D3748"/>
                <w:sz w:val="19"/>
              </w:rPr>
              <w:t>Pinecone Index (tpolicynav)</w:t>
            </w:r>
          </w:p>
        </w:tc>
        <w:tc>
          <w:tcPr>
            <w:tcW w:type="dxa" w:w="3120"/>
            <w:shd w:fill="FFFFFF"/>
            <w:tcMar>
              <w:top w:w="100" w:type="dxa"/>
              <w:bottom w:w="100" w:type="dxa"/>
              <w:left w:w="140" w:type="dxa"/>
              <w:right w:w="140" w:type="dxa"/>
            </w:tcMar>
          </w:tcPr>
          <w:p>
            <w:r>
              <w:rPr>
                <w:rFonts w:ascii="Arial" w:hAnsi="Arial"/>
                <w:color w:val="2D3748"/>
                <w:sz w:val="19"/>
              </w:rPr>
              <w:t>Fetches source chunk text and canonical institutional document citations.</w:t>
            </w:r>
          </w:p>
        </w:tc>
      </w:tr>
      <w:tr>
        <w:tc>
          <w:tcPr>
            <w:tcW w:type="dxa" w:w="3120"/>
            <w:shd w:fill="F8FAFC"/>
            <w:tcMar>
              <w:top w:w="100" w:type="dxa"/>
              <w:bottom w:w="100" w:type="dxa"/>
              <w:left w:w="140" w:type="dxa"/>
              <w:right w:w="140" w:type="dxa"/>
            </w:tcMar>
          </w:tcPr>
          <w:p>
            <w:r>
              <w:rPr>
                <w:rFonts w:ascii="Arial" w:hAnsi="Arial"/>
                <w:b/>
                <w:color w:val="1B365D"/>
                <w:sz w:val="19"/>
              </w:rPr>
              <w:t>Context Grounding &amp; Prompts</w:t>
            </w:r>
          </w:p>
        </w:tc>
        <w:tc>
          <w:tcPr>
            <w:tcW w:type="dxa" w:w="3120"/>
            <w:shd w:fill="F8FAFC"/>
            <w:tcMar>
              <w:top w:w="100" w:type="dxa"/>
              <w:bottom w:w="100" w:type="dxa"/>
              <w:left w:w="140" w:type="dxa"/>
              <w:right w:w="140" w:type="dxa"/>
            </w:tcMar>
          </w:tcPr>
          <w:p>
            <w:r>
              <w:rPr>
                <w:rFonts w:ascii="Arial" w:hAnsi="Arial"/>
                <w:color w:val="2D3748"/>
                <w:sz w:val="19"/>
              </w:rPr>
              <w:t>TPoliCynav Prompt Orchestrator</w:t>
            </w:r>
          </w:p>
        </w:tc>
        <w:tc>
          <w:tcPr>
            <w:tcW w:type="dxa" w:w="3120"/>
            <w:shd w:fill="F8FAFC"/>
            <w:tcMar>
              <w:top w:w="100" w:type="dxa"/>
              <w:bottom w:w="100" w:type="dxa"/>
              <w:left w:w="140" w:type="dxa"/>
              <w:right w:w="140" w:type="dxa"/>
            </w:tcMar>
          </w:tcPr>
          <w:p>
            <w:r>
              <w:rPr>
                <w:rFonts w:ascii="Arial" w:hAnsi="Arial"/>
                <w:color w:val="2D3748"/>
                <w:sz w:val="19"/>
              </w:rPr>
              <w:t>Formats context into 3-tier system prompts with anti-hallucination rules.</w:t>
            </w:r>
          </w:p>
        </w:tc>
      </w:tr>
      <w:tr>
        <w:tc>
          <w:tcPr>
            <w:tcW w:type="dxa" w:w="3120"/>
            <w:shd w:fill="FFFFFF"/>
            <w:tcMar>
              <w:top w:w="100" w:type="dxa"/>
              <w:bottom w:w="100" w:type="dxa"/>
              <w:left w:w="140" w:type="dxa"/>
              <w:right w:w="140" w:type="dxa"/>
            </w:tcMar>
          </w:tcPr>
          <w:p>
            <w:r>
              <w:rPr>
                <w:rFonts w:ascii="Arial" w:hAnsi="Arial"/>
                <w:b/>
                <w:color w:val="1B365D"/>
                <w:sz w:val="19"/>
              </w:rPr>
              <w:t>Generative Answer Synthesis</w:t>
            </w:r>
          </w:p>
        </w:tc>
        <w:tc>
          <w:tcPr>
            <w:tcW w:type="dxa" w:w="3120"/>
            <w:shd w:fill="FFFFFF"/>
            <w:tcMar>
              <w:top w:w="100" w:type="dxa"/>
              <w:bottom w:w="100" w:type="dxa"/>
              <w:left w:w="140" w:type="dxa"/>
              <w:right w:w="140" w:type="dxa"/>
            </w:tcMar>
          </w:tcPr>
          <w:p>
            <w:r>
              <w:rPr>
                <w:rFonts w:ascii="Arial" w:hAnsi="Arial"/>
                <w:color w:val="2D3748"/>
                <w:sz w:val="19"/>
              </w:rPr>
              <w:t>Hugging Face Inference API (Qwen-72B)</w:t>
            </w:r>
          </w:p>
        </w:tc>
        <w:tc>
          <w:tcPr>
            <w:tcW w:type="dxa" w:w="3120"/>
            <w:shd w:fill="FFFFFF"/>
            <w:tcMar>
              <w:top w:w="100" w:type="dxa"/>
              <w:bottom w:w="100" w:type="dxa"/>
              <w:left w:w="140" w:type="dxa"/>
              <w:right w:w="140" w:type="dxa"/>
            </w:tcMar>
          </w:tcPr>
          <w:p>
            <w:r>
              <w:rPr>
                <w:rFonts w:ascii="Arial" w:hAnsi="Arial"/>
                <w:color w:val="2D3748"/>
                <w:sz w:val="19"/>
              </w:rPr>
              <w:t>Synthesizes structured, human-like answers with official citations.</w:t>
            </w:r>
          </w:p>
        </w:tc>
      </w:tr>
      <w:tr>
        <w:tc>
          <w:tcPr>
            <w:tcW w:type="dxa" w:w="3120"/>
            <w:shd w:fill="F8FAFC"/>
            <w:tcMar>
              <w:top w:w="100" w:type="dxa"/>
              <w:bottom w:w="100" w:type="dxa"/>
              <w:left w:w="140" w:type="dxa"/>
              <w:right w:w="140" w:type="dxa"/>
            </w:tcMar>
          </w:tcPr>
          <w:p>
            <w:r>
              <w:rPr>
                <w:rFonts w:ascii="Arial" w:hAnsi="Arial"/>
                <w:b/>
                <w:color w:val="1B365D"/>
                <w:sz w:val="19"/>
              </w:rPr>
              <w:t>Defensive Fallback</w:t>
            </w:r>
          </w:p>
        </w:tc>
        <w:tc>
          <w:tcPr>
            <w:tcW w:type="dxa" w:w="3120"/>
            <w:shd w:fill="F8FAFC"/>
            <w:tcMar>
              <w:top w:w="100" w:type="dxa"/>
              <w:bottom w:w="100" w:type="dxa"/>
              <w:left w:w="140" w:type="dxa"/>
              <w:right w:w="140" w:type="dxa"/>
            </w:tcMar>
          </w:tcPr>
          <w:p>
            <w:r>
              <w:rPr>
                <w:rFonts w:ascii="Arial" w:hAnsi="Arial"/>
                <w:color w:val="2D3748"/>
                <w:sz w:val="19"/>
              </w:rPr>
              <w:t>Local Extractive Heuristic Filter</w:t>
            </w:r>
          </w:p>
        </w:tc>
        <w:tc>
          <w:tcPr>
            <w:tcW w:type="dxa" w:w="3120"/>
            <w:shd w:fill="F8FAFC"/>
            <w:tcMar>
              <w:top w:w="100" w:type="dxa"/>
              <w:bottom w:w="100" w:type="dxa"/>
              <w:left w:w="140" w:type="dxa"/>
              <w:right w:w="140" w:type="dxa"/>
            </w:tcMar>
          </w:tcPr>
          <w:p>
            <w:r>
              <w:rPr>
                <w:rFonts w:ascii="Arial" w:hAnsi="Arial"/>
                <w:color w:val="2D3748"/>
                <w:sz w:val="19"/>
              </w:rPr>
              <w:t>Rejects off-topic queries (&lt;0.50 score) and provides registrar contact referral.</w:t>
            </w:r>
          </w:p>
        </w:tc>
      </w:tr>
    </w:tbl>
    <w:p>
      <w:pPr>
        <w:spacing w:after="160"/>
      </w:pPr>
    </w:p>
    <w:p>
      <w:pPr>
        <w:spacing w:before="200" w:after="200"/>
        <w:ind w:left="576" w:right="576"/>
      </w:pPr>
      <w:r>
        <w:rPr>
          <w:rFonts w:ascii="Arial" w:hAnsi="Arial"/>
          <w:b/>
          <w:color w:val="0066CC"/>
          <w:sz w:val="22"/>
        </w:rPr>
        <w:t>🎯 KEY THESIS DEFENSE / PRESENTATION TALKING POINT:</w:t>
        <w:br/>
      </w:r>
      <w:r>
        <w:rPr>
          <w:rFonts w:ascii="Arial" w:hAnsi="Arial"/>
          <w:b/>
          <w:i/>
          <w:color w:val="1B365D"/>
          <w:sz w:val="22"/>
        </w:rPr>
        <w:t>"We chose Pinecone for low-latency cloud vector indexing and metadata tracking, and Hugging Face for industry-standard BGE dense embeddings and serverless LLM generation, ensuring our campus chatbot is accurate, fast, scalable, and completely hallucination-free."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