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B365D"/>
          <w:sz w:val="40"/>
        </w:rPr>
        <w:t>TPoliCynav: Presentation Slide Explanations</w:t>
      </w:r>
    </w:p>
    <w:p>
      <w:pPr>
        <w:spacing w:after="280"/>
      </w:pPr>
      <w:r>
        <w:rPr>
          <w:rFonts w:ascii="Arial" w:hAnsi="Arial"/>
          <w:i/>
          <w:color w:val="2D3748"/>
          <w:sz w:val="22"/>
        </w:rPr>
        <w:t>Speaker Notes &amp; Defense Guide | IS Professional Elective #4 (Generative AI)</w:t>
      </w:r>
    </w:p>
    <w:p>
      <w:pPr>
        <w:spacing w:before="280" w:after="80"/>
      </w:pPr>
      <w:r>
        <w:rPr>
          <w:rFonts w:ascii="Arial" w:hAnsi="Arial"/>
          <w:b/>
          <w:color w:val="1B365D"/>
          <w:sz w:val="28"/>
        </w:rPr>
        <w:t>Slide 1: System Architecture (End-to-End Pipeline)</w:t>
      </w:r>
    </w:p>
    <w:p>
      <w:pPr>
        <w:spacing w:after="80" w:line="276" w:lineRule="auto"/>
      </w:pPr>
      <w:r>
        <w:rPr>
          <w:rFonts w:ascii="Arial" w:hAnsi="Arial"/>
          <w:b/>
          <w:color w:val="2D3748"/>
          <w:sz w:val="21"/>
        </w:rPr>
        <w:t xml:space="preserve">Key Message: </w:t>
      </w:r>
      <w:r>
        <w:rPr>
          <w:rFonts w:ascii="Arial" w:hAnsi="Arial"/>
          <w:i w:val="0"/>
          <w:color w:val="2D3748"/>
          <w:sz w:val="21"/>
        </w:rPr>
        <w:t>This slide illustrates the high-level architecture of TPoliCynav, showing how raw policy documents are processed and queried in real-time.</w:t>
      </w:r>
    </w:p>
    <w:p>
      <w:pPr>
        <w:spacing w:before="160" w:after="40"/>
      </w:pPr>
      <w:r>
        <w:rPr>
          <w:rFonts w:ascii="Arial" w:hAnsi="Arial"/>
          <w:b/>
          <w:color w:val="0066CC"/>
          <w:sz w:val="23"/>
        </w:rPr>
        <w:t>Component Breakdown (Left to Right):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1. 7 Documents (30+ Pages):</w:t>
      </w:r>
      <w:r>
        <w:rPr>
          <w:rFonts w:ascii="Arial" w:hAnsi="Arial"/>
          <w:color w:val="2D3748"/>
          <w:sz w:val="20"/>
        </w:rPr>
        <w:t xml:space="preserve"> Official institutional and municipal sources collected for Talibon Polytechnic College.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2. Preprocessing (4-Stage Pipeline):</w:t>
      </w:r>
      <w:r>
        <w:rPr>
          <w:rFonts w:ascii="Arial" w:hAnsi="Arial"/>
          <w:color w:val="2D3748"/>
          <w:sz w:val="20"/>
        </w:rPr>
        <w:t xml:space="preserve"> Cleans noise, normalizes text, tokenizes sentences, and creates 400-word chunks.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3. Embeddings (BAAI/bge-small-en-v1.5):</w:t>
      </w:r>
      <w:r>
        <w:rPr>
          <w:rFonts w:ascii="Arial" w:hAnsi="Arial"/>
          <w:color w:val="2D3748"/>
          <w:sz w:val="20"/>
        </w:rPr>
        <w:t xml:space="preserve"> Converts chunks into 384-dimensional dense semantic vectors.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4. Pinecone DB (119 Vectors):</w:t>
      </w:r>
      <w:r>
        <w:rPr>
          <w:rFonts w:ascii="Arial" w:hAnsi="Arial"/>
          <w:color w:val="2D3748"/>
          <w:sz w:val="20"/>
        </w:rPr>
        <w:t xml:space="preserve"> Cloud serverless vector index with cosine similarity search on AWS us-east-1.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5. RAG Chatbot (3 Prompt Tiers):</w:t>
      </w:r>
      <w:r>
        <w:rPr>
          <w:rFonts w:ascii="Arial" w:hAnsi="Arial"/>
          <w:color w:val="2D3748"/>
          <w:sz w:val="20"/>
        </w:rPr>
        <w:t xml:space="preserve"> Retrieves matching context and generates concise, cited answers with hallucination safeguards.</w:t>
      </w:r>
    </w:p>
    <w:p>
      <w:pPr>
        <w:spacing w:before="160" w:after="40"/>
      </w:pPr>
      <w:r>
        <w:rPr>
          <w:rFonts w:ascii="Arial" w:hAnsi="Arial"/>
          <w:b/>
          <w:color w:val="0066CC"/>
          <w:sz w:val="23"/>
        </w:rPr>
        <w:t>Tech Stack Summary: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Embedding Model:</w:t>
      </w:r>
      <w:r>
        <w:rPr>
          <w:rFonts w:ascii="Arial" w:hAnsi="Arial"/>
          <w:color w:val="2D3748"/>
          <w:sz w:val="20"/>
        </w:rPr>
        <w:t xml:space="preserve"> BAAI/bge-small-en-v1.5 (384 dimensions, L2-normalized, MIT license).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Vector Database:</w:t>
      </w:r>
      <w:r>
        <w:rPr>
          <w:rFonts w:ascii="Arial" w:hAnsi="Arial"/>
          <w:color w:val="2D3748"/>
          <w:sz w:val="20"/>
        </w:rPr>
        <w:t xml:space="preserve"> Pinecone Serverless (cosine similarity metric).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Application Framework:</w:t>
      </w:r>
      <w:r>
        <w:rPr>
          <w:rFonts w:ascii="Arial" w:hAnsi="Arial"/>
          <w:color w:val="2D3748"/>
          <w:sz w:val="20"/>
        </w:rPr>
        <w:t xml:space="preserve"> Python 3.11 CLI chatbot with real-time policy retrieval.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i/>
                <w:color w:val="1E293B"/>
                <w:sz w:val="19"/>
              </w:rPr>
              <w:t>🎙️ Spoken Script:</w:t>
              <w:br/>
              <w:t>"Good day everyone. On this slide, we present the System Architecture of TPoliCynav. Our system follows a 5-step RAG workflow: First, we collect 7 official policy documents covering 30+ pages. Second, we clean and segment the text through our 4-stage preprocessing pipeline. Third, we generate 384-dimensional embeddings using the BGE-small model. Fourth, all 119 vectors are stored in Pinecone Serverless. Finally, our chatbot takes student questions, retrieves relevant policy chunks in real time, and synthesizes accurate, cited answers."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B365D"/>
          <w:sz w:val="28"/>
        </w:rPr>
        <w:t>Slide 2: Checkpoint 1 — Data Pipeline</w:t>
      </w:r>
    </w:p>
    <w:p>
      <w:pPr>
        <w:spacing w:after="80" w:line="276" w:lineRule="auto"/>
      </w:pPr>
      <w:r>
        <w:rPr>
          <w:rFonts w:ascii="Arial" w:hAnsi="Arial"/>
          <w:b/>
          <w:color w:val="2D3748"/>
          <w:sz w:val="21"/>
        </w:rPr>
        <w:t xml:space="preserve">Key Message: </w:t>
      </w:r>
      <w:r>
        <w:rPr>
          <w:rFonts w:ascii="Arial" w:hAnsi="Arial"/>
          <w:i w:val="0"/>
          <w:color w:val="2D3748"/>
          <w:sz w:val="21"/>
        </w:rPr>
        <w:t>This slide details the 7 official policy sources collected and the 4-stage preprocessing pipeline used to generate 119 high-quality semantic chunks.</w:t>
      </w:r>
    </w:p>
    <w:p>
      <w:pPr>
        <w:spacing w:before="160" w:after="40"/>
      </w:pPr>
      <w:r>
        <w:rPr>
          <w:rFonts w:ascii="Arial" w:hAnsi="Arial"/>
          <w:b/>
          <w:color w:val="0066CC"/>
          <w:sz w:val="23"/>
        </w:rPr>
        <w:t>The 7 Data Sources (Left Column):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1. TPC Student Handbook v.04:</w:t>
      </w:r>
      <w:r>
        <w:rPr>
          <w:rFonts w:ascii="Arial" w:hAnsi="Arial"/>
          <w:color w:val="2D3748"/>
          <w:sz w:val="20"/>
        </w:rPr>
        <w:t xml:space="preserve"> Academic policies, student conduct, grading, and graduation requirements.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2. Municipal Ordinance No. 127:</w:t>
      </w:r>
      <w:r>
        <w:rPr>
          <w:rFonts w:ascii="Arial" w:hAnsi="Arial"/>
          <w:color w:val="2D3748"/>
          <w:sz w:val="20"/>
        </w:rPr>
        <w:t xml:space="preserve"> Talibon boarding house guidelines, safety rules, and curfew hours.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3. Uniform &amp; Dress Code Guide:</w:t>
      </w:r>
      <w:r>
        <w:rPr>
          <w:rFonts w:ascii="Arial" w:hAnsi="Arial"/>
          <w:color w:val="2D3748"/>
          <w:sz w:val="20"/>
        </w:rPr>
        <w:t xml:space="preserve"> Campus attire, grooming, and examination dress rules.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4. PNP–TPC Security Protocols:</w:t>
      </w:r>
      <w:r>
        <w:rPr>
          <w:rFonts w:ascii="Arial" w:hAnsi="Arial"/>
          <w:color w:val="2D3748"/>
          <w:sz w:val="20"/>
        </w:rPr>
        <w:t xml:space="preserve"> Security guidelines and the 500-meter alcohol prohibition perimeter.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5. CHED Free Higher Education (RA 10931):</w:t>
      </w:r>
      <w:r>
        <w:rPr>
          <w:rFonts w:ascii="Arial" w:hAnsi="Arial"/>
          <w:color w:val="2D3748"/>
          <w:sz w:val="20"/>
        </w:rPr>
        <w:t xml:space="preserve"> Tuition subsidy coverage and student qualifications.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6. GSIS STEM Subsidy (GSSP):</w:t>
      </w:r>
      <w:r>
        <w:rPr>
          <w:rFonts w:ascii="Arial" w:hAnsi="Arial"/>
          <w:color w:val="2D3748"/>
          <w:sz w:val="20"/>
        </w:rPr>
        <w:t xml:space="preserve"> Eligibility criteria and required General Weighted Average (GWA).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7. Admissions &amp; TPCAT Guidelines:</w:t>
      </w:r>
      <w:r>
        <w:rPr>
          <w:rFonts w:ascii="Arial" w:hAnsi="Arial"/>
          <w:color w:val="2D3748"/>
          <w:sz w:val="20"/>
        </w:rPr>
        <w:t xml:space="preserve"> List of 7 undergraduate degree programs and entrance exam guidelines.</w:t>
      </w:r>
    </w:p>
    <w:p>
      <w:pPr>
        <w:spacing w:before="160" w:after="40"/>
      </w:pPr>
      <w:r>
        <w:rPr>
          <w:rFonts w:ascii="Arial" w:hAnsi="Arial"/>
          <w:b/>
          <w:color w:val="0066CC"/>
          <w:sz w:val="23"/>
        </w:rPr>
        <w:t>4-Stage Preprocessing Pipeline (Right Column):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Stage 1 - Noise Removal:</w:t>
      </w:r>
      <w:r>
        <w:rPr>
          <w:rFonts w:ascii="Arial" w:hAnsi="Arial"/>
          <w:color w:val="2D3748"/>
          <w:sz w:val="20"/>
        </w:rPr>
        <w:t xml:space="preserve"> Regular expressions strip page numbers, headers, footers, and rejoin split words.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Stage 2 - Unicode Normalization:</w:t>
      </w:r>
      <w:r>
        <w:rPr>
          <w:rFonts w:ascii="Arial" w:hAnsi="Arial"/>
          <w:color w:val="2D3748"/>
          <w:sz w:val="20"/>
        </w:rPr>
        <w:t xml:space="preserve"> NFKC normalization converts curly quotes and special characters to clean ASCII.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Stage 3 - Sentence Tokenization:</w:t>
      </w:r>
      <w:r>
        <w:rPr>
          <w:rFonts w:ascii="Arial" w:hAnsi="Arial"/>
          <w:color w:val="2D3748"/>
          <w:sz w:val="20"/>
        </w:rPr>
        <w:t xml:space="preserve"> NLTK Punkt identifies grammatical sentence boundaries so text is never cut mid-sentence.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Stage 4 - Sliding-Window Chunking:</w:t>
      </w:r>
      <w:r>
        <w:rPr>
          <w:rFonts w:ascii="Arial" w:hAnsi="Arial"/>
          <w:color w:val="2D3748"/>
          <w:sz w:val="20"/>
        </w:rPr>
        <w:t xml:space="preserve"> Segments text into 400-word chunks with 80-word overlap to preserve continuous context.</w:t>
      </w:r>
    </w:p>
    <w:p>
      <w:pPr>
        <w:spacing w:after="80" w:line="276" w:lineRule="auto"/>
      </w:pPr>
      <w:r>
        <w:rPr>
          <w:rFonts w:ascii="Arial" w:hAnsi="Arial"/>
          <w:b/>
          <w:color w:val="2D3748"/>
          <w:sz w:val="21"/>
        </w:rPr>
        <w:t xml:space="preserve">Final Result: </w:t>
      </w:r>
      <w:r>
        <w:rPr>
          <w:rFonts w:ascii="Arial" w:hAnsi="Arial"/>
          <w:i w:val="0"/>
          <w:color w:val="2D3748"/>
          <w:sz w:val="21"/>
        </w:rPr>
        <w:t>119 semantic chunks encoded into 384-dimensional dense vectors.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i/>
                <w:color w:val="1E293B"/>
                <w:sz w:val="19"/>
              </w:rPr>
              <w:t>🎙️ Spoken Script:</w:t>
              <w:br/>
              <w:t>"Moving to Checkpoint 1: Data Pipeline. On the left are our 7 official data sources, spanning the TPC Student Handbook, municipal curfew ordinances, and CHED scholarship rules. On the right is our 4-stage preprocessing workflow: noise removal, Unicode normalization, sentence tokenization, and sliding-window chunking (400 words with 80-word overlap). This produced exactly 119 high-quality semantic chunks ready for vector search."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1B365D"/>
          <w:sz w:val="28"/>
        </w:rPr>
        <w:t>Anticipated Defense Questions &amp; Answers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Q: Why BGE-small?</w:t>
      </w:r>
      <w:r>
        <w:rPr>
          <w:rFonts w:ascii="Arial" w:hAnsi="Arial"/>
          <w:color w:val="2D3748"/>
          <w:sz w:val="20"/>
        </w:rPr>
        <w:t xml:space="preserve"> Lightweight (130 MB), free/open-source, and ranks highest on MTEB retrieval for its size class.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Q: Why 400 words / 80-word overlap?</w:t>
      </w:r>
      <w:r>
        <w:rPr>
          <w:rFonts w:ascii="Arial" w:hAnsi="Arial"/>
          <w:color w:val="2D3748"/>
          <w:sz w:val="20"/>
        </w:rPr>
        <w:t xml:space="preserve"> 400 words fits full policy statements; 80-word overlap prevents rules from being split across chunk boundaries.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2D3748"/>
          <w:sz w:val="20"/>
        </w:rPr>
        <w:t>Q: Why Pinecone Serverless?</w:t>
      </w:r>
      <w:r>
        <w:rPr>
          <w:rFonts w:ascii="Arial" w:hAnsi="Arial"/>
          <w:color w:val="2D3748"/>
          <w:sz w:val="20"/>
        </w:rPr>
        <w:t xml:space="preserve"> Fully managed cloud indexing with zero maintenance and sub-millisecond cosine similarity queries.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