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ind w:left="-1134" w:right="0" w:firstLine="142"/>
        <w:spacing w:before="480" w:after="200" w:line="240" w:lineRule="auto"/>
        <w:rPr>
          <w:rFonts w:ascii="Source Code Pro SemiBold" w:hAnsi="Source Code Pro SemiBold" w:cs="Source Code Pro SemiBold"/>
          <w:sz w:val="32"/>
          <w:szCs w:val="32"/>
          <w:highlight w:val="none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Keywords, Commands on the PC Emulator</w:t>
      </w:r>
      <w:r>
        <w:rPr>
          <w:rFonts w:ascii="Source Code Pro SemiBold" w:hAnsi="Source Code Pro SemiBold" w:cs="Source Code Pro SemiBold"/>
          <w:sz w:val="32"/>
          <w:szCs w:val="32"/>
        </w:rPr>
      </w:r>
      <w:r/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any literal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stack. If the literal is not a double precision number or a variable, it will be a bigint or a string (must be placed inside double quotes). All numbers are interpreted as decimal unless in quotes: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“xabcd” is a hex number (bigint)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“1234” is a decimal bigint.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“b1100” is a binary number.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1234.5e-6 is a decimal double precision number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“o7654” is an octal number.”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num‘r’, ‘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’, ‘c’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e.g.,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4.7e-3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For example,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4.7e-3l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29.531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j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ohms at 1000Hz.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and imaginary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“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a string”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bigint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tabs>
                <w:tab w:val="right" w:pos="7619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value in ToS-1 is popped into the variable name at ToS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ab/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Pop the ToS element in to a variable named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(must be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number </w:t>
            </w:r>
            <w:r>
              <w:rPr>
                <w:rFonts w:ascii="Source Code Pro" w:hAnsi="Source Code Pro" w:eastAsia="Abyssinica SIL" w:cs="Source Code Pro"/>
                <w:color w:val="404040"/>
                <w:sz w:val="18"/>
                <w:szCs w:val="18"/>
                <w:lang w:val="en-US" w:eastAsia="en-US" w:bidi="ar-SA"/>
              </w:rPr>
              <w:t xml:space="preserve">≥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) entities from the stack into the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acc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register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where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vacc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less than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0,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[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]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Start or end a vector.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{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}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Start or end a matrix.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Encloses a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dup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Duplicate the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swp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Swap ToS with element prior to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 does not equal 0 or is a string.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el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equals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fi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End an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if-el</w:t>
            </w: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 block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label: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bCs w:val="0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 label used for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unconditional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not 0 or is a string.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+ - * /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max min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&gt; &lt; &gt;= &lt;= = !=</w:t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The usual arithmetic operators. Works for regular numbers (complex) or bigint strings.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%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percentage operator. Calculates ToS (‘x’) percentage of ToS - 1 (‘y’)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Special variable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internal write-only frequency variable, assigned as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numx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__f@. Use the keystroke alt+@ on the calculator. The ‘_’ is not available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//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parallel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ToS and the last barrier, vector or matrix or bottom of stack (BoS) into a vector. The ToS will be the last element and the element closest to the BoS will be the first. If the ToS is already a vector, then this command will split it into scalar elements.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alt+[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function for this operation on the calculator.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587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Use keystroke page 0 alt+{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cmplx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Creates a complex number with real part from (ToS - 1) and imaginary part from ToS (if both of these are real numbers). If the ToS is a complex or imaginary number then the real and imaginary parts are separated.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alt+(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nserts or deletes a barrier at the current ToS element. A barrier stops accumulates of elements for the creation of a vector or matrix. If the current ToS is not a barrier, this command inserts a barrier; otherwise, it deletes the barrier at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97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angle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degrees and radian modes.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coord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cartesian and polar modes.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rectangular (cartesian) coordinate system irrespective current coordinate system.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polar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polar coordinate system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irrespective current coordinate system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39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degrees. 1 radian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57.295779513082320876798 degrees.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rad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radians. 1 degree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0.017453292519943295769237 radians.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binary. Ignore if the ToS is a binary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hex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hex.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hex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decimal.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decimal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oct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Converts the ToS to octal.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Ignore if the ToS is an octal bigint.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Swaps the real an imaginary parts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and 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none"/>
              </w:rPr>
              <w:t xml:space="preserve">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real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imaginary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Negates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tabs>
                <w:tab w:val="center" w:pos="742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dupn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uplicates the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 item from ToS, ToS is indexed as 0 and holds the value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Negative or 0 values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don’t change the stack.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Reciprocal of the ToS (computes 1/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reciprocal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mean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mean computed over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computed over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variance (square of the standard deviation) computed from the values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squares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653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dot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product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The number of elements in the shorter vector determine how many products will be computed for the sum.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and 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 conjugate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Absolute value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sqrt(sqr(real(x)) + sqr(imag(x)))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tabs>
                <w:tab w:val="left" w:pos="5763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This is a shorthand for: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cmplx 2 pow swp 2 pow + sqrt</w:t>
            </w:r>
            <w:r>
              <w:tab/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Argument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atan(imag(x)/real(x))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Square 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cbrt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Cubic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75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 the power of the number at ToS,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Euler’s constant (approximately, 2.718281828..).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data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Inserts the double precision approximation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to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log2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2.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logxy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-1 (‘y’) to base ToS (‘x’).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pow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sin, cos, tan, 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asin, acos, atan, acot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sinh, cosh, tanh,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asinh, acosh, atanh, acoth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hyberbolic trig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Hyperbolic 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atan2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1156" w:leader="none"/>
              </w:tabs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gcd, lcm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math function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fac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/>
                <w:i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Factorial,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!,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(integer part of the real part of the) number at ToS.</w:t>
            </w:r>
            <w:r>
              <w:rPr>
                <w:rFonts w:ascii="Source Code Pro" w:hAnsi="Source Code Pro" w:cs="Source Code Pro"/>
                <w:b w:val="0"/>
                <w:bCs/>
                <w:i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or bigint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atrix inverse if ToS is a matrix. Modular inverse if ToS is a bigint or int. If matrix inverse doesn’t exist, returns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For modular inverse, if the modulus is 0, uses 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determinant of the matrix at ToS. If the ToS does not have a matrix, reports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iden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proj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trace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eival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eivec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tpose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rank</w:t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elem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or vector 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0"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mod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modulus for bigint or integer modular operations.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Used for inv, exp (pow) , +, -, 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2"/>
                <w:szCs w:val="22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and </w:t>
            </w:r>
            <w:r>
              <w:rPr>
                <w:rFonts w:ascii="Source Code Pro SemiBold" w:hAnsi="Source Code Pro SemiBold" w:cs="Source Code Pro SemiBold"/>
                <w:b w:val="0"/>
                <w:bCs w:val="0"/>
                <w:sz w:val="22"/>
                <w:szCs w:val="22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operations on bigint or integer. If modulus has not been set, uses 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as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Modulus or width is required for the inv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the number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ToS is a real or complex number,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.</w:t>
            </w:r>
            <w:r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mont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The montgomery representation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wid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870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width in bits for bigint or integer operations.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Used in or, and, binv, xor, bit, shr, shl, ror, rol, count0, count1 and rnd operations. Optionally used for bigint operations such as exp, inv etc. if modulus is 0 (not set).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and,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or, and, binv, xor, shr, shl, ror, rol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Bitwise operation if ToS and ToS - 1 are bigints or integers. Returns an error if width is not set (default is 32 bits).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Shift right will extend the MS bit if the flasg signextend is set. Shift left will set zero in the LB bit position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bit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Test bit of 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 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at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ToS), returns 0 or 1.</w:t>
            </w:r>
            <w:r>
              <w:rPr>
                <w:color w:val="808080" w:themeColor="background1" w:themeShade="80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count0, count1 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Count the number of 0s or 1s in the binary representation of the 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1’sC, 2’sC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One’s or two’s complement of the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set, clr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 or clear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 in the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 at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returns 0 or 1.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isp, nxp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 returns a 1 is ToS has a prime number.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nxp returns the prime number after the number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rnd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gl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or bigint operation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>
              <w:rPr>
                <w:color w:val="808080" w:themeColor="background1" w:themeShade="80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yCx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hms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Converts the real the number (or the rea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l part of the complex number) at ToS to three numbers that are pushed into the stack: hours, minutes and seconds, these latter being the h:m:s representation of the number. If the current angle mode is radians, then the angle is converted to degrees first.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gridSpan w:val="3"/>
            <w:tcW w:w="10670" w:type="dxa"/>
            <w:vMerge w:val="restart"/>
            <w:textDirection w:val="lrTb"/>
            <w:noWrap w:val="false"/>
          </w:tcPr>
          <w:p>
            <w:pPr>
              <w:pStyle w:val="815"/>
              <w:ind w:left="0" w:firstLine="0"/>
              <w:jc w:val="left"/>
              <w:spacing w:before="0" w:after="0" w:line="240" w:lineRule="auto"/>
              <w:widowControl/>
              <w:rPr>
                <w:bCs/>
                <w:i/>
                <w:highlight w:val="none"/>
              </w:rPr>
            </w:pPr>
            <w:r>
              <w:rPr>
                <w:i/>
                <w:iCs/>
              </w:rPr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not available on calculator hardware.</w:t>
            </w:r>
            <w:r>
              <w:rPr>
                <w:bCs/>
                <w:i/>
                <w:highlight w:val="none"/>
              </w:rPr>
            </w:r>
            <w:r/>
          </w:p>
        </w:tc>
      </w:tr>
    </w:tbl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tabs>
          <w:tab w:val="left" w:pos="9726" w:leader="none"/>
        </w:tabs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</w:rPr>
        <w:t xml:space="preserve">Default mode: Page 0</w:t>
      </w:r>
      <w:r>
        <w:rPr>
          <w:rFonts w:ascii="Source Code Pro SemiBold" w:hAnsi="Source Code Pro SemiBold" w:cs="Source Code Pro SemiBold"/>
          <w:highlight w:val="none"/>
        </w:rPr>
      </w:r>
      <w:r/>
    </w:p>
    <w:p>
      <w:pPr>
        <w:ind w:left="0" w:right="0" w:hanging="850"/>
        <w:spacing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6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733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9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1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</w:rPr>
      </w:r>
      <w:r/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</w:r>
      <w:r/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 for Page 0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spacing w:line="240" w:lineRule="auto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re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im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2"/>
                <w:szCs w:val="12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Swaps the real and imaginary parts of the number at ToS. ToS must contain a real or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^bar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 the barrier attribute on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7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8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⇒b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onverts the ToS 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eex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cosh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%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Calculates x% of y, where y is value at ToS-1 and x the value at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asinh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664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</w:rPr>
              <w:t xml:space="preserve">”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tanh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tangent.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</w:t>
            </w:r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atanh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The character ‘l’, can be used as in a variable name or used to specify an inductive impedance.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μ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σ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calculated over all the elements of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pow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pow is identical to exp.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Logarithm of ToS -1 (‘y’) to base ToS (‘x’).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</w:p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/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Absolute value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sqrt(sqr(real(x)) + sqr(imag(x)))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This is a shorthand for: cmplx 2 pow swp 2 pow + sqrt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/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0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Asana Math" w:hAnsi="Asana Math" w:eastAsia="Asana Math" w:cs="Asana Math"/>
                <w:sz w:val="28"/>
                <w:szCs w:val="28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/>
          </w:p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vertAlign w:val="superscript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  <w:vertAlign w:val="super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>
              <w:rPr>
                <w:rFonts w:ascii="Source Code Pro" w:hAnsi="Source Code Pro" w:cs="Source Code Pro"/>
                <w:sz w:val="16"/>
                <w:szCs w:val="16"/>
                <w:vertAlign w:val="subscript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/>
            <w:r/>
            <w:r/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  <w:r/>
            <w:r/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/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jc w:val="center"/>
              <w:rPr>
                <w:rFonts w:hint="default" w:ascii="Source Code Pro SemiBold" w:hAnsi="Source Code Pro SemiBold" w:eastAsia="Asana Math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  <w:r/>
            <w:r/>
            <w:r/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</w:tbl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rPr>
          <w:highlight w:val="none"/>
        </w:rPr>
      </w:pPr>
      <w:r>
        <w:rPr>
          <w:rFonts w:ascii="Source Code Pro SemiBold" w:hAnsi="Source Code Pro SemiBold" w:cs="Source Code Pro SemiBold"/>
          <w:highlight w:val="none"/>
        </w:rPr>
        <w:t xml:space="preserve">Numbers, Vectors and Matrices mode: Page 1</w:t>
      </w:r>
      <w:r>
        <w:rPr>
          <w:rFonts w:ascii="Source Code Pro SemiBold" w:hAnsi="Source Code Pro SemiBold" w:cs="Source Code Pro SemiBold"/>
          <w:highlight w:val="none"/>
        </w:rPr>
      </w:r>
      <w:r/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  <w:r>
        <w:rPr>
          <w:rFonts w:ascii="Source Code Pro SemiBold" w:hAnsi="Source Code Pro SemiBold" w:cs="Source Code Pro SemiBold"/>
          <w:highlight w:val="none"/>
        </w:rPr>
      </w:r>
    </w:p>
    <w:p>
      <w:pPr>
        <w:ind w:left="-567" w:right="0" w:hanging="283"/>
        <w:rPr>
          <w:rFonts w:ascii="Source Code Pro SemiBold" w:hAnsi="Source Code Pro SemiBold" w:cs="Source Code Pro SemiBold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43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734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84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0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r>
            <w:r/>
          </w:p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λ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Computes the eigenvector for the matrix at ToS.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isp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1 if the number at ToS is a prime, 0 otherwise.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mod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Sets the number (integer or bigint) at ToS as the modulus for bigint inverse and exponentiation operations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7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</w:rPr>
            </w:r>
            <w:r/>
          </w:p>
        </w:tc>
      </w:tr>
      <w:tr>
        <w:trPr>
          <w:trHeight w:val="58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nxp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the first prime number larger than the number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ror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rol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mont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Converts the number (integer or bigint) at ToS to its Montgomery representation.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join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Concatenates the vectors at ToS and ToS - 1 into a single vector.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shr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f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leftmost bit can be extended from the carry bit or set to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trike w:val="0"/>
                <w:sz w:val="24"/>
                <w:szCs w:val="24"/>
              </w:rPr>
              <w:t xml:space="preserve">shl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”</w:t>
            </w:r>
            <w:r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carry bit can be assigned from the leftmost bit or remain unchanged.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bit</w:t>
            </w:r>
            <w:r/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elem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bCs/>
                <w:i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Checks bit value —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y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 x</w:t>
            </w:r>
            <w:r>
              <w:rPr>
                <w:rFonts w:ascii="Source Code Pro" w:hAnsi="Source Code Pro" w:cs="Source Code Pro"/>
                <w:sz w:val="18"/>
                <w:szCs w:val="18"/>
                <w:highlight w:val="lightGray"/>
              </w:rPr>
              <w:t xml:space="preserve"> bit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— returns value of bit at position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y.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Cs/>
                <w:i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/>
            <w:r/>
          </w:p>
          <w:p>
            <w:pPr>
              <w:ind w:left="709" w:firstLine="707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ind w:firstLine="708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ind w:left="709" w:firstLine="707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highlight w:val="none"/>
              </w:rPr>
            </w:r>
            <w:r/>
          </w:p>
          <w:p>
            <w:pPr>
              <w:ind w:firstLine="708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/>
            <w:r/>
          </w:p>
          <w:p>
            <w:pPr>
              <w:ind w:left="709" w:firstLine="0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tran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ctran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Transpose of the matrix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Conjugate transpose of the matrix at ToS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d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b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/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/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</w:r>
            <w:r/>
          </w:p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bCs w:val="0"/>
                <w:color w:val="40404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/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inv: matrix inverse if ToS is a matrix. Modular inverse if ToS is a bigint or int.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binv: bitwise inverse if ToS is a bigint or int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/>
            <w:r/>
          </w:p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2’sC: same as neg (defined only for bigint or int), uses wid as bit-width.</w:t>
            </w:r>
            <w:r/>
            <w:r/>
          </w:p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wid: set width. Used in or, and, binv, xor, bit, shr, shl, ror, rol, count0, count1 and rnd operations.</w:t>
            </w:r>
            <w:r/>
            <w:r/>
          </w:p>
          <w:p>
            <w:pPr>
              <w:ind w:left="709" w:firstLine="0"/>
              <w:tabs>
                <w:tab w:val="center" w:pos="3671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tab/>
            </w:r>
            <w:r/>
          </w:p>
          <w:p>
            <w:pPr>
              <w:ind w:left="0" w:right="0" w:firstLine="0"/>
              <w:spacing w:before="220" w:after="198" w:line="57" w:lineRule="atLeast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0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Asana Math" w:hAnsi="Asana Math" w:eastAsia="Asana Math" w:cs="Asana Math"/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>
              <w:rPr>
                <w:sz w:val="22"/>
              </w:rPr>
            </w:r>
            <w:r/>
          </w:p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/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rFonts w:ascii="Source Code Pro" w:hAnsi="Source Code Pro" w:cs="Source Code Pro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/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hint="default" w:ascii="Source Code Pro SemiBold" w:hAnsi="Source Code Pro SemiBold" w:eastAsia="Asana Math" w:cs="Source Code Pro SemiBold"/>
                <w:b w:val="0"/>
                <w:bCs w:val="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</w:tbl>
    <w:p>
      <w:pPr>
        <w:pStyle w:val="815"/>
        <w:ind w:left="0" w:right="0" w:hanging="709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816"/>
        <w:ind w:left="-1134" w:right="0" w:firstLine="142"/>
        <w:spacing w:line="240" w:lineRule="auto"/>
        <w:rPr>
          <w:rFonts w:ascii="Source Code Pro SemiBold" w:hAnsi="Source Code Pro SemiBold" w:cs="Source Code Pro SemiBold"/>
          <w:sz w:val="32"/>
          <w:szCs w:val="32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Examples</w:t>
      </w:r>
      <w:r>
        <w:rPr>
          <w:rFonts w:ascii="Source Code Pro SemiBold" w:hAnsi="Source Code Pro SemiBold" w:cs="Source Code Pro SemiBold"/>
          <w:sz w:val="32"/>
          <w:szCs w:val="32"/>
        </w:rPr>
      </w:r>
      <w:r/>
    </w:p>
    <w:p>
      <w:pPr>
        <w:pStyle w:val="815"/>
        <w:spacing w:line="240" w:lineRule="auto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815"/>
        <w:ind w:left="1417" w:firstLine="0"/>
        <w:jc w:val="left"/>
        <w:spacing w:line="24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15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The full sequence: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4.7e3r 1e-3l 10e-6c + 3 + 47e3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15"/>
        <w:ind w:left="0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Explanation: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76"/>
        <w:numPr>
          <w:ilvl w:val="0"/>
          <w:numId w:val="1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Enter the frequency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76"/>
        <w:numPr>
          <w:ilvl w:val="0"/>
          <w:numId w:val="2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last loop as </w:t>
      </w:r>
      <w:r>
        <w:rPr>
          <w:rFonts w:ascii="Source Code Pro" w:hAnsi="Source Code Pro" w:cs="Source Code Pro"/>
          <w:sz w:val="18"/>
          <w:szCs w:val="18"/>
        </w:rPr>
        <w:t xml:space="preserve">(3 -9.6323)</w:t>
      </w:r>
      <w:r>
        <w:rPr>
          <w:rFonts w:ascii="Source Code Pro" w:hAnsi="Source Code Pro" w:cs="Source Code Pro"/>
          <w:sz w:val="18"/>
          <w:szCs w:val="18"/>
        </w:rPr>
        <w:t xml:space="preserve"> = 3 - 9.6323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1e-3l 10e-6c + 3 +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76"/>
        <w:numPr>
          <w:ilvl w:val="0"/>
          <w:numId w:val="3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parallel loops as </w:t>
      </w:r>
      <w:r>
        <w:rPr>
          <w:rFonts w:ascii="Source Code Pro" w:hAnsi="Source Code Pro" w:cs="Source Code Pro"/>
          <w:sz w:val="18"/>
          <w:szCs w:val="18"/>
        </w:rPr>
        <w:t xml:space="preserve">(3.0018  - 9.631)</w:t>
      </w:r>
      <w:r>
        <w:rPr>
          <w:rFonts w:ascii="Source Code Pro" w:hAnsi="Source Code Pro" w:cs="Source Code Pro"/>
          <w:sz w:val="18"/>
          <w:szCs w:val="18"/>
        </w:rPr>
        <w:t xml:space="preserve"> = 3.0018 - 9.631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(3 -9.6323) 47e3 //</w:t>
      </w:r>
      <w:r>
        <w:rPr>
          <w:rFonts w:ascii="Source Code Pro" w:hAnsi="Source Code Pro" w:cs="Source Code Pro"/>
          <w:sz w:val="18"/>
          <w:szCs w:val="18"/>
        </w:rPr>
        <w:t xml:space="preserve"> +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76"/>
        <w:numPr>
          <w:ilvl w:val="0"/>
          <w:numId w:val="4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in series with the first resistor as </w:t>
      </w:r>
      <w:r>
        <w:rPr>
          <w:rFonts w:ascii="Source Code Pro" w:hAnsi="Source Code Pro" w:cs="Source Code Pro"/>
          <w:sz w:val="18"/>
          <w:szCs w:val="18"/>
        </w:rPr>
        <w:t xml:space="preserve">(4703.0018 -9.631)</w:t>
      </w:r>
      <w:r>
        <w:rPr>
          <w:rFonts w:ascii="Source Code Pro" w:hAnsi="Source Code Pro" w:cs="Source Code Pro"/>
          <w:sz w:val="18"/>
          <w:szCs w:val="18"/>
        </w:rPr>
        <w:t xml:space="preserve"> = 4703.0018 -9.631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4.7e3r (3.0018 -9.6311) +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Answer is </w:t>
      </w:r>
      <w:r>
        <w:rPr>
          <w:rFonts w:ascii="Source Code Pro" w:hAnsi="Source Code Pro" w:cs="Source Code Pro"/>
          <w:b/>
          <w:bCs/>
          <w:sz w:val="18"/>
          <w:szCs w:val="18"/>
        </w:rPr>
        <w:t xml:space="preserve">4703.0018 - 9.631</w:t>
      </w:r>
      <w:r>
        <w:rPr>
          <w:rFonts w:ascii="Source Code Pro" w:hAnsi="Source Code Pro" w:cs="Source Code Pro"/>
          <w:b/>
          <w:bCs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pStyle w:val="816"/>
        <w:ind w:left="-1134" w:right="0" w:firstLine="142"/>
        <w:spacing w:before="480" w:after="200"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More Examples</w:t>
      </w:r>
      <w:r>
        <w:rPr>
          <w:rFonts w:ascii="Calibri" w:hAnsi="Calibri" w:cs="Calibri"/>
          <w:highlight w:val="none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500000000000000000000000000000001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This results in: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ind w:left="709"/>
        <w:spacing w:line="240" w:lineRule="auto"/>
        <w:rPr>
          <w:rFonts w:ascii="Calibri" w:hAnsi="Calibri" w:cs="Calibri"/>
          <w:highlight w:val="lightGray"/>
        </w:rPr>
      </w:pPr>
      <w:r>
        <w:rPr>
          <w:rFonts w:ascii="Source Code Pro" w:hAnsi="Source Code Pro" w:cs="Source Code Pro"/>
          <w:highlight w:val="lightGray"/>
        </w:rPr>
        <w:t xml:space="preserve">0</w:t>
      </w:r>
      <w:r>
        <w:rPr>
          <w:rFonts w:ascii="Calibri" w:hAnsi="Calibri" w:cs="Calibri"/>
          <w:highlight w:val="lightGray"/>
        </w:rPr>
      </w:r>
      <w:r/>
    </w:p>
    <w:p>
      <w:pPr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  <w:t xml:space="preserve">However, when the numbers are entered as bigints, enclosed in quotes: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500000000000000000000000000000002”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ind w:left="709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“500000000000000000000000000000001”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lightGray"/>
        </w:rPr>
      </w:r>
      <w:r/>
    </w:p>
    <w:p>
      <w:pPr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results in: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highlight w:val="lightGray"/>
        </w:rPr>
      </w:r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i w:val="0"/>
          <w:iCs w:val="0"/>
          <w:highlight w:val="none"/>
        </w:rPr>
      </w:r>
      <w:r>
        <w:rPr>
          <w:rFonts w:ascii="Calibri" w:hAnsi="Calibri" w:cs="Calibri"/>
          <w:i w:val="0"/>
          <w:iCs w:val="0"/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Asana Math">
    <w:panose1 w:val="02000603000000000000"/>
  </w:font>
  <w:font w:name="Abyssinica SIL">
    <w:panose1 w:val="02000000000000000000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Source Code Pro">
    <w:panose1 w:val="020B0309030403020204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Source Code Pro SemiBold">
    <w:panose1 w:val="020B0309030403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spacing w:before="299" w:after="299"/>
      <w:rPr>
        <w:rFonts w:ascii="Source Code Pro" w:hAnsi="Source Code Pro" w:cs="Source Code Pro"/>
        <w:b w:val="0"/>
        <w:bCs w:val="0"/>
        <w:sz w:val="18"/>
        <w:szCs w:val="18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Source Code Pro" w:hAnsi="Source Code Pro" w:cs="Source Code Pro"/>
        <w:b w:val="0"/>
        <w:bCs w:val="0"/>
        <w:sz w:val="18"/>
        <w:szCs w:val="18"/>
      </w:rPr>
      <w:t xml:space="preserve">(C) Anirban Banerjee 2023-2024 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License: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 GNU </w:t>
    </w:r>
    <w:r>
      <w:rPr>
        <w:rFonts w:ascii="Source Code Pro" w:hAnsi="Source Code Pro" w:eastAsia="Times New Roman" w:cs="Source Code Pro"/>
        <w:b w:val="0"/>
        <w:bCs w:val="0"/>
        <w:color w:val="000000"/>
        <w:sz w:val="18"/>
        <w:szCs w:val="18"/>
      </w:rPr>
      <w:t xml:space="preserve">GNU Free Documentation License v1.3</w:t>
    </w:r>
    <w:r>
      <w:rPr>
        <w:rFonts w:ascii="Source Code Pro" w:hAnsi="Source Code Pro" w:cs="Source Code Pro"/>
        <w:sz w:val="16"/>
        <w:szCs w:val="16"/>
      </w:rPr>
    </w:r>
    <w:r/>
  </w:p>
  <w:p>
    <w:pPr>
      <w:pStyle w:val="860"/>
    </w:pPr>
    <w:r/>
    <w:r/>
  </w:p>
  <w:p>
    <w:pPr>
      <w:pStyle w:val="8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footnote reference"/>
    <w:basedOn w:val="848"/>
    <w:uiPriority w:val="99"/>
    <w:unhideWhenUsed/>
    <w:rPr>
      <w:vertAlign w:val="superscript"/>
    </w:rPr>
  </w:style>
  <w:style w:type="character" w:styleId="814">
    <w:name w:val="endnote reference"/>
    <w:basedOn w:val="848"/>
    <w:uiPriority w:val="99"/>
    <w:semiHidden/>
    <w:unhideWhenUsed/>
    <w:rPr>
      <w:vertAlign w:val="superscript"/>
    </w:rPr>
  </w:style>
  <w:style w:type="paragraph" w:styleId="815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16">
    <w:name w:val="Heading 1"/>
    <w:basedOn w:val="8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17">
    <w:name w:val="Heading 2"/>
    <w:basedOn w:val="8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18">
    <w:name w:val="Heading 3"/>
    <w:basedOn w:val="8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19">
    <w:name w:val="Heading 4"/>
    <w:basedOn w:val="8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0">
    <w:name w:val="Heading 5"/>
    <w:basedOn w:val="81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1">
    <w:name w:val="Heading 6"/>
    <w:basedOn w:val="8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2">
    <w:name w:val="Heading 7"/>
    <w:basedOn w:val="8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3">
    <w:name w:val="Heading 8"/>
    <w:basedOn w:val="8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24">
    <w:name w:val="Heading 9"/>
    <w:basedOn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5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26">
    <w:name w:val="Heading 2 Char"/>
    <w:uiPriority w:val="9"/>
    <w:qFormat/>
    <w:rPr>
      <w:rFonts w:ascii="Arial" w:hAnsi="Arial" w:eastAsia="Arial" w:cs="Arial"/>
      <w:sz w:val="34"/>
    </w:rPr>
  </w:style>
  <w:style w:type="character" w:styleId="827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28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29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30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3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32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33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34">
    <w:name w:val="Title Char"/>
    <w:uiPriority w:val="10"/>
    <w:qFormat/>
    <w:rPr>
      <w:sz w:val="48"/>
      <w:szCs w:val="48"/>
    </w:rPr>
  </w:style>
  <w:style w:type="character" w:styleId="835">
    <w:name w:val="Subtitle Char"/>
    <w:uiPriority w:val="11"/>
    <w:qFormat/>
    <w:rPr>
      <w:sz w:val="24"/>
      <w:szCs w:val="24"/>
    </w:rPr>
  </w:style>
  <w:style w:type="character" w:styleId="836">
    <w:name w:val="Quote Char"/>
    <w:uiPriority w:val="29"/>
    <w:qFormat/>
    <w:rPr>
      <w:i/>
    </w:rPr>
  </w:style>
  <w:style w:type="character" w:styleId="837">
    <w:name w:val="Intense Quote Char"/>
    <w:uiPriority w:val="30"/>
    <w:qFormat/>
    <w:rPr>
      <w:i/>
    </w:rPr>
  </w:style>
  <w:style w:type="character" w:styleId="838">
    <w:name w:val="Header Char"/>
    <w:uiPriority w:val="99"/>
    <w:qFormat/>
  </w:style>
  <w:style w:type="character" w:styleId="839">
    <w:name w:val="Footer Char"/>
    <w:uiPriority w:val="99"/>
    <w:qFormat/>
  </w:style>
  <w:style w:type="character" w:styleId="840">
    <w:name w:val="Caption Char"/>
    <w:uiPriority w:val="99"/>
    <w:qFormat/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character" w:styleId="842">
    <w:name w:val="Footnote Text Char"/>
    <w:uiPriority w:val="99"/>
    <w:qFormat/>
    <w:rPr>
      <w:sz w:val="18"/>
    </w:rPr>
  </w:style>
  <w:style w:type="character" w:styleId="843">
    <w:name w:val="Footnote Characters"/>
    <w:uiPriority w:val="99"/>
    <w:unhideWhenUsed/>
    <w:qFormat/>
    <w:rPr>
      <w:vertAlign w:val="superscript"/>
    </w:rPr>
  </w:style>
  <w:style w:type="character" w:styleId="844">
    <w:name w:val="Footnote Anchor"/>
    <w:rPr>
      <w:vertAlign w:val="superscript"/>
    </w:rPr>
  </w:style>
  <w:style w:type="character" w:styleId="845">
    <w:name w:val="Endnote Text Char"/>
    <w:uiPriority w:val="99"/>
    <w:qFormat/>
    <w:rPr>
      <w:sz w:val="20"/>
    </w:rPr>
  </w:style>
  <w:style w:type="character" w:styleId="846">
    <w:name w:val="Endnote Characters"/>
    <w:uiPriority w:val="99"/>
    <w:semiHidden/>
    <w:unhideWhenUsed/>
    <w:qFormat/>
    <w:rPr>
      <w:vertAlign w:val="superscript"/>
    </w:rPr>
  </w:style>
  <w:style w:type="character" w:styleId="847">
    <w:name w:val="Endnote Anchor"/>
    <w:rPr>
      <w:vertAlign w:val="superscript"/>
    </w:rPr>
  </w:style>
  <w:style w:type="character" w:styleId="848" w:default="1">
    <w:name w:val="Default Paragraph Font"/>
    <w:uiPriority w:val="1"/>
    <w:semiHidden/>
    <w:unhideWhenUsed/>
    <w:qFormat/>
  </w:style>
  <w:style w:type="paragraph" w:styleId="849">
    <w:name w:val="Heading"/>
    <w:basedOn w:val="815"/>
    <w:next w:val="850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850">
    <w:name w:val="Body Text"/>
    <w:basedOn w:val="815"/>
    <w:pPr>
      <w:spacing w:before="0" w:after="140" w:line="276" w:lineRule="auto"/>
    </w:pPr>
  </w:style>
  <w:style w:type="paragraph" w:styleId="851">
    <w:name w:val="List"/>
    <w:basedOn w:val="850"/>
    <w:rPr>
      <w:rFonts w:cs="Lohit Devanagari"/>
    </w:rPr>
  </w:style>
  <w:style w:type="paragraph" w:styleId="852">
    <w:name w:val="Caption"/>
    <w:basedOn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53">
    <w:name w:val="Index"/>
    <w:basedOn w:val="815"/>
    <w:qFormat/>
    <w:pPr>
      <w:suppressLineNumbers/>
    </w:pPr>
    <w:rPr>
      <w:rFonts w:cs="Lohit Devanagari"/>
    </w:rPr>
  </w:style>
  <w:style w:type="paragraph" w:styleId="854">
    <w:name w:val="Title"/>
    <w:basedOn w:val="81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55">
    <w:name w:val="Subtitle"/>
    <w:basedOn w:val="815"/>
    <w:uiPriority w:val="11"/>
    <w:qFormat/>
    <w:pPr>
      <w:spacing w:before="200" w:after="200"/>
    </w:pPr>
    <w:rPr>
      <w:sz w:val="24"/>
      <w:szCs w:val="24"/>
    </w:rPr>
  </w:style>
  <w:style w:type="paragraph" w:styleId="856">
    <w:name w:val="Quote"/>
    <w:basedOn w:val="815"/>
    <w:uiPriority w:val="29"/>
    <w:qFormat/>
    <w:pPr>
      <w:ind w:left="720" w:right="720" w:firstLine="0"/>
    </w:pPr>
    <w:rPr>
      <w:i/>
    </w:rPr>
  </w:style>
  <w:style w:type="paragraph" w:styleId="857">
    <w:name w:val="Intense Quote"/>
    <w:basedOn w:val="815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58">
    <w:name w:val="Header and Footer"/>
    <w:basedOn w:val="815"/>
    <w:qFormat/>
  </w:style>
  <w:style w:type="paragraph" w:styleId="859">
    <w:name w:val="Header"/>
    <w:basedOn w:val="81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0">
    <w:name w:val="Footer"/>
    <w:basedOn w:val="81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1">
    <w:name w:val="footnote text"/>
    <w:basedOn w:val="81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62">
    <w:name w:val="endnote text"/>
    <w:basedOn w:val="81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63">
    <w:name w:val="toc 1"/>
    <w:basedOn w:val="815"/>
    <w:uiPriority w:val="39"/>
    <w:unhideWhenUsed/>
    <w:pPr>
      <w:ind w:left="0" w:right="0" w:firstLine="0"/>
      <w:spacing w:before="0" w:after="57"/>
    </w:pPr>
  </w:style>
  <w:style w:type="paragraph" w:styleId="864">
    <w:name w:val="toc 2"/>
    <w:basedOn w:val="815"/>
    <w:uiPriority w:val="39"/>
    <w:unhideWhenUsed/>
    <w:pPr>
      <w:ind w:left="283" w:right="0" w:firstLine="0"/>
      <w:spacing w:before="0" w:after="57"/>
    </w:pPr>
  </w:style>
  <w:style w:type="paragraph" w:styleId="865">
    <w:name w:val="toc 3"/>
    <w:basedOn w:val="815"/>
    <w:uiPriority w:val="39"/>
    <w:unhideWhenUsed/>
    <w:pPr>
      <w:ind w:left="567" w:right="0" w:firstLine="0"/>
      <w:spacing w:before="0" w:after="57"/>
    </w:pPr>
  </w:style>
  <w:style w:type="paragraph" w:styleId="866">
    <w:name w:val="toc 4"/>
    <w:basedOn w:val="815"/>
    <w:uiPriority w:val="39"/>
    <w:unhideWhenUsed/>
    <w:pPr>
      <w:ind w:left="850" w:right="0" w:firstLine="0"/>
      <w:spacing w:before="0" w:after="57"/>
    </w:pPr>
  </w:style>
  <w:style w:type="paragraph" w:styleId="867">
    <w:name w:val="toc 5"/>
    <w:basedOn w:val="815"/>
    <w:uiPriority w:val="39"/>
    <w:unhideWhenUsed/>
    <w:pPr>
      <w:ind w:left="1134" w:right="0" w:firstLine="0"/>
      <w:spacing w:before="0" w:after="57"/>
    </w:pPr>
  </w:style>
  <w:style w:type="paragraph" w:styleId="868">
    <w:name w:val="toc 6"/>
    <w:basedOn w:val="815"/>
    <w:uiPriority w:val="39"/>
    <w:unhideWhenUsed/>
    <w:pPr>
      <w:ind w:left="1417" w:right="0" w:firstLine="0"/>
      <w:spacing w:before="0" w:after="57"/>
    </w:pPr>
  </w:style>
  <w:style w:type="paragraph" w:styleId="869">
    <w:name w:val="toc 7"/>
    <w:basedOn w:val="815"/>
    <w:uiPriority w:val="39"/>
    <w:unhideWhenUsed/>
    <w:pPr>
      <w:ind w:left="1701" w:right="0" w:firstLine="0"/>
      <w:spacing w:before="0" w:after="57"/>
    </w:pPr>
  </w:style>
  <w:style w:type="paragraph" w:styleId="870">
    <w:name w:val="toc 8"/>
    <w:basedOn w:val="815"/>
    <w:uiPriority w:val="39"/>
    <w:unhideWhenUsed/>
    <w:pPr>
      <w:ind w:left="1984" w:right="0" w:firstLine="0"/>
      <w:spacing w:before="0" w:after="57"/>
    </w:pPr>
  </w:style>
  <w:style w:type="paragraph" w:styleId="871">
    <w:name w:val="toc 9"/>
    <w:basedOn w:val="815"/>
    <w:uiPriority w:val="39"/>
    <w:unhideWhenUsed/>
    <w:pPr>
      <w:ind w:left="2268" w:right="0" w:firstLine="0"/>
      <w:spacing w:before="0" w:after="57"/>
    </w:pPr>
  </w:style>
  <w:style w:type="paragraph" w:styleId="872">
    <w:name w:val="Index Heading"/>
    <w:basedOn w:val="849"/>
  </w:style>
  <w:style w:type="paragraph" w:styleId="873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74">
    <w:name w:val="table of figures"/>
    <w:basedOn w:val="815"/>
    <w:uiPriority w:val="99"/>
    <w:unhideWhenUsed/>
    <w:qFormat/>
    <w:pPr>
      <w:spacing w:before="0" w:after="0" w:afterAutospacing="0"/>
    </w:pPr>
  </w:style>
  <w:style w:type="paragraph" w:styleId="875">
    <w:name w:val="No Spacing"/>
    <w:basedOn w:val="815"/>
    <w:uiPriority w:val="1"/>
    <w:qFormat/>
    <w:pPr>
      <w:spacing w:before="0" w:after="0" w:line="240" w:lineRule="auto"/>
    </w:pPr>
  </w:style>
  <w:style w:type="paragraph" w:styleId="876">
    <w:name w:val="List Paragraph"/>
    <w:basedOn w:val="815"/>
    <w:uiPriority w:val="34"/>
    <w:qFormat/>
    <w:pPr>
      <w:contextualSpacing/>
      <w:ind w:left="720" w:firstLine="0"/>
      <w:spacing w:before="0" w:after="200"/>
    </w:pPr>
  </w:style>
  <w:style w:type="numbering" w:styleId="877" w:default="1">
    <w:name w:val="No List"/>
    <w:uiPriority w:val="99"/>
    <w:semiHidden/>
    <w:unhideWhenUsed/>
    <w:qFormat/>
  </w:style>
  <w:style w:type="table" w:styleId="8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11</cp:revision>
  <dcterms:modified xsi:type="dcterms:W3CDTF">2025-02-28T09:51:36Z</dcterms:modified>
</cp:coreProperties>
</file>