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0"/>
        <w:ind w:left="-1134" w:right="0" w:firstLine="142"/>
        <w:spacing w:before="480" w:after="200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Keywords</w:t>
      </w:r>
      <w:r/>
    </w:p>
    <w:tbl>
      <w:tblPr>
        <w:tblW w:w="10670" w:type="dxa"/>
        <w:tblInd w:w="-1134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0"/>
        <w:gridCol w:w="1135"/>
        <w:gridCol w:w="7835"/>
      </w:tblGrid>
      <w:tr>
        <w:trPr/>
        <w:tc>
          <w:tcPr>
            <w:shd w:val="clear" w:color="ffffff" w:themeColor="accent1" w:themeTint="EA" w:fill="67a4d8" w:themeFill="accent1" w:themeFillTint="EA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Command</w:t>
            </w:r>
            <w:r/>
          </w:p>
        </w:tc>
        <w:tc>
          <w:tcPr>
            <w:shd w:val="clear" w:color="ffffff" w:themeColor="accent1" w:themeTint="EA" w:fill="67a4d8" w:themeFill="accent1" w:themeFillTint="EA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Type</w:t>
            </w:r>
            <w:r/>
          </w:p>
        </w:tc>
        <w:tc>
          <w:tcPr>
            <w:shd w:val="clear" w:color="ffffff" w:themeColor="accent1" w:themeTint="EA" w:fill="67a4d8" w:themeFill="accent1" w:themeFillTint="EA"/>
            <w:tcW w:w="78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color w:val="ffffff"/>
                <w:sz w:val="20"/>
                <w:szCs w:val="20"/>
                <w:lang w:val="en-US" w:eastAsia="en-US" w:bidi="ar-SA"/>
              </w:rPr>
              <w:t xml:space="preserve">Description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any literal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a literal, the value of a variable or a string into the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stack. If the literal is not a double precision number or a variable, it will be a bigint or a string (can  be optionally placed inside double quotes). If it is a bigint (a long string possibly representing a decimal number), double quotes won’t be added.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sz w:val="20"/>
                <w:szCs w:val="20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num‘r’, ‘</w:t>
            </w:r>
            <w:r>
              <w:rPr>
                <w:rFonts w:ascii="Andale Mono" w:hAnsi="Andale Mono" w:eastAsia="Arial" w:cs="Andale Mono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’, ‘c’</w:t>
            </w:r>
            <w:r/>
          </w:p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ourier New" w:hAnsi="Courier New" w:cs="Courier New"/>
                <w:bCs/>
                <w:i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b/>
                <w:bCs w:val="0"/>
                <w:color w:val="404040"/>
                <w:sz w:val="20"/>
                <w:szCs w:val="20"/>
                <w:lang w:val="en-US" w:eastAsia="en-US" w:bidi="ar-SA"/>
              </w:rPr>
              <w:t xml:space="preserve">e.g.,</w:t>
            </w:r>
            <w:r>
              <w:rPr>
                <w:rFonts w:eastAsia="Arial"/>
                <w:b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4.7e-3</w:t>
            </w:r>
            <w:r>
              <w:rPr>
                <w:rFonts w:ascii="Andale Mono" w:hAnsi="Andale Mono" w:eastAsia="Arial" w:cs="Andale Mono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Any numeric literal followed by one of the characters‘r’, ‘l’ or ‘c’, i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ndicating resistance, inductance or capacitance. The literal value will be stored on the stack but will be interpreted as an impedance value for a frequency in a variable called ‘f’. If variable ‘f’ doesn’t exist, a frequency value of  1Hz will be assumed.</w:t>
            </w:r>
            <w:r/>
          </w:p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For example, </w:t>
            </w:r>
            <w:r>
              <w:rPr>
                <w:rFonts w:ascii="Courier New" w:hAnsi="Courier New" w:eastAsia="Arial" w:cs="Courier New"/>
                <w:sz w:val="20"/>
                <w:szCs w:val="20"/>
                <w:lang w:val="en-US" w:eastAsia="en-US" w:bidi="ar-SA"/>
              </w:rPr>
              <w:t xml:space="preserve">4.7e-3l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 is the impedance of a 4.7mH inductor, or </w:t>
            </w:r>
            <w:r>
              <w:rPr>
                <w:rFonts w:ascii="Courier New" w:hAnsi="Courier New" w:eastAsia="Arial" w:cs="Courier New"/>
                <w:sz w:val="20"/>
                <w:szCs w:val="20"/>
                <w:lang w:val="en-US" w:eastAsia="en-US" w:bidi="ar-SA"/>
              </w:rPr>
              <w:t xml:space="preserve">29.531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j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 ohms at 1000Hz.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numR numI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/>
          </w:p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numR,numI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a double precision complex number with real part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numR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and imaginary part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numI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into the stack.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numI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Push a double precision imaginary number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numI 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into the stack.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the value of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acc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register into the stack.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“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a”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Push a string, which can be an arbitrarily long decimal integer (a </w:t>
            </w:r>
            <w:r>
              <w:rPr>
                <w:rFonts w:ascii="Calibri" w:hAnsi="Calibri" w:eastAsia="Arial" w:cs="Calibri"/>
                <w:i/>
                <w:iCs/>
                <w:sz w:val="20"/>
                <w:szCs w:val="20"/>
                <w:lang w:val="en-US" w:eastAsia="en-US" w:bidi="ar-SA"/>
              </w:rPr>
              <w:t xml:space="preserve">bigint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) into the stack. If the string is a bigint, {+ - * / max min &gt; &lt; &gt;= &lt;= = != } operators can be used.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Push the double precision or complex value of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bak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register into the stack.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va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Push the vector in the vector register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vacc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 into the stack.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@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a@ 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@a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Pop the ToS element to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acc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register. This pops individual entries from a vector or matrix.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b@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 or @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Pop the ToS element to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bak 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register. This pops individual entries from a vector or matrix.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eastAsia="Arial"/>
                <w:b/>
                <w:i w:val="0"/>
                <w:iCs w:val="0"/>
                <w:color w:val="404040"/>
                <w:lang w:val="en-US" w:eastAsia="en-US" w:bidi="ar-SA"/>
              </w:rPr>
            </w:pPr>
            <w:r>
              <w:rPr>
                <w:rFonts w:ascii="Courier New" w:hAnsi="Courier New" w:eastAsia="Arial" w:cs="Courier New"/>
                <w:b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Pop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(must be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 number </w:t>
            </w:r>
            <w:r>
              <w:rPr>
                <w:rFonts w:ascii="Abyssinica SIL" w:hAnsi="Abyssinica SIL" w:eastAsia="Abyssinica SIL" w:cs="Abyssinica SIL"/>
                <w:color w:val="404040"/>
                <w:sz w:val="20"/>
                <w:szCs w:val="20"/>
                <w:lang w:val="en-US" w:eastAsia="en-US" w:bidi="ar-SA"/>
              </w:rPr>
              <w:t xml:space="preserve">≥</w:t>
            </w:r>
            <w:r>
              <w:rPr>
                <w:rFonts w:ascii="Courier New" w:hAnsi="Courier New" w:eastAsia="Arial" w:cs="Courier New"/>
                <w:color w:val="404040"/>
                <w:sz w:val="20"/>
                <w:szCs w:val="20"/>
                <w:lang w:val="en-US" w:eastAsia="en-US" w:bidi="ar-SA"/>
              </w:rPr>
              <w:t xml:space="preserve">0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) entities from the stack into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acc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register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where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the value on the top of the stack.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A vector or matrix is considered a single element and will be popped entirely. If the last entity is a vector, it will be popped into a variable that can be accessed using the variable name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vacc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. If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0, the entire stack will be cleared. If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is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less than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0,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no values will be popped and an error will result.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The Execution Stack, which tracks conditionals will not be cleared (vector/matrices entry is also tracked using the execStack, will be adjusted after this operation).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ourier New" w:hAnsi="Courier New" w:eastAsia="Arial" w:cs="Courier New"/>
                <w:b/>
                <w:i w:val="0"/>
                <w:iCs w:val="0"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 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@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/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Pop ToS element into a variable named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. This might result in a partial vector or matrix on the stack.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 or ?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Print the variable named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varname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. 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 a?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?a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Print the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acc 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register.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B? or ?b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Print the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bak 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register.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Va? or ?va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Print the vector register </w:t>
            </w:r>
            <w:r>
              <w:rPr>
                <w:rFonts w:ascii="Courier New" w:hAnsi="Courier New" w:eastAsia="Arial" w:cs="Courier New"/>
                <w:i/>
                <w:iCs/>
                <w:sz w:val="20"/>
                <w:szCs w:val="20"/>
                <w:lang w:val="en-US" w:eastAsia="en-US" w:bidi="ar-SA"/>
              </w:rPr>
              <w:t xml:space="preserve">vacc</w:t>
            </w: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”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string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”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? or ?”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string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” 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Print the literal string </w:t>
            </w:r>
            <w:r>
              <w:rPr>
                <w:rFonts w:ascii="Courier New" w:hAnsi="Courier New" w:eastAsia="Arial" w:cs="Courier New"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string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(printed without the double quotes).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[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]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Start or end a vector.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[[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]]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Start or end a matrix.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( </w:t>
            </w: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)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data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Encloses a complex number.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dup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Duplicate the ToS.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swp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Swap ToS with element prior to ToS.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if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Execute if the ToS element  does not equal 0 or is a string.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el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Execute if the ToS element equals 0.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fi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End an </w:t>
            </w:r>
            <w:r>
              <w:rPr>
                <w:rFonts w:ascii="Courier New" w:hAnsi="Courier New" w:eastAsia="Arial" w:cs="Courier New"/>
                <w:b/>
                <w:bCs/>
                <w:color w:val="404040"/>
                <w:sz w:val="20"/>
                <w:szCs w:val="20"/>
                <w:lang w:val="en-US" w:eastAsia="en-US" w:bidi="ar-SA"/>
              </w:rPr>
              <w:t xml:space="preserve">if-el</w:t>
            </w: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 block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i/>
                <w:iCs/>
                <w:color w:val="404040"/>
                <w:sz w:val="20"/>
                <w:szCs w:val="20"/>
                <w:lang w:val="en-US" w:eastAsia="en-US" w:bidi="ar-SA"/>
              </w:rPr>
              <w:t xml:space="preserve">label</w:t>
            </w: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: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label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A label used for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jmp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jz 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or </w:t>
            </w:r>
            <w:r>
              <w:rPr>
                <w:rFonts w:ascii="Courier New" w:hAnsi="Courier New" w:eastAsia="Arial" w:cs="Courier New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jnz</w:t>
            </w:r>
            <w:r>
              <w:rPr>
                <w:rFonts w:ascii="Calibri" w:hAnsi="Calibri" w:eastAsia="Arial" w:cs="Calibri"/>
                <w:i w:val="0"/>
                <w:iCs w:val="0"/>
                <w:sz w:val="20"/>
                <w:szCs w:val="20"/>
                <w:lang w:val="en-US" w:eastAsia="en-US" w:bidi="ar-SA"/>
              </w:rPr>
              <w:t xml:space="preserve">.</w:t>
            </w:r>
            <w:r/>
          </w:p>
        </w:tc>
      </w:tr>
      <w:tr>
        <w:trPr/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jmp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unconditional jump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Jump to a label.</w:t>
            </w:r>
            <w:r/>
          </w:p>
        </w:tc>
      </w:tr>
      <w:tr>
        <w:trPr/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jz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conditional jump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Jump to a label if ToS is 0.</w:t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jnz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conditional jump</w:t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0"/>
                <w:szCs w:val="20"/>
                <w:lang w:val="en-US" w:eastAsia="en-US" w:bidi="ar-SA"/>
              </w:rPr>
              <w:t xml:space="preserve">Jump to a label if ToS is not 0 or is a string.</w:t>
            </w:r>
            <w:r/>
          </w:p>
        </w:tc>
      </w:tr>
      <w:tr>
        <w:trPr>
          <w:trHeight w:val="310"/>
        </w:trPr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0"/>
                <w:szCs w:val="20"/>
                <w:lang w:val="en-US" w:eastAsia="en-US" w:bidi="ar-SA"/>
              </w:rPr>
              <w:t xml:space="preserve">+ - * /  max min &gt; &lt; &gt;= &lt;= = !=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operator</w:t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0"/>
                <w:szCs w:val="20"/>
                <w:lang w:val="en-US" w:eastAsia="en-US" w:bidi="ar-SA"/>
              </w:rPr>
              <w:t xml:space="preserve">The usual arithmetic operators. Works for regular numbers (complex) or bigint strings.</w:t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sz w:val="22"/>
                <w:szCs w:val="22"/>
                <w:lang w:val="en-US" w:eastAsia="en-US" w:bidi="ar-SA"/>
              </w:rPr>
            </w:r>
            <w:r/>
          </w:p>
        </w:tc>
      </w:tr>
      <w:tr>
        <w:trPr>
          <w:trHeight w:val="567"/>
        </w:trPr>
        <w:tc>
          <w:tcPr>
            <w:shd w:val="clear" w:color="ffffff" w:themeColor="accent1" w:themeTint="32" w:fill="dfebf6" w:themeFill="accent1" w:themeFillTint="32"/>
            <w:tcW w:w="1700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ourier New" w:hAnsi="Courier New" w:cs="Courier New"/>
                <w:sz w:val="20"/>
                <w:szCs w:val="20"/>
                <w:highlight w:val="none"/>
              </w:rPr>
            </w:pPr>
            <w:r>
              <w:rPr>
                <w:rFonts w:ascii="Courier New" w:hAnsi="Courier New" w:eastAsia="Arial" w:cs="Courier New"/>
                <w:b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1135" w:type="dxa"/>
            <w:textDirection w:val="lrTb"/>
            <w:noWrap w:val="false"/>
          </w:tcPr>
          <w:p>
            <w:pPr>
              <w:pStyle w:val="609"/>
              <w:jc w:val="center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  <w:tc>
          <w:tcPr>
            <w:shd w:val="clear" w:color="ffffff" w:themeColor="accent1" w:themeTint="32" w:fill="dfebf6" w:themeFill="accent1" w:themeFillTint="32"/>
            <w:tcW w:w="7835" w:type="dxa"/>
            <w:textDirection w:val="lrTb"/>
            <w:noWrap w:val="false"/>
          </w:tcPr>
          <w:p>
            <w:pPr>
              <w:pStyle w:val="609"/>
              <w:jc w:val="left"/>
              <w:spacing w:before="0" w:after="0" w:line="240" w:lineRule="auto"/>
              <w:widowControl/>
              <w:rPr>
                <w:rFonts w:ascii="Calibri" w:hAnsi="Calibri" w:cs="Calibri"/>
                <w:sz w:val="20"/>
                <w:szCs w:val="20"/>
                <w:highlight w:val="none"/>
              </w:rPr>
            </w:pPr>
            <w:r>
              <w:rPr>
                <w:rFonts w:ascii="Calibri" w:hAnsi="Calibri" w:eastAsia="Arial" w:cs="Calibri"/>
                <w:color w:val="404040"/>
                <w:sz w:val="22"/>
                <w:szCs w:val="22"/>
                <w:lang w:val="en-US" w:eastAsia="en-US" w:bidi="ar-SA"/>
              </w:rPr>
            </w:r>
            <w:r/>
          </w:p>
        </w:tc>
      </w:tr>
    </w:tbl>
    <w:p>
      <w:pPr>
        <w:pStyle w:val="609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pStyle w:val="610"/>
        <w:ind w:left="-1134" w:right="0" w:firstLine="142"/>
        <w:rPr>
          <w:rFonts w:ascii="Calibri" w:hAnsi="Calibri" w:cs="Calibri"/>
        </w:rPr>
      </w:pPr>
      <w:r>
        <w:rPr>
          <w:rFonts w:ascii="Calibri" w:hAnsi="Calibri" w:cs="Calibri"/>
        </w:rPr>
        <w:t xml:space="preserve">Examples</w:t>
      </w:r>
      <w:r/>
    </w:p>
    <w:p>
      <w:pPr>
        <w:pStyle w:val="609"/>
        <w:rPr>
          <w:highlight w:val="none"/>
        </w:rPr>
      </w:pPr>
      <w:r>
        <w:rPr>
          <w:rFonts w:ascii="Calibri" w:hAnsi="Calibri" w:cs="Calibri"/>
        </w:rPr>
        <w:t xml:space="preserve">Calculate the impedance between the terminals A and B in the diagram below at a frequency of 1kHz.</w:t>
      </w:r>
      <w:r/>
    </w:p>
    <w:p>
      <w:pPr>
        <w:pStyle w:val="609"/>
        <w:ind w:left="1417" w:firstLine="0"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1255" cy="186436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21255" cy="186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90.6pt;height:146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09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full sequence:</w:t>
      </w:r>
      <w:r/>
    </w:p>
    <w:p>
      <w:pPr>
        <w:pStyle w:val="609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</w:rPr>
        <w:t xml:space="preserve">1000 @f</w:t>
      </w:r>
      <w:r>
        <w:rPr>
          <w:rFonts w:ascii="Courier New" w:hAnsi="Courier New" w:cs="Courier New"/>
        </w:rPr>
        <w:t xml:space="preserve"> 4.7e3r 1e-3l 10e-6c + 3 + 47e3 // +</w:t>
      </w:r>
      <w:r/>
    </w:p>
    <w:p>
      <w:pPr>
        <w:pStyle w:val="609"/>
        <w:ind w:left="0" w:firstLine="0"/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Explanation:</w:t>
      </w:r>
      <w:r/>
    </w:p>
    <w:p>
      <w:pPr>
        <w:pStyle w:val="670"/>
        <w:numPr>
          <w:ilvl w:val="0"/>
          <w:numId w:val="1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Enter the frequency</w:t>
      </w:r>
      <w:r/>
    </w:p>
    <w:p>
      <w:pPr>
        <w:pStyle w:val="609"/>
        <w:ind w:left="709" w:firstLine="0"/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</w:rPr>
        <w:t xml:space="preserve">1000 @f</w:t>
      </w:r>
      <w:r/>
    </w:p>
    <w:p>
      <w:pPr>
        <w:pStyle w:val="670"/>
        <w:numPr>
          <w:ilvl w:val="0"/>
          <w:numId w:val="2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Compute the impedance for the last loop as </w:t>
      </w:r>
      <w:r>
        <w:rPr>
          <w:rFonts w:ascii="Courier New" w:hAnsi="Courier New" w:cs="Courier New"/>
        </w:rPr>
        <w:t xml:space="preserve">(3 -9.6323)</w:t>
      </w:r>
      <w:r>
        <w:rPr>
          <w:rFonts w:ascii="Calibri" w:hAnsi="Calibri" w:cs="Calibri"/>
        </w:rPr>
        <w:t xml:space="preserve"> = 3 - 9.6323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</w:rPr>
        <w:t xml:space="preserve"> ohm</w:t>
      </w:r>
      <w:r/>
    </w:p>
    <w:p>
      <w:pPr>
        <w:pStyle w:val="609"/>
        <w:ind w:left="0" w:firstLine="708"/>
        <w:jc w:val="left"/>
        <w:rPr>
          <w:highlight w:val="none"/>
        </w:rPr>
      </w:pPr>
      <w:r>
        <w:rPr>
          <w:rFonts w:ascii="Courier New" w:hAnsi="Courier New" w:cs="Courier New"/>
        </w:rPr>
        <w:t xml:space="preserve">4.7e3r </w:t>
      </w:r>
      <w:r>
        <w:rPr>
          <w:rFonts w:ascii="Courier New" w:hAnsi="Courier New" w:cs="Courier New"/>
          <w:highlight w:val="yellow"/>
          <w:u w:val="single"/>
        </w:rPr>
        <w:t xml:space="preserve">1e-3l 10e-6c + 3 +</w:t>
      </w:r>
      <w:r>
        <w:rPr>
          <w:rFonts w:ascii="Courier New" w:hAnsi="Courier New" w:cs="Courier New"/>
        </w:rPr>
        <w:t xml:space="preserve"> 47e3 // +</w:t>
      </w:r>
      <w:r/>
    </w:p>
    <w:p>
      <w:pPr>
        <w:pStyle w:val="670"/>
        <w:numPr>
          <w:ilvl w:val="0"/>
          <w:numId w:val="3"/>
        </w:numPr>
        <w:jc w:val="left"/>
        <w:rPr>
          <w:rFonts w:ascii="Calibri" w:hAnsi="Calibri" w:cs="Calibri"/>
          <w:highlight w:val="none"/>
        </w:rPr>
      </w:pPr>
      <w:r>
        <w:rPr>
          <w:rFonts w:ascii="Calibri" w:hAnsi="Calibri" w:cs="Calibri"/>
        </w:rPr>
        <w:t xml:space="preserve">Compute the impedance for the parallel loops as </w:t>
      </w:r>
      <w:r>
        <w:rPr>
          <w:rFonts w:ascii="Courier New" w:hAnsi="Courier New" w:cs="Courier New"/>
        </w:rPr>
        <w:t xml:space="preserve">(3.0018  - 9.631)</w:t>
      </w:r>
      <w:r>
        <w:rPr>
          <w:rFonts w:ascii="Calibri" w:hAnsi="Calibri" w:cs="Calibri"/>
        </w:rPr>
        <w:t xml:space="preserve"> = 3.0018 - 9.631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p>
      <w:pPr>
        <w:pStyle w:val="609"/>
        <w:ind w:left="0" w:firstLine="708"/>
        <w:jc w:val="left"/>
        <w:rPr>
          <w:highlight w:val="none"/>
        </w:rPr>
      </w:pPr>
      <w:r>
        <w:rPr>
          <w:rFonts w:ascii="Courier New" w:hAnsi="Courier New" w:cs="Courier New"/>
        </w:rPr>
        <w:t xml:space="preserve">4.7e3r </w:t>
      </w:r>
      <w:r>
        <w:rPr>
          <w:rFonts w:ascii="Courier New" w:hAnsi="Courier New" w:cs="Courier New"/>
          <w:highlight w:val="yellow"/>
          <w:u w:val="single"/>
        </w:rPr>
        <w:t xml:space="preserve">(3 -9.6323) 47e3 //</w:t>
      </w:r>
      <w:r>
        <w:rPr>
          <w:rFonts w:ascii="Courier New" w:hAnsi="Courier New" w:cs="Courier New"/>
        </w:rPr>
        <w:t xml:space="preserve"> +</w:t>
      </w:r>
      <w:r/>
    </w:p>
    <w:p>
      <w:pPr>
        <w:pStyle w:val="670"/>
        <w:numPr>
          <w:ilvl w:val="0"/>
          <w:numId w:val="4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Compute the impedance in series with the first resistor as </w:t>
      </w:r>
      <w:r>
        <w:rPr>
          <w:rFonts w:ascii="Courier New" w:hAnsi="Courier New" w:cs="Courier New"/>
        </w:rPr>
        <w:t xml:space="preserve">(4703.0018 -9.631)</w:t>
      </w:r>
      <w:r>
        <w:rPr>
          <w:rFonts w:ascii="Calibri" w:hAnsi="Calibri" w:cs="Calibri"/>
        </w:rPr>
        <w:t xml:space="preserve"> = 4703.0018 -9.631</w:t>
      </w:r>
      <w:r>
        <w:rPr>
          <w:rFonts w:ascii="Calibri" w:hAnsi="Calibri" w:cs="Calibri"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p>
      <w:pPr>
        <w:pStyle w:val="609"/>
        <w:ind w:left="0" w:firstLine="708"/>
        <w:jc w:val="left"/>
        <w:rPr>
          <w:rFonts w:ascii="Courier New" w:hAnsi="Courier New" w:cs="Courier New"/>
          <w:highlight w:val="none"/>
        </w:rPr>
      </w:pPr>
      <w:r>
        <w:rPr>
          <w:rFonts w:ascii="Courier New" w:hAnsi="Courier New" w:cs="Courier New"/>
          <w:highlight w:val="yellow"/>
          <w:u w:val="single"/>
        </w:rPr>
        <w:t xml:space="preserve">4.7e3r (3.0018 -9.6311) +</w:t>
      </w:r>
      <w:r/>
    </w:p>
    <w:p>
      <w:pPr>
        <w:pStyle w:val="609"/>
        <w:ind w:left="709" w:firstLine="0"/>
        <w:jc w:val="left"/>
      </w:pPr>
      <w:r/>
      <w:r/>
    </w:p>
    <w:p>
      <w:pPr>
        <w:pStyle w:val="609"/>
        <w:ind w:left="0" w:firstLine="0"/>
        <w:jc w:val="left"/>
        <w:spacing w:before="0" w:after="20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Answer is </w:t>
      </w:r>
      <w:r>
        <w:rPr>
          <w:rFonts w:ascii="Calibri" w:hAnsi="Calibri" w:cs="Calibri"/>
          <w:b/>
          <w:bCs/>
        </w:rPr>
        <w:t xml:space="preserve">4703.0018 - 9.631</w:t>
      </w:r>
      <w:r>
        <w:rPr>
          <w:rFonts w:ascii="Calibri" w:hAnsi="Calibri" w:cs="Calibri"/>
          <w:b/>
          <w:bCs/>
          <w:i/>
          <w:iCs/>
        </w:rPr>
        <w:t xml:space="preserve">j</w:t>
      </w:r>
      <w:r>
        <w:rPr>
          <w:rFonts w:ascii="Calibri" w:hAnsi="Calibri" w:cs="Calibri"/>
          <w:i w:val="0"/>
          <w:iCs w:val="0"/>
        </w:rPr>
        <w:t xml:space="preserve"> ohm</w:t>
      </w:r>
      <w:r/>
    </w:p>
    <w:sectPr>
      <w:footnotePr/>
      <w:endnotePr/>
      <w:type w:val="nextPage"/>
      <w:pgSz w:w="11906" w:h="16838" w:orient="portrait"/>
      <w:pgMar w:top="567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Mono">
    <w:panose1 w:val="020B0509000000000004"/>
  </w:font>
  <w:font w:name="Abyssinica SIL">
    <w:panose1 w:val="02000000000000000000"/>
  </w:font>
  <w:font w:name="Calibri">
    <w:panose1 w:val="020F0502020204030204"/>
  </w:font>
  <w:font w:name="Symbol">
    <w:panose1 w:val="05010000000000000000"/>
  </w:font>
  <w:font w:name="DejaVu Sans">
    <w:panose1 w:val="020B0603030804020204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7">
    <w:name w:val="footnote reference"/>
    <w:basedOn w:val="642"/>
    <w:uiPriority w:val="99"/>
    <w:unhideWhenUsed/>
    <w:rPr>
      <w:vertAlign w:val="superscript"/>
    </w:rPr>
  </w:style>
  <w:style w:type="character" w:styleId="180">
    <w:name w:val="endnote reference"/>
    <w:basedOn w:val="642"/>
    <w:uiPriority w:val="99"/>
    <w:semiHidden/>
    <w:unhideWhenUsed/>
    <w:rPr>
      <w:vertAlign w:val="superscript"/>
    </w:rPr>
  </w:style>
  <w:style w:type="paragraph" w:styleId="609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10">
    <w:name w:val="Heading 1"/>
    <w:basedOn w:val="60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11">
    <w:name w:val="Heading 2"/>
    <w:basedOn w:val="60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12">
    <w:name w:val="Heading 3"/>
    <w:basedOn w:val="6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13">
    <w:name w:val="Heading 4"/>
    <w:basedOn w:val="6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14">
    <w:name w:val="Heading 5"/>
    <w:basedOn w:val="60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15">
    <w:name w:val="Heading 6"/>
    <w:basedOn w:val="6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16">
    <w:name w:val="Heading 7"/>
    <w:basedOn w:val="6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17">
    <w:name w:val="Heading 8"/>
    <w:basedOn w:val="60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18">
    <w:name w:val="Heading 9"/>
    <w:basedOn w:val="60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19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620">
    <w:name w:val="Heading 2 Char"/>
    <w:uiPriority w:val="9"/>
    <w:qFormat/>
    <w:rPr>
      <w:rFonts w:ascii="Arial" w:hAnsi="Arial" w:eastAsia="Arial" w:cs="Arial"/>
      <w:sz w:val="34"/>
    </w:rPr>
  </w:style>
  <w:style w:type="character" w:styleId="621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622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23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24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25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26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27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28">
    <w:name w:val="Title Char"/>
    <w:uiPriority w:val="10"/>
    <w:qFormat/>
    <w:rPr>
      <w:sz w:val="48"/>
      <w:szCs w:val="48"/>
    </w:rPr>
  </w:style>
  <w:style w:type="character" w:styleId="629">
    <w:name w:val="Subtitle Char"/>
    <w:uiPriority w:val="11"/>
    <w:qFormat/>
    <w:rPr>
      <w:sz w:val="24"/>
      <w:szCs w:val="24"/>
    </w:rPr>
  </w:style>
  <w:style w:type="character" w:styleId="630">
    <w:name w:val="Quote Char"/>
    <w:uiPriority w:val="29"/>
    <w:qFormat/>
    <w:rPr>
      <w:i/>
    </w:rPr>
  </w:style>
  <w:style w:type="character" w:styleId="631">
    <w:name w:val="Intense Quote Char"/>
    <w:uiPriority w:val="30"/>
    <w:qFormat/>
    <w:rPr>
      <w:i/>
    </w:rPr>
  </w:style>
  <w:style w:type="character" w:styleId="632">
    <w:name w:val="Header Char"/>
    <w:uiPriority w:val="99"/>
    <w:qFormat/>
  </w:style>
  <w:style w:type="character" w:styleId="633">
    <w:name w:val="Footer Char"/>
    <w:uiPriority w:val="99"/>
    <w:qFormat/>
  </w:style>
  <w:style w:type="character" w:styleId="634">
    <w:name w:val="Caption Char"/>
    <w:uiPriority w:val="99"/>
    <w:qFormat/>
  </w:style>
  <w:style w:type="character" w:styleId="635">
    <w:name w:val="Hyperlink"/>
    <w:uiPriority w:val="99"/>
    <w:unhideWhenUsed/>
    <w:rPr>
      <w:color w:val="0000ff" w:themeColor="hyperlink"/>
      <w:u w:val="single"/>
    </w:rPr>
  </w:style>
  <w:style w:type="character" w:styleId="636">
    <w:name w:val="Footnote Text Char"/>
    <w:uiPriority w:val="99"/>
    <w:qFormat/>
    <w:rPr>
      <w:sz w:val="18"/>
    </w:rPr>
  </w:style>
  <w:style w:type="character" w:styleId="637">
    <w:name w:val="Footnote Characters"/>
    <w:uiPriority w:val="99"/>
    <w:unhideWhenUsed/>
    <w:qFormat/>
    <w:rPr>
      <w:vertAlign w:val="superscript"/>
    </w:rPr>
  </w:style>
  <w:style w:type="character" w:styleId="638">
    <w:name w:val="Footnote Anchor"/>
    <w:rPr>
      <w:vertAlign w:val="superscript"/>
    </w:rPr>
  </w:style>
  <w:style w:type="character" w:styleId="639">
    <w:name w:val="Endnote Text Char"/>
    <w:uiPriority w:val="99"/>
    <w:qFormat/>
    <w:rPr>
      <w:sz w:val="20"/>
    </w:rPr>
  </w:style>
  <w:style w:type="character" w:styleId="640">
    <w:name w:val="Endnote Characters"/>
    <w:uiPriority w:val="99"/>
    <w:semiHidden/>
    <w:unhideWhenUsed/>
    <w:qFormat/>
    <w:rPr>
      <w:vertAlign w:val="superscript"/>
    </w:rPr>
  </w:style>
  <w:style w:type="character" w:styleId="641">
    <w:name w:val="Endnote Anchor"/>
    <w:rPr>
      <w:vertAlign w:val="superscript"/>
    </w:rPr>
  </w:style>
  <w:style w:type="character" w:styleId="642" w:default="1">
    <w:name w:val="Default Paragraph Font"/>
    <w:uiPriority w:val="1"/>
    <w:semiHidden/>
    <w:unhideWhenUsed/>
    <w:qFormat/>
  </w:style>
  <w:style w:type="paragraph" w:styleId="643">
    <w:name w:val="Heading"/>
    <w:basedOn w:val="609"/>
    <w:next w:val="644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644">
    <w:name w:val="Body Text"/>
    <w:basedOn w:val="609"/>
    <w:pPr>
      <w:spacing w:before="0" w:after="140" w:line="276" w:lineRule="auto"/>
    </w:pPr>
  </w:style>
  <w:style w:type="paragraph" w:styleId="645">
    <w:name w:val="List"/>
    <w:basedOn w:val="644"/>
    <w:rPr>
      <w:rFonts w:cs="Lohit Devanagari"/>
    </w:rPr>
  </w:style>
  <w:style w:type="paragraph" w:styleId="646">
    <w:name w:val="Caption"/>
    <w:basedOn w:val="6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47">
    <w:name w:val="Index"/>
    <w:basedOn w:val="609"/>
    <w:qFormat/>
    <w:pPr>
      <w:suppressLineNumbers/>
    </w:pPr>
    <w:rPr>
      <w:rFonts w:cs="Lohit Devanagari"/>
    </w:rPr>
  </w:style>
  <w:style w:type="paragraph" w:styleId="648">
    <w:name w:val="Title"/>
    <w:basedOn w:val="609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49">
    <w:name w:val="Subtitle"/>
    <w:basedOn w:val="609"/>
    <w:uiPriority w:val="11"/>
    <w:qFormat/>
    <w:pPr>
      <w:spacing w:before="200" w:after="200"/>
    </w:pPr>
    <w:rPr>
      <w:sz w:val="24"/>
      <w:szCs w:val="24"/>
    </w:rPr>
  </w:style>
  <w:style w:type="paragraph" w:styleId="650">
    <w:name w:val="Quote"/>
    <w:basedOn w:val="609"/>
    <w:uiPriority w:val="29"/>
    <w:qFormat/>
    <w:pPr>
      <w:ind w:left="720" w:right="720" w:firstLine="0"/>
    </w:pPr>
    <w:rPr>
      <w:i/>
    </w:rPr>
  </w:style>
  <w:style w:type="paragraph" w:styleId="651">
    <w:name w:val="Intense Quote"/>
    <w:basedOn w:val="609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52">
    <w:name w:val="Header and Footer"/>
    <w:basedOn w:val="609"/>
    <w:qFormat/>
  </w:style>
  <w:style w:type="paragraph" w:styleId="653">
    <w:name w:val="Header"/>
    <w:basedOn w:val="60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54">
    <w:name w:val="Footer"/>
    <w:basedOn w:val="60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55">
    <w:name w:val="footnote text"/>
    <w:basedOn w:val="609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56">
    <w:name w:val="endnote text"/>
    <w:basedOn w:val="609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57">
    <w:name w:val="toc 1"/>
    <w:basedOn w:val="609"/>
    <w:uiPriority w:val="39"/>
    <w:unhideWhenUsed/>
    <w:pPr>
      <w:ind w:left="0" w:right="0" w:firstLine="0"/>
      <w:spacing w:before="0" w:after="57"/>
    </w:pPr>
  </w:style>
  <w:style w:type="paragraph" w:styleId="658">
    <w:name w:val="toc 2"/>
    <w:basedOn w:val="609"/>
    <w:uiPriority w:val="39"/>
    <w:unhideWhenUsed/>
    <w:pPr>
      <w:ind w:left="283" w:right="0" w:firstLine="0"/>
      <w:spacing w:before="0" w:after="57"/>
    </w:pPr>
  </w:style>
  <w:style w:type="paragraph" w:styleId="659">
    <w:name w:val="toc 3"/>
    <w:basedOn w:val="609"/>
    <w:uiPriority w:val="39"/>
    <w:unhideWhenUsed/>
    <w:pPr>
      <w:ind w:left="567" w:right="0" w:firstLine="0"/>
      <w:spacing w:before="0" w:after="57"/>
    </w:pPr>
  </w:style>
  <w:style w:type="paragraph" w:styleId="660">
    <w:name w:val="toc 4"/>
    <w:basedOn w:val="609"/>
    <w:uiPriority w:val="39"/>
    <w:unhideWhenUsed/>
    <w:pPr>
      <w:ind w:left="850" w:right="0" w:firstLine="0"/>
      <w:spacing w:before="0" w:after="57"/>
    </w:pPr>
  </w:style>
  <w:style w:type="paragraph" w:styleId="661">
    <w:name w:val="toc 5"/>
    <w:basedOn w:val="609"/>
    <w:uiPriority w:val="39"/>
    <w:unhideWhenUsed/>
    <w:pPr>
      <w:ind w:left="1134" w:right="0" w:firstLine="0"/>
      <w:spacing w:before="0" w:after="57"/>
    </w:pPr>
  </w:style>
  <w:style w:type="paragraph" w:styleId="662">
    <w:name w:val="toc 6"/>
    <w:basedOn w:val="609"/>
    <w:uiPriority w:val="39"/>
    <w:unhideWhenUsed/>
    <w:pPr>
      <w:ind w:left="1417" w:right="0" w:firstLine="0"/>
      <w:spacing w:before="0" w:after="57"/>
    </w:pPr>
  </w:style>
  <w:style w:type="paragraph" w:styleId="663">
    <w:name w:val="toc 7"/>
    <w:basedOn w:val="609"/>
    <w:uiPriority w:val="39"/>
    <w:unhideWhenUsed/>
    <w:pPr>
      <w:ind w:left="1701" w:right="0" w:firstLine="0"/>
      <w:spacing w:before="0" w:after="57"/>
    </w:pPr>
  </w:style>
  <w:style w:type="paragraph" w:styleId="664">
    <w:name w:val="toc 8"/>
    <w:basedOn w:val="609"/>
    <w:uiPriority w:val="39"/>
    <w:unhideWhenUsed/>
    <w:pPr>
      <w:ind w:left="1984" w:right="0" w:firstLine="0"/>
      <w:spacing w:before="0" w:after="57"/>
    </w:pPr>
  </w:style>
  <w:style w:type="paragraph" w:styleId="665">
    <w:name w:val="toc 9"/>
    <w:basedOn w:val="609"/>
    <w:uiPriority w:val="39"/>
    <w:unhideWhenUsed/>
    <w:pPr>
      <w:ind w:left="2268" w:right="0" w:firstLine="0"/>
      <w:spacing w:before="0" w:after="57"/>
    </w:pPr>
  </w:style>
  <w:style w:type="paragraph" w:styleId="666">
    <w:name w:val="Index Heading"/>
    <w:basedOn w:val="643"/>
  </w:style>
  <w:style w:type="paragraph" w:styleId="667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68">
    <w:name w:val="table of figures"/>
    <w:basedOn w:val="609"/>
    <w:uiPriority w:val="99"/>
    <w:unhideWhenUsed/>
    <w:qFormat/>
    <w:pPr>
      <w:spacing w:before="0" w:after="0" w:afterAutospacing="0"/>
    </w:pPr>
  </w:style>
  <w:style w:type="paragraph" w:styleId="669">
    <w:name w:val="No Spacing"/>
    <w:basedOn w:val="609"/>
    <w:uiPriority w:val="1"/>
    <w:qFormat/>
    <w:pPr>
      <w:spacing w:before="0" w:after="0" w:line="240" w:lineRule="auto"/>
    </w:pPr>
  </w:style>
  <w:style w:type="paragraph" w:styleId="670">
    <w:name w:val="List Paragraph"/>
    <w:basedOn w:val="609"/>
    <w:uiPriority w:val="34"/>
    <w:qFormat/>
    <w:pPr>
      <w:contextualSpacing/>
      <w:ind w:left="720" w:firstLine="0"/>
      <w:spacing w:before="0" w:after="200"/>
    </w:pPr>
  </w:style>
  <w:style w:type="numbering" w:styleId="671" w:default="1">
    <w:name w:val="No List"/>
    <w:uiPriority w:val="99"/>
    <w:semiHidden/>
    <w:unhideWhenUsed/>
    <w:qFormat/>
  </w:style>
  <w:style w:type="table" w:styleId="212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en-IN</dc:language>
  <cp:revision>7</cp:revision>
  <dcterms:modified xsi:type="dcterms:W3CDTF">2023-11-14T16:04:26Z</dcterms:modified>
</cp:coreProperties>
</file>