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Keywords</w:t>
      </w:r>
      <w:r/>
    </w:p>
    <w:tbl>
      <w:tblPr>
        <w:tblW w:w="10670" w:type="dxa"/>
        <w:tblInd w:w="-11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0"/>
        <w:gridCol w:w="1135"/>
        <w:gridCol w:w="7835"/>
      </w:tblGrid>
      <w:tr>
        <w:trPr/>
        <w:tc>
          <w:tcPr>
            <w:shd w:val="clear" w:color="ffffff" w:themeColor="accent1" w:themeTint="EA" w:fill="67a4d8" w:themeFill="accent1" w:themeFillTint="EA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/>
          </w:p>
        </w:tc>
        <w:tc>
          <w:tcPr>
            <w:shd w:val="clear" w:color="ffffff" w:themeColor="accent1" w:themeTint="EA" w:fill="67a4d8" w:themeFill="accent1" w:themeFillTint="EA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/>
          </w:p>
        </w:tc>
        <w:tc>
          <w:tcPr>
            <w:shd w:val="clear" w:color="ffffff" w:themeColor="accent1" w:themeTint="EA" w:fill="67a4d8" w:themeFill="accent1" w:themeFillTint="EA"/>
            <w:tcW w:w="78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any literal</w:t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stack. If the literal is not a double precision number or a variable, it will be a bigint or a string (can  be optionally placed inside double quotes). If it is a bigint (a long string possibly representing a decimal number), double quotes won’t be added.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num‘r’, ‘</w:t>
            </w:r>
            <w:r>
              <w:rPr>
                <w:rFonts w:ascii="Andale Mono" w:hAnsi="Andale Mono" w:eastAsia="Arial" w:cs="Andale Mono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’, ‘c’</w:t>
            </w:r>
            <w:r>
              <w:rPr>
                <w:b w:val="0"/>
                <w:bCs w:val="0"/>
              </w:rPr>
            </w:r>
          </w:p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i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e.g.,</w:t>
            </w:r>
            <w:r>
              <w:rPr>
                <w:rFonts w:eastAsia="Arial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4.7e-3</w:t>
            </w:r>
            <w:r>
              <w:rPr>
                <w:rFonts w:ascii="Andale Mono" w:hAnsi="Andale Mono" w:eastAsia="Arial" w:cs="Andale Mono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/>
          </w:p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For example, </w:t>
            </w:r>
            <w:r>
              <w:rPr>
                <w:rFonts w:ascii="Courier New" w:hAnsi="Courier New" w:eastAsia="Arial" w:cs="Courier New"/>
                <w:sz w:val="20"/>
                <w:szCs w:val="20"/>
                <w:lang w:val="en-US" w:eastAsia="en-US" w:bidi="ar-SA"/>
              </w:rPr>
              <w:t xml:space="preserve">4.7e-3l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Courier New" w:hAnsi="Courier New" w:eastAsia="Arial" w:cs="Courier New"/>
                <w:sz w:val="20"/>
                <w:szCs w:val="20"/>
                <w:lang w:val="en-US" w:eastAsia="en-US" w:bidi="ar-SA"/>
              </w:rPr>
              <w:t xml:space="preserve">29.531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j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ohms at 1000Hz.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 numI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>
              <w:rPr>
                <w:b w:val="0"/>
                <w:bCs w:val="0"/>
              </w:rPr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b w:val="0"/>
                <w:bCs w:val="0"/>
              </w:rPr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and imaginary part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numI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numI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numI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“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a string”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  <w:t xml:space="preserve">bigint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tabs>
                <w:tab w:val="right" w:pos="7619" w:leader="none"/>
              </w:tabs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Pop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value in ToS-1 is popped into the variable name at ToS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.</w:t>
            </w:r>
            <w:r>
              <w:tab/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Pop the ToS element in to a variable named </w:t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  <w:t xml:space="preserve">var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eastAsia="Arial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ourier New" w:hAnsi="Courier New" w:eastAsia="Arial" w:cs="Courier New"/>
                <w:b w:val="0"/>
                <w:bCs w:val="0"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 w:val="0"/>
                <w:bCs w:val="0"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Pop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(must be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 number </w:t>
            </w:r>
            <w:r>
              <w:rPr>
                <w:rFonts w:ascii="Abyssinica SIL" w:hAnsi="Abyssinica SIL" w:eastAsia="Abyssinica SIL" w:cs="Abyssinica SIL"/>
                <w:color w:val="404040"/>
                <w:sz w:val="20"/>
                <w:szCs w:val="20"/>
                <w:lang w:val="en-US" w:eastAsia="en-US" w:bidi="ar-SA"/>
              </w:rPr>
              <w:t xml:space="preserve">≥</w:t>
            </w:r>
            <w:r>
              <w:rPr>
                <w:rFonts w:ascii="Courier New" w:hAnsi="Courier New" w:eastAsia="Arial" w:cs="Courier New"/>
                <w:color w:val="404040"/>
                <w:sz w:val="20"/>
                <w:szCs w:val="20"/>
                <w:lang w:val="en-US" w:eastAsia="en-US" w:bidi="ar-SA"/>
              </w:rPr>
              <w:t xml:space="preserve">0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) entities from the stack into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where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. If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less than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0,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 w:val="0"/>
                <w:bCs w:val="0"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Pop ToS element into a variable named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[ 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]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Start or end a vector.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{ 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}</w:t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Start or end a matrix.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( </w:t>
            </w: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Encloses a complex number.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dup</w:t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Duplicate the ToS.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swp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Swap ToS with element prior to ToS.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if</w:t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Execute if the ToS element  does not equal 0 or is a string.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el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Execute if the ToS element equals 0.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fi</w:t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End an</w:t>
            </w:r>
            <w:r>
              <w:rPr>
                <w:rFonts w:ascii="Calibri" w:hAnsi="Calibri" w:eastAsia="Arial" w:cs="Calibri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if-el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block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label:</w:t>
            </w: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label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A label used for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jmp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jz 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jnz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jmp</w:t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unconditional jump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Jump to a label.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jz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conditional jump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Jump to a label if ToS is 0.</w:t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jnz</w:t>
            </w:r>
            <w:r>
              <w:rPr>
                <w:b w:val="0"/>
                <w:bCs w:val="0"/>
              </w:rPr>
            </w:r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 jump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Jump to a label if ToS is not 0 or is a string.</w:t>
            </w:r>
            <w:r/>
          </w:p>
        </w:tc>
      </w:tr>
      <w:tr>
        <w:trPr>
          <w:trHeight w:val="310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 w:val="0"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+ - * /  max min &gt; &lt; &gt;= &lt;= = !=</w:t>
            </w:r>
            <w:r>
              <w:rPr>
                <w:b w:val="0"/>
                <w:bCs w:val="0"/>
              </w:rPr>
            </w:r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The usual arithmetic operators. Works for regular numbers (complex) or bigint strings.</w:t>
            </w:r>
            <w:r/>
          </w:p>
        </w:tc>
      </w:tr>
      <w:tr>
        <w:trPr>
          <w:trHeight w:val="310"/>
        </w:trPr>
        <w:tc>
          <w:tcPr>
            <w:gridSpan w:val="3"/>
            <w:tcW w:w="10670" w:type="dxa"/>
            <w:vMerge w:val="restart"/>
            <w:textDirection w:val="lrTb"/>
            <w:noWrap w:val="false"/>
          </w:tcPr>
          <w:p>
            <w:pPr>
              <w:pStyle w:val="814"/>
              <w:ind w:left="0" w:firstLine="0"/>
              <w:jc w:val="left"/>
              <w:spacing w:before="0" w:after="0" w:line="240" w:lineRule="auto"/>
              <w:widowControl/>
              <w:rPr>
                <w:rFonts w:ascii="Calibri" w:hAnsi="Calibri" w:eastAsia="Arial" w:cs="Calibri"/>
                <w:bCs/>
                <w:i/>
                <w:sz w:val="20"/>
                <w:szCs w:val="20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  <w:color w:val="ff0000"/>
                <w:sz w:val="28"/>
                <w:szCs w:val="28"/>
              </w:rPr>
              <w:t xml:space="preserve">*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not available on calculator hardware.</w:t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</w:r>
            <w:r/>
          </w:p>
        </w:tc>
      </w:tr>
    </w:tbl>
    <w:p>
      <w:pPr>
        <w:pStyle w:val="814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815"/>
        <w:ind w:left="-1134" w:right="0" w:firstLine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Examples</w:t>
      </w:r>
      <w:r/>
    </w:p>
    <w:p>
      <w:pPr>
        <w:pStyle w:val="814"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/>
    </w:p>
    <w:p>
      <w:pPr>
        <w:pStyle w:val="814"/>
        <w:ind w:left="1417" w:firstLine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0.6pt;height:146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14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full sequence:</w:t>
      </w:r>
      <w:r/>
    </w:p>
    <w:p>
      <w:pPr>
        <w:pStyle w:val="814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1000 f@</w:t>
      </w:r>
      <w:r>
        <w:rPr>
          <w:rFonts w:ascii="Courier New" w:hAnsi="Courier New" w:cs="Courier New"/>
        </w:rPr>
        <w:t xml:space="preserve"> 4.7e3r 1e-3l 10e-6c + 3 + 47e3 // +</w:t>
      </w:r>
      <w:r/>
    </w:p>
    <w:p>
      <w:pPr>
        <w:pStyle w:val="814"/>
        <w:ind w:left="0" w:firstLine="0"/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Explanation:</w:t>
      </w:r>
      <w:r/>
    </w:p>
    <w:p>
      <w:pPr>
        <w:pStyle w:val="875"/>
        <w:numPr>
          <w:ilvl w:val="0"/>
          <w:numId w:val="1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Enter the frequency</w:t>
      </w:r>
      <w:r/>
    </w:p>
    <w:p>
      <w:pPr>
        <w:pStyle w:val="814"/>
        <w:ind w:left="709" w:firstLine="0"/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1000 f@</w:t>
      </w:r>
      <w:r/>
    </w:p>
    <w:p>
      <w:pPr>
        <w:pStyle w:val="875"/>
        <w:numPr>
          <w:ilvl w:val="0"/>
          <w:numId w:val="2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Compute the impedance for the last loop as </w:t>
      </w:r>
      <w:r>
        <w:rPr>
          <w:rFonts w:ascii="Courier New" w:hAnsi="Courier New" w:cs="Courier New"/>
        </w:rPr>
        <w:t xml:space="preserve">(3 -9.6323)</w:t>
      </w:r>
      <w:r>
        <w:rPr>
          <w:rFonts w:ascii="Calibri" w:hAnsi="Calibri" w:cs="Calibri"/>
        </w:rPr>
        <w:t xml:space="preserve"> = 3 - 9.6323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</w:rPr>
        <w:t xml:space="preserve"> ohm</w:t>
      </w:r>
      <w:r/>
    </w:p>
    <w:p>
      <w:pPr>
        <w:pStyle w:val="814"/>
        <w:ind w:left="0" w:firstLine="708"/>
        <w:jc w:val="left"/>
        <w:rPr>
          <w:highlight w:val="none"/>
        </w:rPr>
      </w:pPr>
      <w:r>
        <w:rPr>
          <w:rFonts w:ascii="Courier New" w:hAnsi="Courier New" w:cs="Courier New"/>
        </w:rPr>
        <w:t xml:space="preserve">4.7e3r </w:t>
      </w:r>
      <w:r>
        <w:rPr>
          <w:rFonts w:ascii="Courier New" w:hAnsi="Courier New" w:cs="Courier New"/>
          <w:highlight w:val="yellow"/>
          <w:u w:val="single"/>
        </w:rPr>
        <w:t xml:space="preserve">1e-3l 10e-6c + 3 +</w:t>
      </w:r>
      <w:r>
        <w:rPr>
          <w:rFonts w:ascii="Courier New" w:hAnsi="Courier New" w:cs="Courier New"/>
        </w:rPr>
        <w:t xml:space="preserve"> 47e3 // +</w:t>
      </w:r>
      <w:r/>
    </w:p>
    <w:p>
      <w:pPr>
        <w:pStyle w:val="875"/>
        <w:numPr>
          <w:ilvl w:val="0"/>
          <w:numId w:val="3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Compute the impedance for the parallel loops as </w:t>
      </w:r>
      <w:r>
        <w:rPr>
          <w:rFonts w:ascii="Courier New" w:hAnsi="Courier New" w:cs="Courier New"/>
        </w:rPr>
        <w:t xml:space="preserve">(3.0018  - 9.631)</w:t>
      </w:r>
      <w:r>
        <w:rPr>
          <w:rFonts w:ascii="Calibri" w:hAnsi="Calibri" w:cs="Calibri"/>
        </w:rPr>
        <w:t xml:space="preserve"> = 3.0018 - 9.631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pStyle w:val="814"/>
        <w:ind w:left="0" w:firstLine="708"/>
        <w:jc w:val="left"/>
        <w:rPr>
          <w:highlight w:val="none"/>
        </w:rPr>
      </w:pPr>
      <w:r>
        <w:rPr>
          <w:rFonts w:ascii="Courier New" w:hAnsi="Courier New" w:cs="Courier New"/>
        </w:rPr>
        <w:t xml:space="preserve">4.7e3r </w:t>
      </w:r>
      <w:r>
        <w:rPr>
          <w:rFonts w:ascii="Courier New" w:hAnsi="Courier New" w:cs="Courier New"/>
          <w:highlight w:val="yellow"/>
          <w:u w:val="single"/>
        </w:rPr>
        <w:t xml:space="preserve">(3 -9.6323) 47e3 //</w:t>
      </w:r>
      <w:r>
        <w:rPr>
          <w:rFonts w:ascii="Courier New" w:hAnsi="Courier New" w:cs="Courier New"/>
        </w:rPr>
        <w:t xml:space="preserve"> +</w:t>
      </w:r>
      <w:r/>
    </w:p>
    <w:p>
      <w:pPr>
        <w:pStyle w:val="875"/>
        <w:numPr>
          <w:ilvl w:val="0"/>
          <w:numId w:val="4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 the impedance in series with the first resistor as </w:t>
      </w:r>
      <w:r>
        <w:rPr>
          <w:rFonts w:ascii="Courier New" w:hAnsi="Courier New" w:cs="Courier New"/>
        </w:rPr>
        <w:t xml:space="preserve">(4703.0018 -9.631)</w:t>
      </w:r>
      <w:r>
        <w:rPr>
          <w:rFonts w:ascii="Calibri" w:hAnsi="Calibri" w:cs="Calibri"/>
        </w:rPr>
        <w:t xml:space="preserve"> = 4703.0018 -9.631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pStyle w:val="814"/>
        <w:ind w:left="0" w:firstLine="708"/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yellow"/>
          <w:u w:val="single"/>
        </w:rPr>
        <w:t xml:space="preserve">4.7e3r (3.0018 -9.6311) +</w:t>
      </w:r>
      <w:r/>
    </w:p>
    <w:p>
      <w:pPr>
        <w:pStyle w:val="814"/>
        <w:ind w:left="709" w:firstLine="0"/>
        <w:jc w:val="left"/>
      </w:pPr>
      <w:r/>
      <w:r/>
    </w:p>
    <w:p>
      <w:pPr>
        <w:pStyle w:val="814"/>
        <w:ind w:left="0" w:firstLine="0"/>
        <w:jc w:val="left"/>
        <w:spacing w:before="0" w:after="200"/>
        <w:rPr>
          <w:rFonts w:ascii="Calibri" w:hAnsi="Calibri" w:cs="Calibri"/>
          <w:bCs w:val="0"/>
          <w:i w:val="0"/>
          <w:highlight w:val="none"/>
        </w:rPr>
      </w:pPr>
      <w:r>
        <w:rPr>
          <w:rFonts w:ascii="Calibri" w:hAnsi="Calibri" w:cs="Calibri"/>
        </w:rPr>
        <w:t xml:space="preserve">Answer is </w:t>
      </w:r>
      <w:r>
        <w:rPr>
          <w:rFonts w:ascii="Calibri" w:hAnsi="Calibri" w:cs="Calibri"/>
          <w:b/>
          <w:bCs/>
        </w:rPr>
        <w:t xml:space="preserve">4703.0018 - 9.631</w:t>
      </w:r>
      <w:r>
        <w:rPr>
          <w:rFonts w:ascii="Calibri" w:hAnsi="Calibri" w:cs="Calibri"/>
          <w:b/>
          <w:bCs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pStyle w:val="815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Keypad Layout</w:t>
      </w:r>
      <w:r>
        <w:rPr>
          <w:rFonts w:ascii="Calibri" w:hAnsi="Calibri" w:cs="Calibri"/>
          <w:highlight w:val="none"/>
        </w:rPr>
        <w:t xml:space="preserve"> in Normal Mode</w:t>
      </w:r>
      <w:r/>
    </w:p>
    <w:p>
      <w:pPr>
        <w:pStyle w:val="815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t xml:space="preserve">Keypad Layout</w:t>
      </w:r>
      <w:r>
        <w:rPr>
          <w:rFonts w:ascii="Calibri" w:hAnsi="Calibri" w:cs="Calibri"/>
          <w:highlight w:val="none"/>
        </w:rPr>
        <w:t xml:space="preserve"> in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Bigint + Logic</w:t>
      </w:r>
      <w:r>
        <w:rPr>
          <w:rFonts w:ascii="Calibri" w:hAnsi="Calibri" w:cs="Calibri"/>
        </w:rPr>
        <w:t xml:space="preserve"> Mode</w:t>
      </w:r>
      <w:r>
        <w:rPr>
          <w:rFonts w:ascii="Calibri" w:hAnsi="Calibri" w:cs="Calibri"/>
          <w:highlight w:val="none"/>
        </w:rPr>
      </w:r>
      <w:r/>
    </w:p>
    <w:p>
      <w:pPr>
        <w:pStyle w:val="815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  <w:r/>
    </w:p>
    <w:tbl>
      <w:tblPr>
        <w:tblW w:w="10670" w:type="dxa"/>
        <w:tblInd w:w="-11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0"/>
        <w:gridCol w:w="1135"/>
        <w:gridCol w:w="7835"/>
      </w:tblGrid>
      <w:tr>
        <w:trPr>
          <w:trHeight w:val="289"/>
        </w:trPr>
        <w:tc>
          <w:tcPr>
            <w:shd w:val="clear" w:color="5b9bd5" w:themeColor="accent1" w:fill="5b9bd5" w:themeFill="accent1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5b9bd5" w:themeColor="accent1" w:fill="5b9bd5" w:themeFill="accent1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5b9bd5" w:themeColor="accent1" w:fill="5b9bd5" w:themeFill="accent1"/>
            <w:tcW w:w="78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2"/>
                <w:szCs w:val="22"/>
                <w:lang w:val="en-US" w:eastAsia="en-US" w:bidi="ar-SA"/>
              </w:rPr>
              <w:t xml:space="preserve">numx numy</w:t>
            </w: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 tst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Tests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 whether bit at position 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numy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 of the number 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numx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is set. Returns 1 if true on the stack, else 0. Consumes 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numx 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and 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numy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msk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Mask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shl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shr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o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data modifier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Starts an octal number.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=&gt; o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Con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vert to octal bigint.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h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data modifier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Starts an octal number.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=&gt; h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14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14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Con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vert to octal bigint.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</w:tbl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  <w:i w:val="0"/>
          <w:iCs w:val="0"/>
          <w:highlight w:val="none"/>
        </w:rPr>
      </w:r>
      <w:r>
        <w:rPr>
          <w:rFonts w:ascii="Calibri" w:hAnsi="Calibri" w:cs="Calibri"/>
          <w:i w:val="0"/>
          <w:iCs w:val="0"/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7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Times New Roman">
    <w:panose1 w:val="02020603050405020304"/>
  </w:font>
  <w:font w:name="Abyssinica SIL">
    <w:panose1 w:val="02000000000000000000"/>
  </w:font>
  <w:font w:name="Calibri">
    <w:panose1 w:val="020F0502020204030204"/>
  </w:font>
  <w:font w:name="Symbol">
    <w:panose1 w:val="05010000000000000000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spacing w:before="299" w:after="299"/>
      <w:rPr>
        <w:rFonts w:ascii="Calibri" w:hAnsi="Calibri" w:cs="Calibri"/>
        <w:b w:val="0"/>
        <w:bCs w:val="0"/>
        <w:sz w:val="24"/>
        <w:szCs w:val="24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>
      <w:rPr>
        <w:rFonts w:ascii="Calibri" w:hAnsi="Calibri" w:cs="Calibri"/>
        <w:b w:val="0"/>
        <w:bCs w:val="0"/>
        <w:sz w:val="24"/>
        <w:szCs w:val="24"/>
      </w:rPr>
      <w:t xml:space="preserve">(C) Anirban Banerjee 2023 </w:t>
    </w:r>
    <w:r>
      <w:rPr>
        <w:rFonts w:ascii="Calibri" w:hAnsi="Calibri" w:cs="Calibri"/>
        <w:b w:val="0"/>
        <w:bCs w:val="0"/>
        <w:sz w:val="24"/>
        <w:szCs w:val="24"/>
      </w:rPr>
      <w:t xml:space="preserve">License:</w:t>
    </w:r>
    <w:r>
      <w:rPr>
        <w:rFonts w:ascii="Calibri" w:hAnsi="Calibri" w:cs="Calibri"/>
        <w:b w:val="0"/>
        <w:bCs w:val="0"/>
        <w:sz w:val="24"/>
        <w:szCs w:val="24"/>
      </w:rPr>
      <w:t xml:space="preserve"> GNU </w:t>
    </w:r>
    <w:r>
      <w:rPr>
        <w:rFonts w:ascii="Calibri" w:hAnsi="Calibri" w:eastAsia="Times New Roman" w:cs="Calibri"/>
        <w:b w:val="0"/>
        <w:bCs w:val="0"/>
        <w:color w:val="000000"/>
        <w:sz w:val="24"/>
        <w:szCs w:val="24"/>
      </w:rPr>
      <w:t xml:space="preserve">GNU Free Documentation License v1.3</w:t>
    </w:r>
    <w:r>
      <w:rPr>
        <w:rFonts w:ascii="Calibri" w:hAnsi="Calibri" w:cs="Calibri"/>
        <w:b w:val="0"/>
        <w:bCs w:val="0"/>
        <w:sz w:val="24"/>
        <w:szCs w:val="24"/>
      </w:rPr>
    </w:r>
    <w:r/>
  </w:p>
  <w:p>
    <w:pPr>
      <w:pStyle w:val="859"/>
    </w:pPr>
    <w:r/>
    <w:r/>
  </w:p>
  <w:p>
    <w:pPr>
      <w:pStyle w:val="85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footnote reference"/>
    <w:basedOn w:val="847"/>
    <w:uiPriority w:val="99"/>
    <w:unhideWhenUsed/>
    <w:rPr>
      <w:vertAlign w:val="superscript"/>
    </w:rPr>
  </w:style>
  <w:style w:type="character" w:styleId="813">
    <w:name w:val="endnote reference"/>
    <w:basedOn w:val="847"/>
    <w:uiPriority w:val="99"/>
    <w:semiHidden/>
    <w:unhideWhenUsed/>
    <w:rPr>
      <w:vertAlign w:val="superscript"/>
    </w:rPr>
  </w:style>
  <w:style w:type="paragraph" w:styleId="814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15">
    <w:name w:val="Heading 1"/>
    <w:basedOn w:val="8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16">
    <w:name w:val="Heading 2"/>
    <w:basedOn w:val="8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17">
    <w:name w:val="Heading 3"/>
    <w:basedOn w:val="81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18">
    <w:name w:val="Heading 4"/>
    <w:basedOn w:val="81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19">
    <w:name w:val="Heading 5"/>
    <w:basedOn w:val="8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0">
    <w:name w:val="Heading 6"/>
    <w:basedOn w:val="81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21">
    <w:name w:val="Heading 7"/>
    <w:basedOn w:val="81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2">
    <w:name w:val="Heading 8"/>
    <w:basedOn w:val="8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23">
    <w:name w:val="Heading 9"/>
    <w:basedOn w:val="8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4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25">
    <w:name w:val="Heading 2 Char"/>
    <w:uiPriority w:val="9"/>
    <w:qFormat/>
    <w:rPr>
      <w:rFonts w:ascii="Arial" w:hAnsi="Arial" w:eastAsia="Arial" w:cs="Arial"/>
      <w:sz w:val="34"/>
    </w:rPr>
  </w:style>
  <w:style w:type="character" w:styleId="826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27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28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29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30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3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32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33">
    <w:name w:val="Title Char"/>
    <w:uiPriority w:val="10"/>
    <w:qFormat/>
    <w:rPr>
      <w:sz w:val="48"/>
      <w:szCs w:val="48"/>
    </w:rPr>
  </w:style>
  <w:style w:type="character" w:styleId="834">
    <w:name w:val="Subtitle Char"/>
    <w:uiPriority w:val="11"/>
    <w:qFormat/>
    <w:rPr>
      <w:sz w:val="24"/>
      <w:szCs w:val="24"/>
    </w:rPr>
  </w:style>
  <w:style w:type="character" w:styleId="835">
    <w:name w:val="Quote Char"/>
    <w:uiPriority w:val="29"/>
    <w:qFormat/>
    <w:rPr>
      <w:i/>
    </w:rPr>
  </w:style>
  <w:style w:type="character" w:styleId="836">
    <w:name w:val="Intense Quote Char"/>
    <w:uiPriority w:val="30"/>
    <w:qFormat/>
    <w:rPr>
      <w:i/>
    </w:rPr>
  </w:style>
  <w:style w:type="character" w:styleId="837">
    <w:name w:val="Header Char"/>
    <w:uiPriority w:val="99"/>
    <w:qFormat/>
  </w:style>
  <w:style w:type="character" w:styleId="838">
    <w:name w:val="Footer Char"/>
    <w:uiPriority w:val="99"/>
    <w:qFormat/>
  </w:style>
  <w:style w:type="character" w:styleId="839">
    <w:name w:val="Caption Char"/>
    <w:uiPriority w:val="99"/>
    <w:qFormat/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character" w:styleId="841">
    <w:name w:val="Footnote Text Char"/>
    <w:uiPriority w:val="99"/>
    <w:qFormat/>
    <w:rPr>
      <w:sz w:val="18"/>
    </w:rPr>
  </w:style>
  <w:style w:type="character" w:styleId="842">
    <w:name w:val="Footnote Characters"/>
    <w:uiPriority w:val="99"/>
    <w:unhideWhenUsed/>
    <w:qFormat/>
    <w:rPr>
      <w:vertAlign w:val="superscript"/>
    </w:rPr>
  </w:style>
  <w:style w:type="character" w:styleId="843">
    <w:name w:val="Footnote Anchor"/>
    <w:rPr>
      <w:vertAlign w:val="superscript"/>
    </w:rPr>
  </w:style>
  <w:style w:type="character" w:styleId="844">
    <w:name w:val="Endnote Text Char"/>
    <w:uiPriority w:val="99"/>
    <w:qFormat/>
    <w:rPr>
      <w:sz w:val="20"/>
    </w:rPr>
  </w:style>
  <w:style w:type="character" w:styleId="845">
    <w:name w:val="Endnote Characters"/>
    <w:uiPriority w:val="99"/>
    <w:semiHidden/>
    <w:unhideWhenUsed/>
    <w:qFormat/>
    <w:rPr>
      <w:vertAlign w:val="superscript"/>
    </w:rPr>
  </w:style>
  <w:style w:type="character" w:styleId="846">
    <w:name w:val="Endnote Anchor"/>
    <w:rPr>
      <w:vertAlign w:val="superscript"/>
    </w:rPr>
  </w:style>
  <w:style w:type="character" w:styleId="847" w:default="1">
    <w:name w:val="Default Paragraph Font"/>
    <w:uiPriority w:val="1"/>
    <w:semiHidden/>
    <w:unhideWhenUsed/>
    <w:qFormat/>
  </w:style>
  <w:style w:type="paragraph" w:styleId="848">
    <w:name w:val="Heading"/>
    <w:basedOn w:val="814"/>
    <w:next w:val="849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849">
    <w:name w:val="Body Text"/>
    <w:basedOn w:val="814"/>
    <w:pPr>
      <w:spacing w:before="0" w:after="140" w:line="276" w:lineRule="auto"/>
    </w:pPr>
  </w:style>
  <w:style w:type="paragraph" w:styleId="850">
    <w:name w:val="List"/>
    <w:basedOn w:val="849"/>
    <w:rPr>
      <w:rFonts w:cs="Lohit Devanagari"/>
    </w:rPr>
  </w:style>
  <w:style w:type="paragraph" w:styleId="851">
    <w:name w:val="Caption"/>
    <w:basedOn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52">
    <w:name w:val="Index"/>
    <w:basedOn w:val="814"/>
    <w:qFormat/>
    <w:pPr>
      <w:suppressLineNumbers/>
    </w:pPr>
    <w:rPr>
      <w:rFonts w:cs="Lohit Devanagari"/>
    </w:rPr>
  </w:style>
  <w:style w:type="paragraph" w:styleId="853">
    <w:name w:val="Title"/>
    <w:basedOn w:val="814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54">
    <w:name w:val="Subtitle"/>
    <w:basedOn w:val="814"/>
    <w:uiPriority w:val="11"/>
    <w:qFormat/>
    <w:pPr>
      <w:spacing w:before="200" w:after="200"/>
    </w:pPr>
    <w:rPr>
      <w:sz w:val="24"/>
      <w:szCs w:val="24"/>
    </w:rPr>
  </w:style>
  <w:style w:type="paragraph" w:styleId="855">
    <w:name w:val="Quote"/>
    <w:basedOn w:val="814"/>
    <w:uiPriority w:val="29"/>
    <w:qFormat/>
    <w:pPr>
      <w:ind w:left="720" w:right="720" w:firstLine="0"/>
    </w:pPr>
    <w:rPr>
      <w:i/>
    </w:rPr>
  </w:style>
  <w:style w:type="paragraph" w:styleId="856">
    <w:name w:val="Intense Quote"/>
    <w:basedOn w:val="814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57">
    <w:name w:val="Header and Footer"/>
    <w:basedOn w:val="814"/>
    <w:qFormat/>
  </w:style>
  <w:style w:type="paragraph" w:styleId="858">
    <w:name w:val="Header"/>
    <w:basedOn w:val="81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59">
    <w:name w:val="Footer"/>
    <w:basedOn w:val="81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0">
    <w:name w:val="footnote text"/>
    <w:basedOn w:val="814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61">
    <w:name w:val="endnote text"/>
    <w:basedOn w:val="814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62">
    <w:name w:val="toc 1"/>
    <w:basedOn w:val="814"/>
    <w:uiPriority w:val="39"/>
    <w:unhideWhenUsed/>
    <w:pPr>
      <w:ind w:left="0" w:right="0" w:firstLine="0"/>
      <w:spacing w:before="0" w:after="57"/>
    </w:pPr>
  </w:style>
  <w:style w:type="paragraph" w:styleId="863">
    <w:name w:val="toc 2"/>
    <w:basedOn w:val="814"/>
    <w:uiPriority w:val="39"/>
    <w:unhideWhenUsed/>
    <w:pPr>
      <w:ind w:left="283" w:right="0" w:firstLine="0"/>
      <w:spacing w:before="0" w:after="57"/>
    </w:pPr>
  </w:style>
  <w:style w:type="paragraph" w:styleId="864">
    <w:name w:val="toc 3"/>
    <w:basedOn w:val="814"/>
    <w:uiPriority w:val="39"/>
    <w:unhideWhenUsed/>
    <w:pPr>
      <w:ind w:left="567" w:right="0" w:firstLine="0"/>
      <w:spacing w:before="0" w:after="57"/>
    </w:pPr>
  </w:style>
  <w:style w:type="paragraph" w:styleId="865">
    <w:name w:val="toc 4"/>
    <w:basedOn w:val="814"/>
    <w:uiPriority w:val="39"/>
    <w:unhideWhenUsed/>
    <w:pPr>
      <w:ind w:left="850" w:right="0" w:firstLine="0"/>
      <w:spacing w:before="0" w:after="57"/>
    </w:pPr>
  </w:style>
  <w:style w:type="paragraph" w:styleId="866">
    <w:name w:val="toc 5"/>
    <w:basedOn w:val="814"/>
    <w:uiPriority w:val="39"/>
    <w:unhideWhenUsed/>
    <w:pPr>
      <w:ind w:left="1134" w:right="0" w:firstLine="0"/>
      <w:spacing w:before="0" w:after="57"/>
    </w:pPr>
  </w:style>
  <w:style w:type="paragraph" w:styleId="867">
    <w:name w:val="toc 6"/>
    <w:basedOn w:val="814"/>
    <w:uiPriority w:val="39"/>
    <w:unhideWhenUsed/>
    <w:pPr>
      <w:ind w:left="1417" w:right="0" w:firstLine="0"/>
      <w:spacing w:before="0" w:after="57"/>
    </w:pPr>
  </w:style>
  <w:style w:type="paragraph" w:styleId="868">
    <w:name w:val="toc 7"/>
    <w:basedOn w:val="814"/>
    <w:uiPriority w:val="39"/>
    <w:unhideWhenUsed/>
    <w:pPr>
      <w:ind w:left="1701" w:right="0" w:firstLine="0"/>
      <w:spacing w:before="0" w:after="57"/>
    </w:pPr>
  </w:style>
  <w:style w:type="paragraph" w:styleId="869">
    <w:name w:val="toc 8"/>
    <w:basedOn w:val="814"/>
    <w:uiPriority w:val="39"/>
    <w:unhideWhenUsed/>
    <w:pPr>
      <w:ind w:left="1984" w:right="0" w:firstLine="0"/>
      <w:spacing w:before="0" w:after="57"/>
    </w:pPr>
  </w:style>
  <w:style w:type="paragraph" w:styleId="870">
    <w:name w:val="toc 9"/>
    <w:basedOn w:val="814"/>
    <w:uiPriority w:val="39"/>
    <w:unhideWhenUsed/>
    <w:pPr>
      <w:ind w:left="2268" w:right="0" w:firstLine="0"/>
      <w:spacing w:before="0" w:after="57"/>
    </w:pPr>
  </w:style>
  <w:style w:type="paragraph" w:styleId="871">
    <w:name w:val="Index Heading"/>
    <w:basedOn w:val="848"/>
  </w:style>
  <w:style w:type="paragraph" w:styleId="872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73">
    <w:name w:val="table of figures"/>
    <w:basedOn w:val="814"/>
    <w:uiPriority w:val="99"/>
    <w:unhideWhenUsed/>
    <w:qFormat/>
    <w:pPr>
      <w:spacing w:before="0" w:after="0" w:afterAutospacing="0"/>
    </w:pPr>
  </w:style>
  <w:style w:type="paragraph" w:styleId="874">
    <w:name w:val="No Spacing"/>
    <w:basedOn w:val="814"/>
    <w:uiPriority w:val="1"/>
    <w:qFormat/>
    <w:pPr>
      <w:spacing w:before="0" w:after="0" w:line="240" w:lineRule="auto"/>
    </w:pPr>
  </w:style>
  <w:style w:type="paragraph" w:styleId="875">
    <w:name w:val="List Paragraph"/>
    <w:basedOn w:val="814"/>
    <w:uiPriority w:val="34"/>
    <w:qFormat/>
    <w:pPr>
      <w:contextualSpacing/>
      <w:ind w:left="720" w:firstLine="0"/>
      <w:spacing w:before="0" w:after="200"/>
    </w:pPr>
  </w:style>
  <w:style w:type="numbering" w:styleId="876" w:default="1">
    <w:name w:val="No List"/>
    <w:uiPriority w:val="99"/>
    <w:semiHidden/>
    <w:unhideWhenUsed/>
    <w:qFormat/>
  </w:style>
  <w:style w:type="table" w:styleId="87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10</cp:revision>
  <dcterms:modified xsi:type="dcterms:W3CDTF">2025-02-14T01:59:16Z</dcterms:modified>
</cp:coreProperties>
</file>