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75"/>
        <w:ind w:left="-1134" w:right="0" w:firstLine="142"/>
        <w:spacing w:before="480" w:after="200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Keywords</w:t>
      </w:r>
      <w:r/>
    </w:p>
    <w:tbl>
      <w:tblPr>
        <w:tblW w:w="10670" w:type="dxa"/>
        <w:tblInd w:w="-1134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00"/>
        <w:gridCol w:w="1135"/>
        <w:gridCol w:w="7835"/>
      </w:tblGrid>
      <w:tr>
        <w:trPr/>
        <w:tc>
          <w:tcPr>
            <w:shd w:val="clear" w:color="ffffff" w:themeColor="accent1" w:themeTint="EA" w:fill="67a4d8" w:themeFill="accent1" w:themeFillTint="EA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Command</w:t>
            </w:r>
            <w:r/>
          </w:p>
        </w:tc>
        <w:tc>
          <w:tcPr>
            <w:shd w:val="clear" w:color="ffffff" w:themeColor="accent1" w:themeTint="EA" w:fill="67a4d8" w:themeFill="accent1" w:themeFillTint="EA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/>
          </w:p>
        </w:tc>
        <w:tc>
          <w:tcPr>
            <w:shd w:val="clear" w:color="ffffff" w:themeColor="accent1" w:themeTint="EA" w:fill="67a4d8" w:themeFill="accent1" w:themeFillTint="EA"/>
            <w:tcW w:w="78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any literal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Push a literal, the value of a variable or a string into the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stack. If the literal is not a double precision number or a variable, it will be a bigint or a string (can  be optionally placed inside double quotes). If it is a bigint (a long string possibly representing a decimal number), double quotes won’t be added.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sz w:val="20"/>
                <w:szCs w:val="20"/>
              </w:rPr>
            </w:pP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num‘r’, ‘</w:t>
            </w:r>
            <w:r>
              <w:rPr>
                <w:rFonts w:ascii="Andale Mono" w:hAnsi="Andale Mono" w:eastAsia="Arial" w:cs="Andale Mono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l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’, ‘c’</w:t>
            </w:r>
            <w:r/>
          </w:p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ourier New" w:hAnsi="Courier New" w:cs="Courier New"/>
                <w:bCs/>
                <w:i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e.g.,</w:t>
            </w:r>
            <w:r>
              <w:rPr>
                <w:rFonts w:eastAsia="Arial"/>
                <w:b/>
                <w:color w:val="40404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4.7e-3</w:t>
            </w:r>
            <w:r>
              <w:rPr>
                <w:rFonts w:ascii="Andale Mono" w:hAnsi="Andale Mono" w:eastAsia="Arial" w:cs="Andale Mono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l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 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Any numeric literal followed by one of the characters‘r’, ‘l’ or ‘c’, i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ndicating resistance, inductance or capacitance. The literal value will be stored on the stack but will be interpreted as an impedance value for a frequency in a variable called ‘f’. If variable ‘f’ doesn’t exist, a frequency value of  1Hz will be assumed.</w:t>
            </w:r>
            <w:r/>
          </w:p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For example, </w:t>
            </w:r>
            <w:r>
              <w:rPr>
                <w:rFonts w:ascii="Courier New" w:hAnsi="Courier New" w:eastAsia="Arial" w:cs="Courier New"/>
                <w:sz w:val="20"/>
                <w:szCs w:val="20"/>
                <w:lang w:val="en-US" w:eastAsia="en-US" w:bidi="ar-SA"/>
              </w:rPr>
              <w:t xml:space="preserve">4.7e-3l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 is the impedance of a 4.7mH inductor, or </w:t>
            </w:r>
            <w:r>
              <w:rPr>
                <w:rFonts w:ascii="Courier New" w:hAnsi="Courier New" w:eastAsia="Arial" w:cs="Courier New"/>
                <w:sz w:val="20"/>
                <w:szCs w:val="20"/>
                <w:lang w:val="en-US" w:eastAsia="en-US" w:bidi="ar-SA"/>
              </w:rPr>
              <w:t xml:space="preserve">29.531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j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 ohms at 1000Hz.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(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numR numI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)</w:t>
            </w:r>
            <w:r/>
          </w:p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or </w:t>
            </w:r>
            <w:r/>
          </w:p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(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numR,numI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)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Push a double precision complex number with real part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numR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and imaginary part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numI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into the stack.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(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numI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)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Push a double precision imaginary number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numI 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into the stack.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Push the value of the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acc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register into the stack.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“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a”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Push a string, which can be an arbitrarily long decimal integer (a </w:t>
            </w:r>
            <w:r>
              <w:rPr>
                <w:rFonts w:ascii="Calibri" w:hAnsi="Calibri" w:eastAsia="Arial" w:cs="Calibri"/>
                <w:i/>
                <w:iCs/>
                <w:sz w:val="20"/>
                <w:szCs w:val="20"/>
                <w:lang w:val="en-US" w:eastAsia="en-US" w:bidi="ar-SA"/>
              </w:rPr>
              <w:t xml:space="preserve">bigint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) into the stack. If the string is a bigint, {+ - * / max min &gt; &lt; &gt;= &lt;= = != } operators can be used.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b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Push the double precision or complex value of the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bak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register into the stack.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va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Push the vector in the vector register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vacc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 into the stack.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@ 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or a@ or 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@a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Pop the ToS element to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acc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register. This pops individual entries from a vector or matrix.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b@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 or @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b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Pop the ToS element to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bak 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register. This pops individual entries from a vector or matrix.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eastAsia="Arial"/>
                <w:b/>
                <w:i w:val="0"/>
                <w:iCs w:val="0"/>
                <w:color w:val="404040"/>
                <w:lang w:val="en-US" w:eastAsia="en-US" w:bidi="ar-SA"/>
              </w:rPr>
            </w:pPr>
            <w:r>
              <w:rPr>
                <w:rFonts w:ascii="Courier New" w:hAnsi="Courier New" w:eastAsia="Arial" w:cs="Courier New"/>
                <w:b/>
                <w:i w:val="0"/>
                <w:iCs w:val="0"/>
                <w:color w:val="404040"/>
                <w:sz w:val="20"/>
                <w:szCs w:val="20"/>
                <w:lang w:val="en-US" w:eastAsia="en-US" w:bidi="ar-SA"/>
              </w:rPr>
              <w:t xml:space="preserve">@</w:t>
            </w:r>
            <w:r>
              <w:rPr>
                <w:rFonts w:ascii="Courier New" w:hAnsi="Courier New" w:eastAsia="Arial" w:cs="Courier New"/>
                <w:b/>
                <w:i w:val="0"/>
                <w:iCs w:val="0"/>
                <w:color w:val="404040"/>
                <w:sz w:val="20"/>
                <w:szCs w:val="20"/>
                <w:lang w:val="en-US" w:eastAsia="en-US" w:bidi="ar-SA"/>
              </w:rPr>
              <w:t xml:space="preserve">@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Pop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(must be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a number </w:t>
            </w:r>
            <w:r>
              <w:rPr>
                <w:rFonts w:ascii="Abyssinica SIL" w:hAnsi="Abyssinica SIL" w:eastAsia="Abyssinica SIL" w:cs="Abyssinica SIL"/>
                <w:color w:val="404040"/>
                <w:sz w:val="20"/>
                <w:szCs w:val="20"/>
                <w:lang w:val="en-US" w:eastAsia="en-US" w:bidi="ar-SA"/>
              </w:rPr>
              <w:t xml:space="preserve">≥</w:t>
            </w:r>
            <w:r>
              <w:rPr>
                <w:rFonts w:ascii="Courier New" w:hAnsi="Courier New" w:eastAsia="Arial" w:cs="Courier New"/>
                <w:color w:val="404040"/>
                <w:sz w:val="20"/>
                <w:szCs w:val="20"/>
                <w:lang w:val="en-US" w:eastAsia="en-US" w:bidi="ar-SA"/>
              </w:rPr>
              <w:t xml:space="preserve">0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) entities from the stack into the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acc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register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where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is the value on the top of the stack.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A vector or matrix is considered a single element and will be popped entirely. If the last entity is a vector, it will be popped into a variable that can be accessed using the variable name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vacc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. If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is 0, the entire stack will be cleared. If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is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less than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0,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no values will be popped and an error will result.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The Execution Stack, which tracks conditionals will not be cleared (vector/matrices entry is also tracked using the execStack, will be adjusted after this operation).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varname</w:t>
            </w:r>
            <w:r>
              <w:rPr>
                <w:rFonts w:ascii="Courier New" w:hAnsi="Courier New" w:eastAsia="Arial" w:cs="Courier New"/>
                <w:b/>
                <w:i w:val="0"/>
                <w:iCs w:val="0"/>
                <w:color w:val="404040"/>
                <w:sz w:val="20"/>
                <w:szCs w:val="20"/>
                <w:lang w:val="en-US" w:eastAsia="en-US" w:bidi="ar-SA"/>
              </w:rPr>
              <w:t xml:space="preserve">@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 or 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@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varname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Pop ToS element into a variable named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varname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. This might result in a partial vector or matrix on the stack.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varname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? or ?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varname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Print the variable named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varname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. 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? a? 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?a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Print the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acc 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register.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B? or ?b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Print the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bak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register.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Va? or ?va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Print the vector register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vacc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”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string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”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? or ?”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string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” 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Print the literal string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string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(printed without the double quotes).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[ 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]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Start or end a vector.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[[ 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]]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Start or end a matrix.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( 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)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Encloses a complex number.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dup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Duplicate the ToS.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swp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Swap ToS with element prior to ToS.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if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conditional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Execute if the ToS element  does not equal 0 or is a string.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el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conditional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Execute if the ToS element equals 0.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fi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conditional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End an </w:t>
            </w:r>
            <w:r>
              <w:rPr>
                <w:rFonts w:ascii="Courier New" w:hAnsi="Courier New" w:eastAsia="Arial" w:cs="Courier New"/>
                <w:b/>
                <w:bCs/>
                <w:color w:val="404040"/>
                <w:sz w:val="20"/>
                <w:szCs w:val="20"/>
                <w:lang w:val="en-US" w:eastAsia="en-US" w:bidi="ar-SA"/>
              </w:rPr>
              <w:t xml:space="preserve">if-el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block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label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: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label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A label used for </w:t>
            </w:r>
            <w:r>
              <w:rPr>
                <w:rFonts w:ascii="Courier New" w:hAnsi="Courier New" w:eastAsia="Arial" w:cs="Courier New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jmp</w:t>
            </w:r>
            <w:r>
              <w:rPr>
                <w:rFonts w:ascii="Calibri" w:hAnsi="Calibri" w:eastAsia="Arial" w:cs="Calibri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ascii="Courier New" w:hAnsi="Courier New" w:eastAsia="Arial" w:cs="Courier New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jz </w:t>
            </w:r>
            <w:r>
              <w:rPr>
                <w:rFonts w:ascii="Calibri" w:hAnsi="Calibri" w:eastAsia="Arial" w:cs="Calibri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jnz</w:t>
            </w:r>
            <w:r>
              <w:rPr>
                <w:rFonts w:ascii="Calibri" w:hAnsi="Calibri" w:eastAsia="Arial" w:cs="Calibri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jmp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unconditional jump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Jump to a label.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jz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conditional jump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Jump to a label if ToS is 0.</w:t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jnz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conditional jump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Jump to a label if ToS is not 0 or is a string.</w:t>
            </w:r>
            <w:r/>
          </w:p>
        </w:tc>
      </w:tr>
      <w:tr>
        <w:trPr>
          <w:trHeight w:val="310"/>
        </w:trPr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+ - * /  max min &gt; &lt; &gt;= &lt;= = !=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The usual arithmetic operators. Works for regular numbers (complex) or bigint strings.</w:t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77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77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</w:tr>
    </w:tbl>
    <w:p>
      <w:pPr>
        <w:pStyle w:val="774"/>
        <w:rPr>
          <w:rFonts w:ascii="Calibri" w:hAnsi="Calibri" w:cs="Calibri"/>
        </w:rPr>
      </w:pPr>
      <w:r>
        <w:rPr>
          <w:rFonts w:ascii="Calibri" w:hAnsi="Calibri" w:cs="Calibri"/>
        </w:rPr>
      </w:r>
      <w:r/>
    </w:p>
    <w:p>
      <w:pPr>
        <w:pStyle w:val="775"/>
        <w:ind w:left="-1134" w:right="0" w:firstLine="142"/>
        <w:rPr>
          <w:rFonts w:ascii="Calibri" w:hAnsi="Calibri" w:cs="Calibri"/>
        </w:rPr>
      </w:pPr>
      <w:r>
        <w:rPr>
          <w:rFonts w:ascii="Calibri" w:hAnsi="Calibri" w:cs="Calibri"/>
        </w:rPr>
        <w:t xml:space="preserve">Examples</w:t>
      </w:r>
      <w:r/>
    </w:p>
    <w:p>
      <w:pPr>
        <w:pStyle w:val="774"/>
        <w:rPr>
          <w:highlight w:val="none"/>
        </w:rPr>
      </w:pPr>
      <w:r>
        <w:rPr>
          <w:rFonts w:ascii="Calibri" w:hAnsi="Calibri" w:cs="Calibri"/>
        </w:rPr>
        <w:t xml:space="preserve">Calculate the impedance between the terminals A and B in the diagram below at a frequency of 1kHz.</w:t>
      </w:r>
      <w:r/>
    </w:p>
    <w:p>
      <w:pPr>
        <w:pStyle w:val="774"/>
        <w:ind w:left="1417" w:firstLine="0"/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21255" cy="186436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421255" cy="186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90.6pt;height:146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774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full sequence:</w:t>
      </w:r>
      <w:r/>
    </w:p>
    <w:p>
      <w:pPr>
        <w:pStyle w:val="77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</w:rPr>
        <w:t xml:space="preserve">1000 f@</w:t>
      </w:r>
      <w:r>
        <w:rPr>
          <w:rFonts w:ascii="Courier New" w:hAnsi="Courier New" w:cs="Courier New"/>
        </w:rPr>
        <w:t xml:space="preserve"> 4.7e3r 1e-3l 10e-6c + 3 + 47e3 // +</w:t>
      </w:r>
      <w:r/>
    </w:p>
    <w:p>
      <w:pPr>
        <w:pStyle w:val="774"/>
        <w:ind w:left="0" w:firstLine="0"/>
        <w:jc w:val="left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Explanation:</w:t>
      </w:r>
      <w:r/>
    </w:p>
    <w:p>
      <w:pPr>
        <w:pStyle w:val="835"/>
        <w:numPr>
          <w:ilvl w:val="0"/>
          <w:numId w:val="1"/>
        </w:numPr>
        <w:jc w:val="left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Enter the frequency</w:t>
      </w:r>
      <w:r/>
    </w:p>
    <w:p>
      <w:pPr>
        <w:pStyle w:val="774"/>
        <w:ind w:left="709" w:firstLine="0"/>
        <w:jc w:val="left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</w:rPr>
        <w:t xml:space="preserve">1000 f@</w:t>
      </w:r>
      <w:r/>
    </w:p>
    <w:p>
      <w:pPr>
        <w:pStyle w:val="835"/>
        <w:numPr>
          <w:ilvl w:val="0"/>
          <w:numId w:val="2"/>
        </w:numPr>
        <w:jc w:val="left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Compute the impedance for the last loop as </w:t>
      </w:r>
      <w:r>
        <w:rPr>
          <w:rFonts w:ascii="Courier New" w:hAnsi="Courier New" w:cs="Courier New"/>
        </w:rPr>
        <w:t xml:space="preserve">(3 -9.6323)</w:t>
      </w:r>
      <w:r>
        <w:rPr>
          <w:rFonts w:ascii="Calibri" w:hAnsi="Calibri" w:cs="Calibri"/>
        </w:rPr>
        <w:t xml:space="preserve"> = 3 - 9.6323</w:t>
      </w:r>
      <w:r>
        <w:rPr>
          <w:rFonts w:ascii="Calibri" w:hAnsi="Calibri" w:cs="Calibri"/>
          <w:i/>
          <w:iCs/>
        </w:rPr>
        <w:t xml:space="preserve">j</w:t>
      </w:r>
      <w:r>
        <w:rPr>
          <w:rFonts w:ascii="Calibri" w:hAnsi="Calibri" w:cs="Calibri"/>
        </w:rPr>
        <w:t xml:space="preserve"> ohm</w:t>
      </w:r>
      <w:r/>
    </w:p>
    <w:p>
      <w:pPr>
        <w:pStyle w:val="774"/>
        <w:ind w:left="0" w:firstLine="708"/>
        <w:jc w:val="left"/>
        <w:rPr>
          <w:highlight w:val="none"/>
        </w:rPr>
      </w:pPr>
      <w:r>
        <w:rPr>
          <w:rFonts w:ascii="Courier New" w:hAnsi="Courier New" w:cs="Courier New"/>
        </w:rPr>
        <w:t xml:space="preserve">4.7e3r </w:t>
      </w:r>
      <w:r>
        <w:rPr>
          <w:rFonts w:ascii="Courier New" w:hAnsi="Courier New" w:cs="Courier New"/>
          <w:highlight w:val="yellow"/>
          <w:u w:val="single"/>
        </w:rPr>
        <w:t xml:space="preserve">1e-3l 10e-6c + 3 +</w:t>
      </w:r>
      <w:r>
        <w:rPr>
          <w:rFonts w:ascii="Courier New" w:hAnsi="Courier New" w:cs="Courier New"/>
        </w:rPr>
        <w:t xml:space="preserve"> 47e3 // +</w:t>
      </w:r>
      <w:r/>
    </w:p>
    <w:p>
      <w:pPr>
        <w:pStyle w:val="835"/>
        <w:numPr>
          <w:ilvl w:val="0"/>
          <w:numId w:val="3"/>
        </w:numPr>
        <w:jc w:val="left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Compute the impedance for the parallel loops as </w:t>
      </w:r>
      <w:r>
        <w:rPr>
          <w:rFonts w:ascii="Courier New" w:hAnsi="Courier New" w:cs="Courier New"/>
        </w:rPr>
        <w:t xml:space="preserve">(3.0018  - 9.631)</w:t>
      </w:r>
      <w:r>
        <w:rPr>
          <w:rFonts w:ascii="Calibri" w:hAnsi="Calibri" w:cs="Calibri"/>
        </w:rPr>
        <w:t xml:space="preserve"> = 3.0018 - 9.631</w:t>
      </w:r>
      <w:r>
        <w:rPr>
          <w:rFonts w:ascii="Calibri" w:hAnsi="Calibri" w:cs="Calibri"/>
          <w:i/>
          <w:iCs/>
        </w:rPr>
        <w:t xml:space="preserve">j</w:t>
      </w:r>
      <w:r>
        <w:rPr>
          <w:rFonts w:ascii="Calibri" w:hAnsi="Calibri" w:cs="Calibri"/>
          <w:i w:val="0"/>
          <w:iCs w:val="0"/>
        </w:rPr>
        <w:t xml:space="preserve"> ohm</w:t>
      </w:r>
      <w:r/>
    </w:p>
    <w:p>
      <w:pPr>
        <w:pStyle w:val="774"/>
        <w:ind w:left="0" w:firstLine="708"/>
        <w:jc w:val="left"/>
        <w:rPr>
          <w:highlight w:val="none"/>
        </w:rPr>
      </w:pPr>
      <w:r>
        <w:rPr>
          <w:rFonts w:ascii="Courier New" w:hAnsi="Courier New" w:cs="Courier New"/>
        </w:rPr>
        <w:t xml:space="preserve">4.7e3r </w:t>
      </w:r>
      <w:r>
        <w:rPr>
          <w:rFonts w:ascii="Courier New" w:hAnsi="Courier New" w:cs="Courier New"/>
          <w:highlight w:val="yellow"/>
          <w:u w:val="single"/>
        </w:rPr>
        <w:t xml:space="preserve">(3 -9.6323) 47e3 //</w:t>
      </w:r>
      <w:r>
        <w:rPr>
          <w:rFonts w:ascii="Courier New" w:hAnsi="Courier New" w:cs="Courier New"/>
        </w:rPr>
        <w:t xml:space="preserve"> +</w:t>
      </w:r>
      <w:r/>
    </w:p>
    <w:p>
      <w:pPr>
        <w:pStyle w:val="835"/>
        <w:numPr>
          <w:ilvl w:val="0"/>
          <w:numId w:val="4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Compute the impedance in series with the first resistor as </w:t>
      </w:r>
      <w:r>
        <w:rPr>
          <w:rFonts w:ascii="Courier New" w:hAnsi="Courier New" w:cs="Courier New"/>
        </w:rPr>
        <w:t xml:space="preserve">(4703.0018 -9.631)</w:t>
      </w:r>
      <w:r>
        <w:rPr>
          <w:rFonts w:ascii="Calibri" w:hAnsi="Calibri" w:cs="Calibri"/>
        </w:rPr>
        <w:t xml:space="preserve"> = 4703.0018 -9.631</w:t>
      </w:r>
      <w:r>
        <w:rPr>
          <w:rFonts w:ascii="Calibri" w:hAnsi="Calibri" w:cs="Calibri"/>
          <w:i/>
          <w:iCs/>
        </w:rPr>
        <w:t xml:space="preserve">j</w:t>
      </w:r>
      <w:r>
        <w:rPr>
          <w:rFonts w:ascii="Calibri" w:hAnsi="Calibri" w:cs="Calibri"/>
          <w:i w:val="0"/>
          <w:iCs w:val="0"/>
        </w:rPr>
        <w:t xml:space="preserve"> ohm</w:t>
      </w:r>
      <w:r/>
    </w:p>
    <w:p>
      <w:pPr>
        <w:pStyle w:val="774"/>
        <w:ind w:left="0" w:firstLine="708"/>
        <w:jc w:val="left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yellow"/>
          <w:u w:val="single"/>
        </w:rPr>
        <w:t xml:space="preserve">4.7e3r (3.0018 -9.6311) +</w:t>
      </w:r>
      <w:r/>
    </w:p>
    <w:p>
      <w:pPr>
        <w:pStyle w:val="774"/>
        <w:ind w:left="709" w:firstLine="0"/>
        <w:jc w:val="left"/>
      </w:pPr>
      <w:r/>
      <w:r/>
    </w:p>
    <w:p>
      <w:pPr>
        <w:pStyle w:val="774"/>
        <w:ind w:left="0" w:firstLine="0"/>
        <w:jc w:val="left"/>
        <w:spacing w:before="0" w:after="200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Answer is </w:t>
      </w:r>
      <w:r>
        <w:rPr>
          <w:rFonts w:ascii="Calibri" w:hAnsi="Calibri" w:cs="Calibri"/>
          <w:b/>
          <w:bCs/>
        </w:rPr>
        <w:t xml:space="preserve">4703.0018 - 9.631</w:t>
      </w:r>
      <w:r>
        <w:rPr>
          <w:rFonts w:ascii="Calibri" w:hAnsi="Calibri" w:cs="Calibri"/>
          <w:b/>
          <w:bCs/>
          <w:i/>
          <w:iCs/>
        </w:rPr>
        <w:t xml:space="preserve">j</w:t>
      </w:r>
      <w:r>
        <w:rPr>
          <w:rFonts w:ascii="Calibri" w:hAnsi="Calibri" w:cs="Calibri"/>
          <w:i w:val="0"/>
          <w:iCs w:val="0"/>
        </w:rPr>
        <w:t xml:space="preserve"> ohm</w:t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567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Mono">
    <w:panose1 w:val="020B0509000000000004"/>
  </w:font>
  <w:font w:name="Times New Roman">
    <w:panose1 w:val="02020603050405020304"/>
  </w:font>
  <w:font w:name="Abyssinica SIL">
    <w:panose1 w:val="02000000000000000000"/>
  </w:font>
  <w:font w:name="Calibri">
    <w:panose1 w:val="020F0502020204030204"/>
  </w:font>
  <w:font w:name="Symbol">
    <w:panose1 w:val="05010000000000000000"/>
  </w:font>
  <w:font w:name="DejaVu Sans">
    <w:panose1 w:val="020B0603030804020204"/>
  </w:font>
  <w:font w:name="Courier New">
    <w:panose1 w:val="020703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spacing w:before="299" w:after="299"/>
      <w:rPr>
        <w:rFonts w:ascii="Calibri" w:hAnsi="Calibri" w:cs="Calibri"/>
        <w:b w:val="0"/>
        <w:bCs w:val="0"/>
        <w:sz w:val="24"/>
        <w:szCs w:val="24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>
      <w:rPr>
        <w:rFonts w:ascii="Calibri" w:hAnsi="Calibri" w:cs="Calibri"/>
        <w:b w:val="0"/>
        <w:bCs w:val="0"/>
        <w:sz w:val="24"/>
        <w:szCs w:val="24"/>
      </w:rPr>
      <w:t xml:space="preserve">(C) Anirban Banerjee 2023 </w:t>
    </w:r>
    <w:r>
      <w:rPr>
        <w:rFonts w:ascii="Calibri" w:hAnsi="Calibri" w:cs="Calibri"/>
        <w:b w:val="0"/>
        <w:bCs w:val="0"/>
        <w:sz w:val="24"/>
        <w:szCs w:val="24"/>
      </w:rPr>
      <w:t xml:space="preserve">License:</w:t>
    </w:r>
    <w:r>
      <w:rPr>
        <w:rFonts w:ascii="Calibri" w:hAnsi="Calibri" w:cs="Calibri"/>
        <w:b w:val="0"/>
        <w:bCs w:val="0"/>
        <w:sz w:val="24"/>
        <w:szCs w:val="24"/>
      </w:rPr>
      <w:t xml:space="preserve"> GNU </w:t>
    </w:r>
    <w:r>
      <w:rPr>
        <w:rFonts w:ascii="Calibri" w:hAnsi="Calibri" w:eastAsia="Times New Roman" w:cs="Calibri"/>
        <w:b w:val="0"/>
        <w:bCs w:val="0"/>
        <w:color w:val="000000"/>
        <w:sz w:val="24"/>
        <w:szCs w:val="24"/>
      </w:rPr>
      <w:t xml:space="preserve">GNU Free Documentation License v1.3</w:t>
    </w:r>
    <w:r>
      <w:rPr>
        <w:rFonts w:ascii="Calibri" w:hAnsi="Calibri" w:cs="Calibri"/>
        <w:b w:val="0"/>
        <w:bCs w:val="0"/>
        <w:sz w:val="24"/>
        <w:szCs w:val="24"/>
      </w:rPr>
    </w:r>
  </w:p>
  <w:p>
    <w:pPr>
      <w:pStyle w:val="819"/>
    </w:pPr>
    <w:r/>
    <w:r/>
    <w:r/>
  </w:p>
  <w:p>
    <w:pPr>
      <w:pStyle w:val="81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4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4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4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4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5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7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7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7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7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7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8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8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8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68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68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68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68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68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68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8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1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1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1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1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1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1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1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3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3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4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4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4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4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4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4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4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4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4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4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5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5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5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5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5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5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5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5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6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6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6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6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6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6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6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6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6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6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7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7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72">
    <w:name w:val="footnote reference"/>
    <w:basedOn w:val="807"/>
    <w:uiPriority w:val="99"/>
    <w:unhideWhenUsed/>
    <w:rPr>
      <w:vertAlign w:val="superscript"/>
    </w:rPr>
  </w:style>
  <w:style w:type="character" w:styleId="773">
    <w:name w:val="endnote reference"/>
    <w:basedOn w:val="807"/>
    <w:uiPriority w:val="99"/>
    <w:semiHidden/>
    <w:unhideWhenUsed/>
    <w:rPr>
      <w:vertAlign w:val="superscript"/>
    </w:rPr>
  </w:style>
  <w:style w:type="paragraph" w:styleId="774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75">
    <w:name w:val="Heading 1"/>
    <w:basedOn w:val="77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776">
    <w:name w:val="Heading 2"/>
    <w:basedOn w:val="77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77">
    <w:name w:val="Heading 3"/>
    <w:basedOn w:val="77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78">
    <w:name w:val="Heading 4"/>
    <w:basedOn w:val="77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79">
    <w:name w:val="Heading 5"/>
    <w:basedOn w:val="77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80">
    <w:name w:val="Heading 6"/>
    <w:basedOn w:val="77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81">
    <w:name w:val="Heading 7"/>
    <w:basedOn w:val="77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82">
    <w:name w:val="Heading 8"/>
    <w:basedOn w:val="7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83">
    <w:name w:val="Heading 9"/>
    <w:basedOn w:val="7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4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785">
    <w:name w:val="Heading 2 Char"/>
    <w:uiPriority w:val="9"/>
    <w:qFormat/>
    <w:rPr>
      <w:rFonts w:ascii="Arial" w:hAnsi="Arial" w:eastAsia="Arial" w:cs="Arial"/>
      <w:sz w:val="34"/>
    </w:rPr>
  </w:style>
  <w:style w:type="character" w:styleId="786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787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88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89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90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791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792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793">
    <w:name w:val="Title Char"/>
    <w:uiPriority w:val="10"/>
    <w:qFormat/>
    <w:rPr>
      <w:sz w:val="48"/>
      <w:szCs w:val="48"/>
    </w:rPr>
  </w:style>
  <w:style w:type="character" w:styleId="794">
    <w:name w:val="Subtitle Char"/>
    <w:uiPriority w:val="11"/>
    <w:qFormat/>
    <w:rPr>
      <w:sz w:val="24"/>
      <w:szCs w:val="24"/>
    </w:rPr>
  </w:style>
  <w:style w:type="character" w:styleId="795">
    <w:name w:val="Quote Char"/>
    <w:uiPriority w:val="29"/>
    <w:qFormat/>
    <w:rPr>
      <w:i/>
    </w:rPr>
  </w:style>
  <w:style w:type="character" w:styleId="796">
    <w:name w:val="Intense Quote Char"/>
    <w:uiPriority w:val="30"/>
    <w:qFormat/>
    <w:rPr>
      <w:i/>
    </w:rPr>
  </w:style>
  <w:style w:type="character" w:styleId="797">
    <w:name w:val="Header Char"/>
    <w:uiPriority w:val="99"/>
    <w:qFormat/>
  </w:style>
  <w:style w:type="character" w:styleId="798">
    <w:name w:val="Footer Char"/>
    <w:uiPriority w:val="99"/>
    <w:qFormat/>
  </w:style>
  <w:style w:type="character" w:styleId="799">
    <w:name w:val="Caption Char"/>
    <w:uiPriority w:val="99"/>
    <w:qFormat/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character" w:styleId="801">
    <w:name w:val="Footnote Text Char"/>
    <w:uiPriority w:val="99"/>
    <w:qFormat/>
    <w:rPr>
      <w:sz w:val="18"/>
    </w:rPr>
  </w:style>
  <w:style w:type="character" w:styleId="802">
    <w:name w:val="Footnote Characters"/>
    <w:uiPriority w:val="99"/>
    <w:unhideWhenUsed/>
    <w:qFormat/>
    <w:rPr>
      <w:vertAlign w:val="superscript"/>
    </w:rPr>
  </w:style>
  <w:style w:type="character" w:styleId="803">
    <w:name w:val="Footnote Anchor"/>
    <w:rPr>
      <w:vertAlign w:val="superscript"/>
    </w:rPr>
  </w:style>
  <w:style w:type="character" w:styleId="804">
    <w:name w:val="Endnote Text Char"/>
    <w:uiPriority w:val="99"/>
    <w:qFormat/>
    <w:rPr>
      <w:sz w:val="20"/>
    </w:rPr>
  </w:style>
  <w:style w:type="character" w:styleId="805">
    <w:name w:val="Endnote Characters"/>
    <w:uiPriority w:val="99"/>
    <w:semiHidden/>
    <w:unhideWhenUsed/>
    <w:qFormat/>
    <w:rPr>
      <w:vertAlign w:val="superscript"/>
    </w:rPr>
  </w:style>
  <w:style w:type="character" w:styleId="806">
    <w:name w:val="Endnote Anchor"/>
    <w:rPr>
      <w:vertAlign w:val="superscript"/>
    </w:rPr>
  </w:style>
  <w:style w:type="character" w:styleId="807" w:default="1">
    <w:name w:val="Default Paragraph Font"/>
    <w:uiPriority w:val="1"/>
    <w:semiHidden/>
    <w:unhideWhenUsed/>
    <w:qFormat/>
  </w:style>
  <w:style w:type="paragraph" w:styleId="808">
    <w:name w:val="Heading"/>
    <w:basedOn w:val="774"/>
    <w:next w:val="809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809">
    <w:name w:val="Body Text"/>
    <w:basedOn w:val="774"/>
    <w:pPr>
      <w:spacing w:before="0" w:after="140" w:line="276" w:lineRule="auto"/>
    </w:pPr>
  </w:style>
  <w:style w:type="paragraph" w:styleId="810">
    <w:name w:val="List"/>
    <w:basedOn w:val="809"/>
    <w:rPr>
      <w:rFonts w:cs="Lohit Devanagari"/>
    </w:rPr>
  </w:style>
  <w:style w:type="paragraph" w:styleId="811">
    <w:name w:val="Caption"/>
    <w:basedOn w:val="77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12">
    <w:name w:val="Index"/>
    <w:basedOn w:val="774"/>
    <w:qFormat/>
    <w:pPr>
      <w:suppressLineNumbers/>
    </w:pPr>
    <w:rPr>
      <w:rFonts w:cs="Lohit Devanagari"/>
    </w:rPr>
  </w:style>
  <w:style w:type="paragraph" w:styleId="813">
    <w:name w:val="Title"/>
    <w:basedOn w:val="774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14">
    <w:name w:val="Subtitle"/>
    <w:basedOn w:val="774"/>
    <w:uiPriority w:val="11"/>
    <w:qFormat/>
    <w:pPr>
      <w:spacing w:before="200" w:after="200"/>
    </w:pPr>
    <w:rPr>
      <w:sz w:val="24"/>
      <w:szCs w:val="24"/>
    </w:rPr>
  </w:style>
  <w:style w:type="paragraph" w:styleId="815">
    <w:name w:val="Quote"/>
    <w:basedOn w:val="774"/>
    <w:uiPriority w:val="29"/>
    <w:qFormat/>
    <w:pPr>
      <w:ind w:left="720" w:right="720" w:firstLine="0"/>
    </w:pPr>
    <w:rPr>
      <w:i/>
    </w:rPr>
  </w:style>
  <w:style w:type="paragraph" w:styleId="816">
    <w:name w:val="Intense Quote"/>
    <w:basedOn w:val="774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17">
    <w:name w:val="Header and Footer"/>
    <w:basedOn w:val="774"/>
    <w:qFormat/>
  </w:style>
  <w:style w:type="paragraph" w:styleId="818">
    <w:name w:val="Header"/>
    <w:basedOn w:val="774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19">
    <w:name w:val="Footer"/>
    <w:basedOn w:val="774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20">
    <w:name w:val="footnote text"/>
    <w:basedOn w:val="774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21">
    <w:name w:val="endnote text"/>
    <w:basedOn w:val="774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22">
    <w:name w:val="toc 1"/>
    <w:basedOn w:val="774"/>
    <w:uiPriority w:val="39"/>
    <w:unhideWhenUsed/>
    <w:pPr>
      <w:ind w:left="0" w:right="0" w:firstLine="0"/>
      <w:spacing w:before="0" w:after="57"/>
    </w:pPr>
  </w:style>
  <w:style w:type="paragraph" w:styleId="823">
    <w:name w:val="toc 2"/>
    <w:basedOn w:val="774"/>
    <w:uiPriority w:val="39"/>
    <w:unhideWhenUsed/>
    <w:pPr>
      <w:ind w:left="283" w:right="0" w:firstLine="0"/>
      <w:spacing w:before="0" w:after="57"/>
    </w:pPr>
  </w:style>
  <w:style w:type="paragraph" w:styleId="824">
    <w:name w:val="toc 3"/>
    <w:basedOn w:val="774"/>
    <w:uiPriority w:val="39"/>
    <w:unhideWhenUsed/>
    <w:pPr>
      <w:ind w:left="567" w:right="0" w:firstLine="0"/>
      <w:spacing w:before="0" w:after="57"/>
    </w:pPr>
  </w:style>
  <w:style w:type="paragraph" w:styleId="825">
    <w:name w:val="toc 4"/>
    <w:basedOn w:val="774"/>
    <w:uiPriority w:val="39"/>
    <w:unhideWhenUsed/>
    <w:pPr>
      <w:ind w:left="850" w:right="0" w:firstLine="0"/>
      <w:spacing w:before="0" w:after="57"/>
    </w:pPr>
  </w:style>
  <w:style w:type="paragraph" w:styleId="826">
    <w:name w:val="toc 5"/>
    <w:basedOn w:val="774"/>
    <w:uiPriority w:val="39"/>
    <w:unhideWhenUsed/>
    <w:pPr>
      <w:ind w:left="1134" w:right="0" w:firstLine="0"/>
      <w:spacing w:before="0" w:after="57"/>
    </w:pPr>
  </w:style>
  <w:style w:type="paragraph" w:styleId="827">
    <w:name w:val="toc 6"/>
    <w:basedOn w:val="774"/>
    <w:uiPriority w:val="39"/>
    <w:unhideWhenUsed/>
    <w:pPr>
      <w:ind w:left="1417" w:right="0" w:firstLine="0"/>
      <w:spacing w:before="0" w:after="57"/>
    </w:pPr>
  </w:style>
  <w:style w:type="paragraph" w:styleId="828">
    <w:name w:val="toc 7"/>
    <w:basedOn w:val="774"/>
    <w:uiPriority w:val="39"/>
    <w:unhideWhenUsed/>
    <w:pPr>
      <w:ind w:left="1701" w:right="0" w:firstLine="0"/>
      <w:spacing w:before="0" w:after="57"/>
    </w:pPr>
  </w:style>
  <w:style w:type="paragraph" w:styleId="829">
    <w:name w:val="toc 8"/>
    <w:basedOn w:val="774"/>
    <w:uiPriority w:val="39"/>
    <w:unhideWhenUsed/>
    <w:pPr>
      <w:ind w:left="1984" w:right="0" w:firstLine="0"/>
      <w:spacing w:before="0" w:after="57"/>
    </w:pPr>
  </w:style>
  <w:style w:type="paragraph" w:styleId="830">
    <w:name w:val="toc 9"/>
    <w:basedOn w:val="774"/>
    <w:uiPriority w:val="39"/>
    <w:unhideWhenUsed/>
    <w:pPr>
      <w:ind w:left="2268" w:right="0" w:firstLine="0"/>
      <w:spacing w:before="0" w:after="57"/>
    </w:pPr>
  </w:style>
  <w:style w:type="paragraph" w:styleId="831">
    <w:name w:val="Index Heading"/>
    <w:basedOn w:val="808"/>
  </w:style>
  <w:style w:type="paragraph" w:styleId="832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33">
    <w:name w:val="table of figures"/>
    <w:basedOn w:val="774"/>
    <w:uiPriority w:val="99"/>
    <w:unhideWhenUsed/>
    <w:qFormat/>
    <w:pPr>
      <w:spacing w:before="0" w:after="0" w:afterAutospacing="0"/>
    </w:pPr>
  </w:style>
  <w:style w:type="paragraph" w:styleId="834">
    <w:name w:val="No Spacing"/>
    <w:basedOn w:val="774"/>
    <w:uiPriority w:val="1"/>
    <w:qFormat/>
    <w:pPr>
      <w:spacing w:before="0" w:after="0" w:line="240" w:lineRule="auto"/>
    </w:pPr>
  </w:style>
  <w:style w:type="paragraph" w:styleId="835">
    <w:name w:val="List Paragraph"/>
    <w:basedOn w:val="774"/>
    <w:uiPriority w:val="34"/>
    <w:qFormat/>
    <w:pPr>
      <w:contextualSpacing/>
      <w:ind w:left="720" w:firstLine="0"/>
      <w:spacing w:before="0" w:after="200"/>
    </w:pPr>
  </w:style>
  <w:style w:type="numbering" w:styleId="836" w:default="1">
    <w:name w:val="No List"/>
    <w:uiPriority w:val="99"/>
    <w:semiHidden/>
    <w:unhideWhenUsed/>
    <w:qFormat/>
  </w:style>
  <w:style w:type="table" w:styleId="83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en-IN</dc:language>
  <cp:revision>8</cp:revision>
  <dcterms:modified xsi:type="dcterms:W3CDTF">2023-11-21T03:32:15Z</dcterms:modified>
</cp:coreProperties>
</file>