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bookmarkStart w:id="0" w:name="_GoBack"/>
      <w:bookmarkEnd w:id="0"/>
    </w:p>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8B734B" w14:paraId="66F2ABB3" w14:textId="77777777" w:rsidTr="008A1B90">
        <w:trPr>
          <w:trHeight w:hRule="exact" w:val="11997"/>
        </w:trPr>
        <w:tc>
          <w:tcPr>
            <w:tcW w:w="8392" w:type="dxa"/>
            <w:shd w:val="clear" w:color="auto" w:fill="auto"/>
            <w:tcMar>
              <w:top w:w="284" w:type="dxa"/>
            </w:tcMar>
          </w:tcPr>
          <w:p w14:paraId="76886E46" w14:textId="1C0C2CDE" w:rsidR="009F5BCC" w:rsidRPr="00D044CF" w:rsidRDefault="00D044CF" w:rsidP="00D044CF">
            <w:pPr>
              <w:pStyle w:val="Title"/>
              <w:jc w:val="center"/>
              <w:rPr>
                <w:lang w:val="en-US"/>
              </w:rPr>
            </w:pPr>
            <w:r w:rsidRPr="00D044CF">
              <w:rPr>
                <w:lang w:val="en-US"/>
              </w:rPr>
              <w:t>Assessing inequality</w:t>
            </w:r>
            <w:r w:rsidR="00F17D15">
              <w:rPr>
                <w:lang w:val="en-US"/>
              </w:rPr>
              <w:t xml:space="preserve"> trends</w:t>
            </w:r>
            <w:r w:rsidRPr="00D044CF">
              <w:rPr>
                <w:lang w:val="en-US"/>
              </w:rPr>
              <w:t xml:space="preserve"> with ta</w:t>
            </w:r>
            <w:r w:rsidRPr="00EF5168">
              <w:rPr>
                <w:lang w:val="en-US"/>
              </w:rPr>
              <w:t>x</w:t>
            </w:r>
            <w:r w:rsidR="00E82313">
              <w:rPr>
                <w:lang w:val="en-US"/>
              </w:rPr>
              <w:t xml:space="preserve"> data</w:t>
            </w:r>
          </w:p>
          <w:p w14:paraId="6AFB6F65" w14:textId="681F5404" w:rsidR="009F5BCC" w:rsidRPr="00D044CF" w:rsidRDefault="003757F4" w:rsidP="00D044CF">
            <w:pPr>
              <w:pStyle w:val="Subtitle"/>
              <w:jc w:val="center"/>
              <w:rPr>
                <w:lang w:val="en-US"/>
              </w:rPr>
            </w:pPr>
            <w:bookmarkStart w:id="1"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1"/>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2865BC1F" w:rsidR="009F5BCC" w:rsidRPr="00EF5168" w:rsidRDefault="00D242C0" w:rsidP="00D044CF">
            <w:pPr>
              <w:jc w:val="center"/>
              <w:rPr>
                <w:lang w:val="en-US"/>
              </w:rPr>
            </w:pPr>
            <w:r>
              <w:rPr>
                <w:lang w:val="en-US"/>
              </w:rPr>
              <w:t>December</w:t>
            </w:r>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0A3EEBF3" w14:textId="78FBC0B5" w:rsidR="00470ED1" w:rsidRDefault="00154023" w:rsidP="00ED1A08">
            <w:pPr>
              <w:rPr>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DA1130">
              <w:rPr>
                <w:lang w:val="en-US"/>
              </w:rPr>
              <w:t>not at hand</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tax data is suitable </w:t>
            </w:r>
            <w:r w:rsidR="00EF5092">
              <w:rPr>
                <w:lang w:val="en-US"/>
              </w:rPr>
              <w:t>to address this gap. While concepts used to assess inequality</w:t>
            </w:r>
            <w:r w:rsidR="00DA1130">
              <w:rPr>
                <w:lang w:val="en-US"/>
              </w:rPr>
              <w:t xml:space="preserve"> with tax data</w:t>
            </w:r>
            <w:r w:rsidR="00EF5092">
              <w:rPr>
                <w:lang w:val="en-US"/>
              </w:rPr>
              <w:t xml:space="preserve"> are strongly data-driven and therefore often don’t </w:t>
            </w:r>
            <w:r w:rsidR="00B944D9">
              <w:rPr>
                <w:lang w:val="en-US"/>
              </w:rPr>
              <w:t>correspond to</w:t>
            </w:r>
            <w:r w:rsidR="00EF5092">
              <w:rPr>
                <w:lang w:val="en-US"/>
              </w:rPr>
              <w:t xml:space="preserve"> theoretical </w:t>
            </w:r>
            <w:r w:rsidR="00B944D9">
              <w:rPr>
                <w:lang w:val="en-US"/>
              </w:rPr>
              <w:t xml:space="preserve">defined ideal </w:t>
            </w:r>
            <w:r w:rsidR="00EF5092">
              <w:rPr>
                <w:lang w:val="en-US"/>
              </w:rPr>
              <w:t xml:space="preserve">concepts, the main advantage of tax data </w:t>
            </w:r>
            <w:r w:rsidR="00DA1130">
              <w:rPr>
                <w:lang w:val="en-US"/>
              </w:rPr>
              <w:t>is it’s</w:t>
            </w:r>
            <w:r w:rsidR="00EF5092">
              <w:rPr>
                <w:lang w:val="en-US"/>
              </w:rPr>
              <w:t xml:space="preserve"> availability </w:t>
            </w:r>
            <w:r w:rsidR="009E437A">
              <w:rPr>
                <w:lang w:val="en-US"/>
              </w:rPr>
              <w:t>in regard to</w:t>
            </w:r>
            <w:r w:rsidR="00DA1130">
              <w:rPr>
                <w:lang w:val="en-US"/>
              </w:rPr>
              <w:t xml:space="preserve"> long </w:t>
            </w:r>
            <w:r w:rsidR="009E437A">
              <w:rPr>
                <w:lang w:val="en-US"/>
              </w:rPr>
              <w:t>time series</w:t>
            </w:r>
            <w:r w:rsidR="00DA1130">
              <w:rPr>
                <w:lang w:val="en-US"/>
              </w:rPr>
              <w:t xml:space="preserve">. To sort out major from minor advantages and drawbacks </w:t>
            </w:r>
            <w:r w:rsidR="00470ED1">
              <w:rPr>
                <w:lang w:val="en-US"/>
              </w:rPr>
              <w:t xml:space="preserve">of tax data </w:t>
            </w:r>
            <w:r w:rsidR="00DA1130">
              <w:rPr>
                <w:lang w:val="en-US"/>
              </w:rPr>
              <w:t>we perform several empirical tests with aggregated tax statistics from the Swiss Fed</w:t>
            </w:r>
            <w:r w:rsidR="00B944D9">
              <w:rPr>
                <w:lang w:val="en-US"/>
              </w:rPr>
              <w:t>eral Tax Administration</w:t>
            </w:r>
            <w:r w:rsidR="00470ED1">
              <w:rPr>
                <w:lang w:val="en-US"/>
              </w:rPr>
              <w:t xml:space="preserve"> (FTA)</w:t>
            </w:r>
            <w:r w:rsidR="00B944D9">
              <w:rPr>
                <w:lang w:val="en-US"/>
              </w:rPr>
              <w:t xml:space="preserve">. </w:t>
            </w:r>
            <w:r w:rsidR="00DA1130">
              <w:rPr>
                <w:lang w:val="en-US"/>
              </w:rPr>
              <w:t xml:space="preserve">Besides </w:t>
            </w:r>
            <w:r w:rsidR="00470ED1">
              <w:rPr>
                <w:lang w:val="en-US"/>
              </w:rPr>
              <w:t>the unique</w:t>
            </w:r>
            <w:r w:rsidR="00DA1130">
              <w:rPr>
                <w:lang w:val="en-US"/>
              </w:rPr>
              <w:t xml:space="preserve"> availability</w:t>
            </w:r>
            <w:r w:rsidR="00B944D9">
              <w:rPr>
                <w:lang w:val="en-US"/>
              </w:rPr>
              <w:t xml:space="preserve"> of long time </w:t>
            </w:r>
            <w:r w:rsidR="00470ED1">
              <w:rPr>
                <w:lang w:val="en-US"/>
              </w:rPr>
              <w:t>series</w:t>
            </w:r>
            <w:r w:rsidR="00DA1130">
              <w:rPr>
                <w:lang w:val="en-US"/>
              </w:rPr>
              <w:t>, we can show that the main advantage of tax data is</w:t>
            </w:r>
            <w:r w:rsidR="00B944D9">
              <w:rPr>
                <w:lang w:val="en-US"/>
              </w:rPr>
              <w:t xml:space="preserve"> its superior </w:t>
            </w:r>
            <w:r w:rsidR="00470ED1">
              <w:rPr>
                <w:lang w:val="en-US"/>
              </w:rPr>
              <w:t>population coverage</w:t>
            </w:r>
            <w:r w:rsidR="00B944D9">
              <w:rPr>
                <w:lang w:val="en-US"/>
              </w:rPr>
              <w:t>. Compared to</w:t>
            </w:r>
            <w:r w:rsidR="009E437A">
              <w:rPr>
                <w:lang w:val="en-US"/>
              </w:rPr>
              <w:t xml:space="preserve"> a widely used Swiss Household Survey </w:t>
            </w:r>
            <w:r w:rsidR="00B944D9">
              <w:rPr>
                <w:lang w:val="en-US"/>
              </w:rPr>
              <w:t>lower and very high incomes are better represented</w:t>
            </w:r>
            <w:r w:rsidR="009E437A">
              <w:rPr>
                <w:lang w:val="en-US"/>
              </w:rPr>
              <w:t xml:space="preserve"> within tax data</w:t>
            </w:r>
            <w:r w:rsidR="00B944D9">
              <w:rPr>
                <w:lang w:val="en-US"/>
              </w:rPr>
              <w:t xml:space="preserve">, </w:t>
            </w:r>
            <w:r w:rsidR="00470ED1">
              <w:rPr>
                <w:lang w:val="en-US"/>
              </w:rPr>
              <w:t>indicating</w:t>
            </w:r>
            <w:r w:rsidR="00B944D9">
              <w:rPr>
                <w:lang w:val="en-US"/>
              </w:rPr>
              <w:t xml:space="preserve"> higher </w:t>
            </w:r>
            <w:r w:rsidR="009E437A">
              <w:rPr>
                <w:lang w:val="en-US"/>
              </w:rPr>
              <w:t>inequality. Then</w:t>
            </w:r>
            <w:r w:rsidR="00B944D9">
              <w:rPr>
                <w:lang w:val="en-US"/>
              </w:rPr>
              <w:t xml:space="preserve"> we </w:t>
            </w:r>
            <w:r w:rsidR="009E437A">
              <w:rPr>
                <w:lang w:val="en-US"/>
              </w:rPr>
              <w:t>see</w:t>
            </w:r>
            <w:r w:rsidR="00B944D9">
              <w:rPr>
                <w:lang w:val="en-US"/>
              </w:rPr>
              <w:t xml:space="preserve"> that concepts used within tax data also lead to an overestimation of income inequality. </w:t>
            </w:r>
            <w:r w:rsidR="009E437A">
              <w:rPr>
                <w:lang w:val="en-US"/>
              </w:rPr>
              <w:t xml:space="preserve">First, we show that </w:t>
            </w:r>
            <w:r w:rsidR="00B944D9">
              <w:rPr>
                <w:lang w:val="en-US"/>
              </w:rPr>
              <w:t xml:space="preserve">inequality is </w:t>
            </w:r>
            <w:r w:rsidR="009E437A">
              <w:rPr>
                <w:lang w:val="en-US"/>
              </w:rPr>
              <w:t>higher</w:t>
            </w:r>
            <w:r w:rsidR="00B944D9">
              <w:rPr>
                <w:lang w:val="en-US"/>
              </w:rPr>
              <w:t xml:space="preserve"> among fiscal households </w:t>
            </w:r>
            <w:r w:rsidR="009E437A">
              <w:rPr>
                <w:lang w:val="en-US"/>
              </w:rPr>
              <w:t>than among real households. Second, inequality assessed with taxable income is higher than with disposable income, because the former does not account for redistribution through taxes adequately. Finally</w:t>
            </w:r>
            <w:r w:rsidR="00470ED1">
              <w:rPr>
                <w:lang w:val="en-US"/>
              </w:rPr>
              <w:t>,</w:t>
            </w:r>
            <w:r w:rsidR="009E437A">
              <w:rPr>
                <w:lang w:val="en-US"/>
              </w:rPr>
              <w:t xml:space="preserve"> we show that the missing information on non-taxed subjects can hinder the interpretation of long-time trends substantially.</w:t>
            </w:r>
            <w:r w:rsidR="00470ED1">
              <w:rPr>
                <w:lang w:val="en-US"/>
              </w:rPr>
              <w:t xml:space="preserve"> For Switzerland tax data analyses at least raises doubts concerning the declining inequality trend reported by survey data for the last decades. </w:t>
            </w:r>
          </w:p>
          <w:p w14:paraId="25E2A455" w14:textId="77777777" w:rsidR="00DA1130" w:rsidRDefault="00DA1130" w:rsidP="00ED1A08">
            <w:pPr>
              <w:rPr>
                <w:lang w:val="en-US"/>
              </w:rPr>
            </w:pPr>
          </w:p>
          <w:p w14:paraId="754158A5" w14:textId="4E7386EC" w:rsidR="00D044CF" w:rsidRPr="002F06DC" w:rsidRDefault="00D044CF" w:rsidP="00ED1A08">
            <w:pPr>
              <w:rPr>
                <w:b/>
                <w:szCs w:val="19"/>
                <w:lang w:val="en-US"/>
              </w:rPr>
            </w:pPr>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2"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
          </w:p>
        </w:tc>
      </w:tr>
    </w:tbl>
    <w:p w14:paraId="6A889872" w14:textId="77777777" w:rsidR="008D61F6" w:rsidRDefault="008D61F6" w:rsidP="004F7B96">
      <w:pPr>
        <w:pStyle w:val="Inhaltsverzeichnis"/>
        <w:spacing w:line="100" w:lineRule="atLeast"/>
      </w:pPr>
      <w:bookmarkStart w:id="3" w:name="_Toc406505783"/>
      <w:r w:rsidRPr="008D61F6">
        <w:t>Inhaltsverzeichnis</w:t>
      </w:r>
      <w:bookmarkEnd w:id="3"/>
    </w:p>
    <w:p w14:paraId="154D4A8C" w14:textId="77777777" w:rsidR="00796682" w:rsidRDefault="00796682"/>
    <w:p w14:paraId="51319D5F" w14:textId="77777777" w:rsidR="004F7B96" w:rsidRPr="008D61F6" w:rsidRDefault="004F7B96"/>
    <w:p w14:paraId="77A1CF7C" w14:textId="3AA04F8F" w:rsidR="008D21A3" w:rsidRDefault="008D21A3">
      <w:pPr>
        <w:pStyle w:val="TOC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04114E">
      <w:pPr>
        <w:pStyle w:val="TOC1"/>
        <w:rPr>
          <w:rFonts w:asciiTheme="minorHAnsi" w:eastAsiaTheme="minorEastAsia" w:hAnsiTheme="minorHAnsi" w:cstheme="minorBidi"/>
          <w:noProof/>
          <w:sz w:val="22"/>
          <w:szCs w:val="22"/>
          <w:lang w:val="en-US"/>
        </w:rPr>
      </w:pPr>
      <w:hyperlink w:anchor="_Toc406505784" w:history="1">
        <w:r w:rsidR="008D21A3" w:rsidRPr="00B163A8">
          <w:rPr>
            <w:rStyle w:val="Hyperlink"/>
            <w:noProof/>
            <w:lang w:val="en-US"/>
          </w:rPr>
          <w:t>1</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Introduction</w:t>
        </w:r>
        <w:r w:rsidR="008D21A3">
          <w:rPr>
            <w:noProof/>
            <w:webHidden/>
          </w:rPr>
          <w:tab/>
        </w:r>
        <w:r w:rsidR="008D21A3">
          <w:rPr>
            <w:noProof/>
            <w:webHidden/>
          </w:rPr>
          <w:fldChar w:fldCharType="begin"/>
        </w:r>
        <w:r w:rsidR="008D21A3">
          <w:rPr>
            <w:noProof/>
            <w:webHidden/>
          </w:rPr>
          <w:instrText xml:space="preserve"> PAGEREF _Toc406505784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7A6A4A6B" w14:textId="77777777" w:rsidR="008D21A3" w:rsidRDefault="0004114E">
      <w:pPr>
        <w:pStyle w:val="TOC1"/>
        <w:rPr>
          <w:rFonts w:asciiTheme="minorHAnsi" w:eastAsiaTheme="minorEastAsia" w:hAnsiTheme="minorHAnsi" w:cstheme="minorBidi"/>
          <w:noProof/>
          <w:sz w:val="22"/>
          <w:szCs w:val="22"/>
          <w:lang w:val="en-US"/>
        </w:rPr>
      </w:pPr>
      <w:hyperlink w:anchor="_Toc406505785" w:history="1">
        <w:r w:rsidR="008D21A3" w:rsidRPr="00B163A8">
          <w:rPr>
            <w:rStyle w:val="Hyperlink"/>
            <w:noProof/>
          </w:rPr>
          <w:t>2</w:t>
        </w:r>
        <w:r w:rsidR="008D21A3">
          <w:rPr>
            <w:rFonts w:asciiTheme="minorHAnsi" w:eastAsiaTheme="minorEastAsia" w:hAnsiTheme="minorHAnsi" w:cstheme="minorBidi"/>
            <w:noProof/>
            <w:sz w:val="22"/>
            <w:szCs w:val="22"/>
            <w:lang w:val="en-US"/>
          </w:rPr>
          <w:tab/>
        </w:r>
        <w:r w:rsidR="008D21A3" w:rsidRPr="00B163A8">
          <w:rPr>
            <w:rStyle w:val="Hyperlink"/>
            <w:noProof/>
          </w:rPr>
          <w:t>Standards on Assessing Economic Inequality</w:t>
        </w:r>
        <w:r w:rsidR="008D21A3">
          <w:rPr>
            <w:noProof/>
            <w:webHidden/>
          </w:rPr>
          <w:tab/>
        </w:r>
        <w:r w:rsidR="008D21A3">
          <w:rPr>
            <w:noProof/>
            <w:webHidden/>
          </w:rPr>
          <w:fldChar w:fldCharType="begin"/>
        </w:r>
        <w:r w:rsidR="008D21A3">
          <w:rPr>
            <w:noProof/>
            <w:webHidden/>
          </w:rPr>
          <w:instrText xml:space="preserve"> PAGEREF _Toc406505785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5AB5F2F1" w14:textId="77777777" w:rsidR="008D21A3" w:rsidRDefault="0004114E">
      <w:pPr>
        <w:pStyle w:val="TOC2"/>
        <w:rPr>
          <w:rFonts w:asciiTheme="minorHAnsi" w:eastAsiaTheme="minorEastAsia" w:hAnsiTheme="minorHAnsi" w:cstheme="minorBidi"/>
          <w:noProof/>
          <w:sz w:val="22"/>
          <w:szCs w:val="22"/>
          <w:lang w:val="en-US"/>
        </w:rPr>
      </w:pPr>
      <w:hyperlink w:anchor="_Toc406505786" w:history="1">
        <w:r w:rsidR="008D21A3" w:rsidRPr="00B163A8">
          <w:rPr>
            <w:rStyle w:val="Hyperlink"/>
            <w:noProof/>
          </w:rPr>
          <w:t>2.1 Concepts on measuring economic resources</w:t>
        </w:r>
        <w:r w:rsidR="008D21A3">
          <w:rPr>
            <w:noProof/>
            <w:webHidden/>
          </w:rPr>
          <w:tab/>
        </w:r>
        <w:r w:rsidR="008D21A3">
          <w:rPr>
            <w:noProof/>
            <w:webHidden/>
          </w:rPr>
          <w:fldChar w:fldCharType="begin"/>
        </w:r>
        <w:r w:rsidR="008D21A3">
          <w:rPr>
            <w:noProof/>
            <w:webHidden/>
          </w:rPr>
          <w:instrText xml:space="preserve"> PAGEREF _Toc406505786 \h </w:instrText>
        </w:r>
        <w:r w:rsidR="008D21A3">
          <w:rPr>
            <w:noProof/>
            <w:webHidden/>
          </w:rPr>
        </w:r>
        <w:r w:rsidR="008D21A3">
          <w:rPr>
            <w:noProof/>
            <w:webHidden/>
          </w:rPr>
          <w:fldChar w:fldCharType="separate"/>
        </w:r>
        <w:r w:rsidR="008D21A3">
          <w:rPr>
            <w:noProof/>
            <w:webHidden/>
          </w:rPr>
          <w:t>4</w:t>
        </w:r>
        <w:r w:rsidR="008D21A3">
          <w:rPr>
            <w:noProof/>
            <w:webHidden/>
          </w:rPr>
          <w:fldChar w:fldCharType="end"/>
        </w:r>
      </w:hyperlink>
    </w:p>
    <w:p w14:paraId="1135DC00" w14:textId="77777777" w:rsidR="008D21A3" w:rsidRDefault="0004114E">
      <w:pPr>
        <w:pStyle w:val="TOC2"/>
        <w:rPr>
          <w:rFonts w:asciiTheme="minorHAnsi" w:eastAsiaTheme="minorEastAsia" w:hAnsiTheme="minorHAnsi" w:cstheme="minorBidi"/>
          <w:noProof/>
          <w:sz w:val="22"/>
          <w:szCs w:val="22"/>
          <w:lang w:val="en-US"/>
        </w:rPr>
      </w:pPr>
      <w:hyperlink w:anchor="_Toc406505787" w:history="1">
        <w:r w:rsidR="008D21A3" w:rsidRPr="00B163A8">
          <w:rPr>
            <w:rStyle w:val="Hyperlink"/>
            <w:noProof/>
          </w:rPr>
          <w:t>2.2 Measuring inequality</w:t>
        </w:r>
        <w:r w:rsidR="008D21A3">
          <w:rPr>
            <w:noProof/>
            <w:webHidden/>
          </w:rPr>
          <w:tab/>
        </w:r>
        <w:r w:rsidR="008D21A3">
          <w:rPr>
            <w:noProof/>
            <w:webHidden/>
          </w:rPr>
          <w:fldChar w:fldCharType="begin"/>
        </w:r>
        <w:r w:rsidR="008D21A3">
          <w:rPr>
            <w:noProof/>
            <w:webHidden/>
          </w:rPr>
          <w:instrText xml:space="preserve"> PAGEREF _Toc406505787 \h </w:instrText>
        </w:r>
        <w:r w:rsidR="008D21A3">
          <w:rPr>
            <w:noProof/>
            <w:webHidden/>
          </w:rPr>
        </w:r>
        <w:r w:rsidR="008D21A3">
          <w:rPr>
            <w:noProof/>
            <w:webHidden/>
          </w:rPr>
          <w:fldChar w:fldCharType="separate"/>
        </w:r>
        <w:r w:rsidR="008D21A3">
          <w:rPr>
            <w:noProof/>
            <w:webHidden/>
          </w:rPr>
          <w:t>5</w:t>
        </w:r>
        <w:r w:rsidR="008D21A3">
          <w:rPr>
            <w:noProof/>
            <w:webHidden/>
          </w:rPr>
          <w:fldChar w:fldCharType="end"/>
        </w:r>
      </w:hyperlink>
    </w:p>
    <w:p w14:paraId="5A45944F" w14:textId="77777777" w:rsidR="008D21A3" w:rsidRDefault="0004114E">
      <w:pPr>
        <w:pStyle w:val="TOC2"/>
        <w:rPr>
          <w:rFonts w:asciiTheme="minorHAnsi" w:eastAsiaTheme="minorEastAsia" w:hAnsiTheme="minorHAnsi" w:cstheme="minorBidi"/>
          <w:noProof/>
          <w:sz w:val="22"/>
          <w:szCs w:val="22"/>
          <w:lang w:val="en-US"/>
        </w:rPr>
      </w:pPr>
      <w:hyperlink w:anchor="_Toc406505788" w:history="1">
        <w:r w:rsidR="008D21A3" w:rsidRPr="00B163A8">
          <w:rPr>
            <w:rStyle w:val="Hyperlink"/>
            <w:noProof/>
          </w:rPr>
          <w:t>2.3 Statistical Units</w:t>
        </w:r>
        <w:r w:rsidR="008D21A3">
          <w:rPr>
            <w:noProof/>
            <w:webHidden/>
          </w:rPr>
          <w:tab/>
        </w:r>
        <w:r w:rsidR="008D21A3">
          <w:rPr>
            <w:noProof/>
            <w:webHidden/>
          </w:rPr>
          <w:fldChar w:fldCharType="begin"/>
        </w:r>
        <w:r w:rsidR="008D21A3">
          <w:rPr>
            <w:noProof/>
            <w:webHidden/>
          </w:rPr>
          <w:instrText xml:space="preserve"> PAGEREF _Toc406505788 \h </w:instrText>
        </w:r>
        <w:r w:rsidR="008D21A3">
          <w:rPr>
            <w:noProof/>
            <w:webHidden/>
          </w:rPr>
        </w:r>
        <w:r w:rsidR="008D21A3">
          <w:rPr>
            <w:noProof/>
            <w:webHidden/>
          </w:rPr>
          <w:fldChar w:fldCharType="separate"/>
        </w:r>
        <w:r w:rsidR="008D21A3">
          <w:rPr>
            <w:noProof/>
            <w:webHidden/>
          </w:rPr>
          <w:t>6</w:t>
        </w:r>
        <w:r w:rsidR="008D21A3">
          <w:rPr>
            <w:noProof/>
            <w:webHidden/>
          </w:rPr>
          <w:fldChar w:fldCharType="end"/>
        </w:r>
      </w:hyperlink>
    </w:p>
    <w:p w14:paraId="3A579043" w14:textId="77777777" w:rsidR="008D21A3" w:rsidRDefault="0004114E">
      <w:pPr>
        <w:pStyle w:val="TOC2"/>
        <w:rPr>
          <w:rFonts w:asciiTheme="minorHAnsi" w:eastAsiaTheme="minorEastAsia" w:hAnsiTheme="minorHAnsi" w:cstheme="minorBidi"/>
          <w:noProof/>
          <w:sz w:val="22"/>
          <w:szCs w:val="22"/>
          <w:lang w:val="en-US"/>
        </w:rPr>
      </w:pPr>
      <w:hyperlink w:anchor="_Toc406505789" w:history="1">
        <w:r w:rsidR="008D21A3" w:rsidRPr="00B163A8">
          <w:rPr>
            <w:rStyle w:val="Hyperlink"/>
            <w:noProof/>
            <w:lang w:val="en-US"/>
          </w:rPr>
          <w:t>2.4 Coverage Issues</w:t>
        </w:r>
        <w:r w:rsidR="008D21A3">
          <w:rPr>
            <w:noProof/>
            <w:webHidden/>
          </w:rPr>
          <w:tab/>
        </w:r>
        <w:r w:rsidR="008D21A3">
          <w:rPr>
            <w:noProof/>
            <w:webHidden/>
          </w:rPr>
          <w:fldChar w:fldCharType="begin"/>
        </w:r>
        <w:r w:rsidR="008D21A3">
          <w:rPr>
            <w:noProof/>
            <w:webHidden/>
          </w:rPr>
          <w:instrText xml:space="preserve"> PAGEREF _Toc406505789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4C4633F4" w14:textId="77777777" w:rsidR="008D21A3" w:rsidRDefault="0004114E">
      <w:pPr>
        <w:pStyle w:val="TOC1"/>
        <w:rPr>
          <w:rFonts w:asciiTheme="minorHAnsi" w:eastAsiaTheme="minorEastAsia" w:hAnsiTheme="minorHAnsi" w:cstheme="minorBidi"/>
          <w:noProof/>
          <w:sz w:val="22"/>
          <w:szCs w:val="22"/>
          <w:lang w:val="en-US"/>
        </w:rPr>
      </w:pPr>
      <w:hyperlink w:anchor="_Toc406505790" w:history="1">
        <w:r w:rsidR="008D21A3" w:rsidRPr="00B163A8">
          <w:rPr>
            <w:rStyle w:val="Hyperlink"/>
            <w:noProof/>
            <w:lang w:val="en-US"/>
          </w:rPr>
          <w:t>3</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Comparison of tax data and survey data – overview of advantages and shortcomings</w:t>
        </w:r>
        <w:r w:rsidR="008D21A3">
          <w:rPr>
            <w:noProof/>
            <w:webHidden/>
          </w:rPr>
          <w:tab/>
        </w:r>
        <w:r w:rsidR="008D21A3">
          <w:rPr>
            <w:noProof/>
            <w:webHidden/>
          </w:rPr>
          <w:fldChar w:fldCharType="begin"/>
        </w:r>
        <w:r w:rsidR="008D21A3">
          <w:rPr>
            <w:noProof/>
            <w:webHidden/>
          </w:rPr>
          <w:instrText xml:space="preserve"> PAGEREF _Toc406505790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3C43FAC5" w14:textId="77777777" w:rsidR="008D21A3" w:rsidRDefault="0004114E">
      <w:pPr>
        <w:pStyle w:val="TOC1"/>
        <w:rPr>
          <w:rFonts w:asciiTheme="minorHAnsi" w:eastAsiaTheme="minorEastAsia" w:hAnsiTheme="minorHAnsi" w:cstheme="minorBidi"/>
          <w:noProof/>
          <w:sz w:val="22"/>
          <w:szCs w:val="22"/>
          <w:lang w:val="en-US"/>
        </w:rPr>
      </w:pPr>
      <w:hyperlink w:anchor="_Toc406505791" w:history="1">
        <w:r w:rsidR="008D21A3" w:rsidRPr="00B163A8">
          <w:rPr>
            <w:rStyle w:val="Hyperlink"/>
            <w:noProof/>
            <w:lang w:val="en-US"/>
          </w:rPr>
          <w:t>4</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Different trends for income inequality in Switzerland due to methodological differences?</w:t>
        </w:r>
        <w:r w:rsidR="008D21A3">
          <w:rPr>
            <w:noProof/>
            <w:webHidden/>
          </w:rPr>
          <w:tab/>
        </w:r>
        <w:r w:rsidR="008D21A3">
          <w:rPr>
            <w:noProof/>
            <w:webHidden/>
          </w:rPr>
          <w:fldChar w:fldCharType="begin"/>
        </w:r>
        <w:r w:rsidR="008D21A3">
          <w:rPr>
            <w:noProof/>
            <w:webHidden/>
          </w:rPr>
          <w:instrText xml:space="preserve"> PAGEREF _Toc406505791 \h </w:instrText>
        </w:r>
        <w:r w:rsidR="008D21A3">
          <w:rPr>
            <w:noProof/>
            <w:webHidden/>
          </w:rPr>
        </w:r>
        <w:r w:rsidR="008D21A3">
          <w:rPr>
            <w:noProof/>
            <w:webHidden/>
          </w:rPr>
          <w:fldChar w:fldCharType="separate"/>
        </w:r>
        <w:r w:rsidR="008D21A3">
          <w:rPr>
            <w:noProof/>
            <w:webHidden/>
          </w:rPr>
          <w:t>8</w:t>
        </w:r>
        <w:r w:rsidR="008D21A3">
          <w:rPr>
            <w:noProof/>
            <w:webHidden/>
          </w:rPr>
          <w:fldChar w:fldCharType="end"/>
        </w:r>
      </w:hyperlink>
    </w:p>
    <w:p w14:paraId="16F83D52" w14:textId="77777777" w:rsidR="008D21A3" w:rsidRDefault="0004114E">
      <w:pPr>
        <w:pStyle w:val="TOC1"/>
        <w:rPr>
          <w:rFonts w:asciiTheme="minorHAnsi" w:eastAsiaTheme="minorEastAsia" w:hAnsiTheme="minorHAnsi" w:cstheme="minorBidi"/>
          <w:noProof/>
          <w:sz w:val="22"/>
          <w:szCs w:val="22"/>
          <w:lang w:val="en-US"/>
        </w:rPr>
      </w:pPr>
      <w:hyperlink w:anchor="_Toc406505792" w:history="1">
        <w:r w:rsidR="008D21A3" w:rsidRPr="00B163A8">
          <w:rPr>
            <w:rStyle w:val="Hyperlink"/>
            <w:noProof/>
            <w:lang w:val="en-US"/>
          </w:rPr>
          <w:t>5</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Assessing income inequality trends with tax data for Switzerland</w:t>
        </w:r>
        <w:r w:rsidR="008D21A3">
          <w:rPr>
            <w:noProof/>
            <w:webHidden/>
          </w:rPr>
          <w:tab/>
        </w:r>
        <w:r w:rsidR="008D21A3">
          <w:rPr>
            <w:noProof/>
            <w:webHidden/>
          </w:rPr>
          <w:fldChar w:fldCharType="begin"/>
        </w:r>
        <w:r w:rsidR="008D21A3">
          <w:rPr>
            <w:noProof/>
            <w:webHidden/>
          </w:rPr>
          <w:instrText xml:space="preserve"> PAGEREF _Toc406505792 \h </w:instrText>
        </w:r>
        <w:r w:rsidR="008D21A3">
          <w:rPr>
            <w:noProof/>
            <w:webHidden/>
          </w:rPr>
        </w:r>
        <w:r w:rsidR="008D21A3">
          <w:rPr>
            <w:noProof/>
            <w:webHidden/>
          </w:rPr>
          <w:fldChar w:fldCharType="separate"/>
        </w:r>
        <w:r w:rsidR="008D21A3">
          <w:rPr>
            <w:noProof/>
            <w:webHidden/>
          </w:rPr>
          <w:t>10</w:t>
        </w:r>
        <w:r w:rsidR="008D21A3">
          <w:rPr>
            <w:noProof/>
            <w:webHidden/>
          </w:rPr>
          <w:fldChar w:fldCharType="end"/>
        </w:r>
      </w:hyperlink>
    </w:p>
    <w:p w14:paraId="4C553FE4" w14:textId="77777777" w:rsidR="008D21A3" w:rsidRDefault="0004114E">
      <w:pPr>
        <w:pStyle w:val="TOC2"/>
        <w:rPr>
          <w:rFonts w:asciiTheme="minorHAnsi" w:eastAsiaTheme="minorEastAsia" w:hAnsiTheme="minorHAnsi" w:cstheme="minorBidi"/>
          <w:noProof/>
          <w:sz w:val="22"/>
          <w:szCs w:val="22"/>
          <w:lang w:val="en-US"/>
        </w:rPr>
      </w:pPr>
      <w:hyperlink w:anchor="_Toc406505793" w:history="1">
        <w:r w:rsidR="008D21A3" w:rsidRPr="00B163A8">
          <w:rPr>
            <w:rStyle w:val="Hyperlink"/>
            <w:noProof/>
            <w:lang w:val="en-US"/>
          </w:rPr>
          <w:t>5.1 Defining Economic resources</w:t>
        </w:r>
        <w:r w:rsidR="008D21A3">
          <w:rPr>
            <w:noProof/>
            <w:webHidden/>
          </w:rPr>
          <w:tab/>
        </w:r>
        <w:r w:rsidR="008D21A3">
          <w:rPr>
            <w:noProof/>
            <w:webHidden/>
          </w:rPr>
          <w:fldChar w:fldCharType="begin"/>
        </w:r>
        <w:r w:rsidR="008D21A3">
          <w:rPr>
            <w:noProof/>
            <w:webHidden/>
          </w:rPr>
          <w:instrText xml:space="preserve"> PAGEREF _Toc406505793 \h </w:instrText>
        </w:r>
        <w:r w:rsidR="008D21A3">
          <w:rPr>
            <w:noProof/>
            <w:webHidden/>
          </w:rPr>
        </w:r>
        <w:r w:rsidR="008D21A3">
          <w:rPr>
            <w:noProof/>
            <w:webHidden/>
          </w:rPr>
          <w:fldChar w:fldCharType="separate"/>
        </w:r>
        <w:r w:rsidR="008D21A3">
          <w:rPr>
            <w:noProof/>
            <w:webHidden/>
          </w:rPr>
          <w:t>12</w:t>
        </w:r>
        <w:r w:rsidR="008D21A3">
          <w:rPr>
            <w:noProof/>
            <w:webHidden/>
          </w:rPr>
          <w:fldChar w:fldCharType="end"/>
        </w:r>
      </w:hyperlink>
    </w:p>
    <w:p w14:paraId="7BBB4059" w14:textId="77777777" w:rsidR="008D21A3" w:rsidRDefault="0004114E">
      <w:pPr>
        <w:pStyle w:val="TOC2"/>
        <w:rPr>
          <w:rFonts w:asciiTheme="minorHAnsi" w:eastAsiaTheme="minorEastAsia" w:hAnsiTheme="minorHAnsi" w:cstheme="minorBidi"/>
          <w:noProof/>
          <w:sz w:val="22"/>
          <w:szCs w:val="22"/>
          <w:lang w:val="en-US"/>
        </w:rPr>
      </w:pPr>
      <w:hyperlink w:anchor="_Toc406505796" w:history="1">
        <w:r w:rsidR="008D21A3" w:rsidRPr="00B163A8">
          <w:rPr>
            <w:rStyle w:val="Hyperlink"/>
            <w:noProof/>
            <w:lang w:val="en-US"/>
          </w:rPr>
          <w:t>5.2 Measuring inequality</w:t>
        </w:r>
        <w:r w:rsidR="008D21A3">
          <w:rPr>
            <w:noProof/>
            <w:webHidden/>
          </w:rPr>
          <w:tab/>
        </w:r>
        <w:r w:rsidR="008D21A3">
          <w:rPr>
            <w:noProof/>
            <w:webHidden/>
          </w:rPr>
          <w:fldChar w:fldCharType="begin"/>
        </w:r>
        <w:r w:rsidR="008D21A3">
          <w:rPr>
            <w:noProof/>
            <w:webHidden/>
          </w:rPr>
          <w:instrText xml:space="preserve"> PAGEREF _Toc406505796 \h </w:instrText>
        </w:r>
        <w:r w:rsidR="008D21A3">
          <w:rPr>
            <w:noProof/>
            <w:webHidden/>
          </w:rPr>
        </w:r>
        <w:r w:rsidR="008D21A3">
          <w:rPr>
            <w:noProof/>
            <w:webHidden/>
          </w:rPr>
          <w:fldChar w:fldCharType="separate"/>
        </w:r>
        <w:r w:rsidR="008D21A3">
          <w:rPr>
            <w:noProof/>
            <w:webHidden/>
          </w:rPr>
          <w:t>13</w:t>
        </w:r>
        <w:r w:rsidR="008D21A3">
          <w:rPr>
            <w:noProof/>
            <w:webHidden/>
          </w:rPr>
          <w:fldChar w:fldCharType="end"/>
        </w:r>
      </w:hyperlink>
    </w:p>
    <w:p w14:paraId="519409EA" w14:textId="77777777" w:rsidR="008D21A3" w:rsidRDefault="0004114E">
      <w:pPr>
        <w:pStyle w:val="TOC2"/>
        <w:rPr>
          <w:rFonts w:asciiTheme="minorHAnsi" w:eastAsiaTheme="minorEastAsia" w:hAnsiTheme="minorHAnsi" w:cstheme="minorBidi"/>
          <w:noProof/>
          <w:sz w:val="22"/>
          <w:szCs w:val="22"/>
          <w:lang w:val="en-US"/>
        </w:rPr>
      </w:pPr>
      <w:hyperlink w:anchor="_Toc406505799" w:history="1">
        <w:r w:rsidR="008D21A3" w:rsidRPr="00B163A8">
          <w:rPr>
            <w:rStyle w:val="Hyperlink"/>
            <w:noProof/>
            <w:lang w:val="en-US"/>
          </w:rPr>
          <w:t>5.3 Statistical units</w:t>
        </w:r>
        <w:r w:rsidR="008D21A3">
          <w:rPr>
            <w:noProof/>
            <w:webHidden/>
          </w:rPr>
          <w:tab/>
        </w:r>
        <w:r w:rsidR="008D21A3">
          <w:rPr>
            <w:noProof/>
            <w:webHidden/>
          </w:rPr>
          <w:fldChar w:fldCharType="begin"/>
        </w:r>
        <w:r w:rsidR="008D21A3">
          <w:rPr>
            <w:noProof/>
            <w:webHidden/>
          </w:rPr>
          <w:instrText xml:space="preserve"> PAGEREF _Toc406505799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374D280E" w14:textId="77777777" w:rsidR="008D21A3" w:rsidRDefault="0004114E">
      <w:pPr>
        <w:pStyle w:val="TOC2"/>
        <w:rPr>
          <w:rFonts w:asciiTheme="minorHAnsi" w:eastAsiaTheme="minorEastAsia" w:hAnsiTheme="minorHAnsi" w:cstheme="minorBidi"/>
          <w:noProof/>
          <w:sz w:val="22"/>
          <w:szCs w:val="22"/>
          <w:lang w:val="en-US"/>
        </w:rPr>
      </w:pPr>
      <w:hyperlink w:anchor="_Toc406505800" w:history="1">
        <w:r w:rsidR="008D21A3" w:rsidRPr="00B163A8">
          <w:rPr>
            <w:rStyle w:val="Hyperlink"/>
            <w:noProof/>
            <w:lang w:val="en-US"/>
          </w:rPr>
          <w:t>5.4 Coverage issues</w:t>
        </w:r>
        <w:r w:rsidR="008D21A3">
          <w:rPr>
            <w:noProof/>
            <w:webHidden/>
          </w:rPr>
          <w:tab/>
        </w:r>
        <w:r w:rsidR="008D21A3">
          <w:rPr>
            <w:noProof/>
            <w:webHidden/>
          </w:rPr>
          <w:fldChar w:fldCharType="begin"/>
        </w:r>
        <w:r w:rsidR="008D21A3">
          <w:rPr>
            <w:noProof/>
            <w:webHidden/>
          </w:rPr>
          <w:instrText xml:space="preserve"> PAGEREF _Toc406505800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62E12F7B" w14:textId="77777777" w:rsidR="008D21A3" w:rsidRDefault="0004114E">
      <w:pPr>
        <w:pStyle w:val="TOC1"/>
        <w:rPr>
          <w:rFonts w:asciiTheme="minorHAnsi" w:eastAsiaTheme="minorEastAsia" w:hAnsiTheme="minorHAnsi" w:cstheme="minorBidi"/>
          <w:noProof/>
          <w:sz w:val="22"/>
          <w:szCs w:val="22"/>
          <w:lang w:val="en-US"/>
        </w:rPr>
      </w:pPr>
      <w:hyperlink w:anchor="_Toc406505804" w:history="1">
        <w:r w:rsidR="008D21A3" w:rsidRPr="00B163A8">
          <w:rPr>
            <w:rStyle w:val="Hyperlink"/>
            <w:noProof/>
            <w:lang w:val="en-US"/>
          </w:rPr>
          <w:t>6</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Conclusion</w:t>
        </w:r>
        <w:r w:rsidR="008D21A3">
          <w:rPr>
            <w:noProof/>
            <w:webHidden/>
          </w:rPr>
          <w:tab/>
        </w:r>
        <w:r w:rsidR="008D21A3">
          <w:rPr>
            <w:noProof/>
            <w:webHidden/>
          </w:rPr>
          <w:fldChar w:fldCharType="begin"/>
        </w:r>
        <w:r w:rsidR="008D21A3">
          <w:rPr>
            <w:noProof/>
            <w:webHidden/>
          </w:rPr>
          <w:instrText xml:space="preserve"> PAGEREF _Toc406505804 \h </w:instrText>
        </w:r>
        <w:r w:rsidR="008D21A3">
          <w:rPr>
            <w:noProof/>
            <w:webHidden/>
          </w:rPr>
        </w:r>
        <w:r w:rsidR="008D21A3">
          <w:rPr>
            <w:noProof/>
            <w:webHidden/>
          </w:rPr>
          <w:fldChar w:fldCharType="separate"/>
        </w:r>
        <w:r w:rsidR="008D21A3">
          <w:rPr>
            <w:noProof/>
            <w:webHidden/>
          </w:rPr>
          <w:t>20</w:t>
        </w:r>
        <w:r w:rsidR="008D21A3">
          <w:rPr>
            <w:noProof/>
            <w:webHidden/>
          </w:rPr>
          <w:fldChar w:fldCharType="end"/>
        </w:r>
      </w:hyperlink>
    </w:p>
    <w:p w14:paraId="73E76EB4" w14:textId="77777777" w:rsidR="008D21A3" w:rsidRDefault="0004114E">
      <w:pPr>
        <w:pStyle w:val="TOC1"/>
        <w:rPr>
          <w:rFonts w:asciiTheme="minorHAnsi" w:eastAsiaTheme="minorEastAsia" w:hAnsiTheme="minorHAnsi" w:cstheme="minorBidi"/>
          <w:noProof/>
          <w:sz w:val="22"/>
          <w:szCs w:val="22"/>
          <w:lang w:val="en-US"/>
        </w:rPr>
      </w:pPr>
      <w:hyperlink w:anchor="_Toc406505805" w:history="1">
        <w:r w:rsidR="008D21A3" w:rsidRPr="00B163A8">
          <w:rPr>
            <w:rStyle w:val="Hyperlink"/>
            <w:noProof/>
          </w:rPr>
          <w:t>7</w:t>
        </w:r>
        <w:r w:rsidR="008D21A3">
          <w:rPr>
            <w:rFonts w:asciiTheme="minorHAnsi" w:eastAsiaTheme="minorEastAsia" w:hAnsiTheme="minorHAnsi" w:cstheme="minorBidi"/>
            <w:noProof/>
            <w:sz w:val="22"/>
            <w:szCs w:val="22"/>
            <w:lang w:val="en-US"/>
          </w:rPr>
          <w:tab/>
        </w:r>
        <w:r w:rsidR="008D21A3" w:rsidRPr="00B163A8">
          <w:rPr>
            <w:rStyle w:val="Hyperlink"/>
            <w:noProof/>
          </w:rPr>
          <w:t>Literaturverzeichnis</w:t>
        </w:r>
        <w:r w:rsidR="008D21A3">
          <w:rPr>
            <w:noProof/>
            <w:webHidden/>
          </w:rPr>
          <w:tab/>
        </w:r>
        <w:r w:rsidR="008D21A3">
          <w:rPr>
            <w:noProof/>
            <w:webHidden/>
          </w:rPr>
          <w:fldChar w:fldCharType="begin"/>
        </w:r>
        <w:r w:rsidR="008D21A3">
          <w:rPr>
            <w:noProof/>
            <w:webHidden/>
          </w:rPr>
          <w:instrText xml:space="preserve"> PAGEREF _Toc406505805 \h </w:instrText>
        </w:r>
        <w:r w:rsidR="008D21A3">
          <w:rPr>
            <w:noProof/>
            <w:webHidden/>
          </w:rPr>
        </w:r>
        <w:r w:rsidR="008D21A3">
          <w:rPr>
            <w:noProof/>
            <w:webHidden/>
          </w:rPr>
          <w:fldChar w:fldCharType="separate"/>
        </w:r>
        <w:r w:rsidR="008D21A3">
          <w:rPr>
            <w:noProof/>
            <w:webHidden/>
          </w:rPr>
          <w:t>25</w:t>
        </w:r>
        <w:r w:rsidR="008D21A3">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Heading1"/>
        <w:rPr>
          <w:lang w:val="en-US"/>
        </w:rPr>
      </w:pPr>
      <w:r>
        <w:br w:type="page"/>
      </w:r>
      <w:bookmarkStart w:id="4" w:name="_Toc406505784"/>
      <w:r w:rsidR="00D044CF" w:rsidRPr="00DE7DE7">
        <w:rPr>
          <w:lang w:val="en-US"/>
        </w:rPr>
        <w:lastRenderedPageBreak/>
        <w:t>Introduction</w:t>
      </w:r>
      <w:bookmarkEnd w:id="4"/>
    </w:p>
    <w:p w14:paraId="6E81AE81" w14:textId="4A62C08A"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 xml:space="preserve">s </w:t>
      </w:r>
      <w:r w:rsidR="00B545E6">
        <w:rPr>
          <w:lang w:val="en-US"/>
        </w:rPr>
        <w:t>from</w:t>
      </w:r>
      <w:r w:rsidRPr="00D044CF">
        <w:rPr>
          <w:lang w:val="en-US"/>
        </w:rPr>
        <w:t xml:space="preserve"> the </w:t>
      </w:r>
      <w:r w:rsidR="00B545E6">
        <w:rPr>
          <w:lang w:val="en-US"/>
        </w:rPr>
        <w:t>perspective of individuals</w:t>
      </w:r>
      <w:r w:rsidRPr="00D044CF">
        <w:rPr>
          <w:lang w:val="en-US"/>
        </w:rPr>
        <w:t xml:space="preserve">, it is rather an issue concerning the whole society. Inequality matters for societies, because it </w:t>
      </w:r>
      <w:r w:rsidR="00B545E6">
        <w:rPr>
          <w:lang w:val="en-US"/>
        </w:rPr>
        <w:t>seems to be</w:t>
      </w:r>
      <w:r w:rsidRPr="00D044CF">
        <w:rPr>
          <w:lang w:val="en-US"/>
        </w:rPr>
        <w:t xml:space="preserve"> related to negative outcomes like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w:t>
      </w:r>
      <w:r w:rsidR="00B545E6" w:rsidRPr="00D044CF">
        <w:rPr>
          <w:lang w:val="en-US"/>
        </w:rPr>
        <w:t>dimension</w:t>
      </w:r>
      <w:r w:rsidRPr="00D044CF">
        <w:rPr>
          <w:lang w:val="en-US"/>
        </w:rPr>
        <w:t xml:space="preserve">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Gornick and Jän</w:t>
      </w:r>
      <w:r w:rsidR="00B545E6">
        <w:rPr>
          <w:lang w:val="en-US"/>
        </w:rPr>
        <w:t>tti 2013, Salverda et al. 2014)</w:t>
      </w:r>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Stiglitz (2012, 117): “our democracy is being put at peril.”</w:t>
      </w:r>
    </w:p>
    <w:p w14:paraId="001079C3" w14:textId="77777777" w:rsidR="00D044CF" w:rsidRPr="00D044CF" w:rsidRDefault="00D044CF" w:rsidP="00D044CF">
      <w:pPr>
        <w:rPr>
          <w:lang w:val="en-US"/>
        </w:rPr>
      </w:pPr>
    </w:p>
    <w:p w14:paraId="2EA2BD7B" w14:textId="25AF77DF" w:rsid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Saez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 xml:space="preserve">to the beginning of the 20th century (Alvaredo et al., </w:t>
      </w:r>
      <w:r w:rsidR="00763E00">
        <w:rPr>
          <w:lang w:val="en-US"/>
        </w:rPr>
        <w:t xml:space="preserve">2014). </w:t>
      </w:r>
    </w:p>
    <w:p w14:paraId="658ECF60" w14:textId="77777777" w:rsidR="00763E00" w:rsidRPr="00D044CF" w:rsidRDefault="00763E00" w:rsidP="00D044CF">
      <w:pPr>
        <w:rPr>
          <w:lang w:val="en-US"/>
        </w:rPr>
      </w:pPr>
    </w:p>
    <w:p w14:paraId="344BE9C0" w14:textId="0AB71C08"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Heading1"/>
        <w:rPr>
          <w:lang w:val="en-US"/>
        </w:rPr>
      </w:pPr>
      <w:bookmarkStart w:id="5" w:name="_Ref399330537"/>
      <w:bookmarkStart w:id="6"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5"/>
      <w:bookmarkEnd w:id="6"/>
    </w:p>
    <w:p w14:paraId="16B4FAF7" w14:textId="4000157C" w:rsidR="00D3790B" w:rsidRPr="00D3790B" w:rsidRDefault="00D3790B" w:rsidP="00D3790B">
      <w:pPr>
        <w:rPr>
          <w:lang w:val="en-US"/>
        </w:rPr>
      </w:pPr>
      <w:r>
        <w:rPr>
          <w:lang w:val="en-US"/>
        </w:rPr>
        <w:t xml:space="preserve">We identify four </w:t>
      </w:r>
      <w:r w:rsidR="00B545E6">
        <w:rPr>
          <w:lang w:val="en-US"/>
        </w:rPr>
        <w:t xml:space="preserve">crucial areas </w:t>
      </w:r>
      <w:r>
        <w:rPr>
          <w:lang w:val="en-US"/>
        </w:rPr>
        <w:t>concerning the assessment of economic inequality. First of all</w:t>
      </w:r>
      <w:r w:rsidR="00B545E6">
        <w:rPr>
          <w:lang w:val="en-US"/>
        </w:rPr>
        <w:t>,</w:t>
      </w:r>
      <w:r>
        <w:rPr>
          <w:lang w:val="en-US"/>
        </w:rPr>
        <w:t xml:space="preserve"> one has to </w:t>
      </w:r>
      <w:r w:rsidR="00B545E6">
        <w:rPr>
          <w:lang w:val="en-US"/>
        </w:rPr>
        <w:t xml:space="preserve">specify the </w:t>
      </w:r>
      <w:r>
        <w:rPr>
          <w:lang w:val="en-US"/>
        </w:rPr>
        <w:t>type of economic resources</w:t>
      </w:r>
      <w:r w:rsidR="00B545E6">
        <w:rPr>
          <w:lang w:val="en-US"/>
        </w:rPr>
        <w:t xml:space="preserve"> the analysis is focused on </w:t>
      </w:r>
      <w:r>
        <w:rPr>
          <w:lang w:val="en-US"/>
        </w:rPr>
        <w:t xml:space="preserve">(section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w:t>
      </w:r>
      <w:r w:rsidR="00B545E6">
        <w:rPr>
          <w:lang w:val="en-US"/>
        </w:rPr>
        <w:t xml:space="preserve">Then one has to decide, how inequality should be measured. </w:t>
      </w:r>
      <w:r w:rsidR="00EB3FB9">
        <w:rPr>
          <w:lang w:val="en-US"/>
        </w:rPr>
        <w:t xml:space="preserve">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B545E6">
        <w:rPr>
          <w:lang w:val="en-US"/>
        </w:rPr>
        <w:t xml:space="preserve">To be clear among </w:t>
      </w:r>
      <w:proofErr w:type="gramStart"/>
      <w:r w:rsidR="00B545E6">
        <w:rPr>
          <w:lang w:val="en-US"/>
        </w:rPr>
        <w:t>who</w:t>
      </w:r>
      <w:proofErr w:type="gramEnd"/>
      <w:r w:rsidR="00B545E6">
        <w:rPr>
          <w:lang w:val="en-US"/>
        </w:rPr>
        <w:t xml:space="preserve"> inequality occurs one </w:t>
      </w:r>
      <w:r w:rsidR="00B545E6">
        <w:rPr>
          <w:lang w:val="en-US"/>
        </w:rPr>
        <w:lastRenderedPageBreak/>
        <w:t>has to be</w:t>
      </w:r>
      <w:r w:rsidR="00ED60EF">
        <w:rPr>
          <w:lang w:val="en-US"/>
        </w:rPr>
        <w:t xml:space="preserve"> </w:t>
      </w:r>
      <w:r w:rsidR="00036871">
        <w:rPr>
          <w:lang w:val="en-US"/>
        </w:rPr>
        <w:t xml:space="preserve">define the statistical unit </w:t>
      </w:r>
      <w:r w:rsidR="009B1D7B">
        <w:rPr>
          <w:lang w:val="en-US"/>
        </w:rPr>
        <w:t xml:space="preserve">(see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036871">
        <w:rPr>
          <w:lang w:val="en-US"/>
        </w:rPr>
        <w:t xml:space="preserve">finally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Heading2"/>
        <w:rPr>
          <w:lang w:val="en-US"/>
        </w:rPr>
      </w:pPr>
      <w:bookmarkStart w:id="7" w:name="_Ref399337302"/>
      <w:bookmarkStart w:id="8" w:name="_Ref399337312"/>
      <w:bookmarkStart w:id="9" w:name="_Toc406505786"/>
      <w:r w:rsidRPr="00763E00">
        <w:rPr>
          <w:lang w:val="en-US"/>
        </w:rPr>
        <w:t>Concepts on measuring economic resources</w:t>
      </w:r>
      <w:bookmarkEnd w:id="7"/>
      <w:bookmarkEnd w:id="8"/>
      <w:bookmarkEnd w:id="9"/>
    </w:p>
    <w:p w14:paraId="630322AC" w14:textId="27CD1E24"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an internationally agreed framework on micro-level statistics</w:t>
      </w:r>
      <w:r w:rsidR="0054558E">
        <w:rPr>
          <w:rStyle w:val="FootnoteReference"/>
          <w:lang w:val="en-US"/>
        </w:rPr>
        <w:footnoteReference w:id="1"/>
      </w:r>
      <w:r w:rsidRPr="00D044CF">
        <w:rPr>
          <w:lang w:val="en-US"/>
        </w:rPr>
        <w:t>.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vice-versa. </w:t>
      </w:r>
    </w:p>
    <w:p w14:paraId="5AE1D0E4" w14:textId="77777777" w:rsidR="00036871" w:rsidRDefault="00D044CF" w:rsidP="009B2515">
      <w:pPr>
        <w:pStyle w:val="Caption"/>
        <w:rPr>
          <w:sz w:val="19"/>
          <w:szCs w:val="19"/>
          <w:lang w:val="en-US"/>
        </w:rPr>
      </w:pPr>
      <w:r w:rsidRPr="006A2614">
        <w:rPr>
          <w:sz w:val="19"/>
          <w:szCs w:val="19"/>
          <w:lang w:val="en-US"/>
        </w:rPr>
        <w:t xml:space="preserve">Because inequality in income is by far the </w:t>
      </w:r>
      <w:r w:rsidR="00036871">
        <w:rPr>
          <w:sz w:val="19"/>
          <w:szCs w:val="19"/>
          <w:lang w:val="en-US"/>
        </w:rPr>
        <w:t>dimension</w:t>
      </w:r>
      <w:r w:rsidR="001232D9" w:rsidRPr="006A2614">
        <w:rPr>
          <w:sz w:val="19"/>
          <w:szCs w:val="19"/>
          <w:lang w:val="en-US"/>
        </w:rPr>
        <w: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0F3F69" w:rsidRPr="006A2614">
        <w:rPr>
          <w:sz w:val="19"/>
          <w:szCs w:val="19"/>
          <w:lang w:val="en-US"/>
        </w:rPr>
        <w:t>: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p>
    <w:p w14:paraId="514E71FA" w14:textId="39EB3C0F" w:rsidR="009B2515" w:rsidRPr="005E4140" w:rsidRDefault="009B2515" w:rsidP="009B2515">
      <w:pPr>
        <w:pStyle w:val="Caption"/>
        <w:rPr>
          <w:bCs w:val="0"/>
          <w:sz w:val="19"/>
          <w:szCs w:val="19"/>
          <w:lang w:val="en-US"/>
        </w:rPr>
      </w:pPr>
      <w:r w:rsidRPr="005E4140">
        <w:rPr>
          <w:bCs w:val="0"/>
          <w:sz w:val="19"/>
          <w:szCs w:val="19"/>
          <w:lang w:val="en-US"/>
        </w:rPr>
        <w:t xml:space="preserve">Additionally,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4346B486" w:rsidR="00676E3F" w:rsidRDefault="00E66771" w:rsidP="00676E3F">
      <w:pPr>
        <w:keepNext/>
      </w:pPr>
      <w:ins w:id="10" w:author="Hümbelin Oliver" w:date="2015-01-09T14:33:00Z">
        <w:r w:rsidRPr="00E66771">
          <w:rPr>
            <w:noProof/>
            <w:lang w:val="en-US"/>
          </w:rPr>
          <w:lastRenderedPageBreak/>
          <w:drawing>
            <wp:inline distT="0" distB="0" distL="0" distR="0" wp14:anchorId="0A885A64" wp14:editId="2C005C69">
              <wp:extent cx="5972810" cy="4610735"/>
              <wp:effectExtent l="0" t="0" r="889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610735"/>
                      </a:xfrm>
                      <a:prstGeom prst="rect">
                        <a:avLst/>
                      </a:prstGeom>
                      <a:noFill/>
                      <a:ln>
                        <a:noFill/>
                      </a:ln>
                      <a:effectLst/>
                      <a:extLst/>
                    </pic:spPr>
                  </pic:pic>
                </a:graphicData>
              </a:graphic>
            </wp:inline>
          </w:drawing>
        </w:r>
      </w:ins>
    </w:p>
    <w:p w14:paraId="672B86C8" w14:textId="6F192C39" w:rsidR="009B2515" w:rsidRPr="00DD5282" w:rsidRDefault="00DD5282" w:rsidP="006A2614">
      <w:pPr>
        <w:pStyle w:val="Caption"/>
        <w:rPr>
          <w:sz w:val="24"/>
          <w:szCs w:val="24"/>
          <w:lang w:val="en-US"/>
        </w:rPr>
      </w:pPr>
      <w:bookmarkStart w:id="11" w:name="_Ref406511993"/>
      <w:bookmarkStart w:id="12"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11"/>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12"/>
    </w:p>
    <w:p w14:paraId="0A79EC9B" w14:textId="77777777" w:rsidR="00676E3F" w:rsidRPr="008B734B" w:rsidRDefault="00676E3F" w:rsidP="00676E3F">
      <w:pPr>
        <w:pStyle w:val="Heading2"/>
        <w:rPr>
          <w:lang w:val="en-US"/>
        </w:rPr>
      </w:pPr>
      <w:bookmarkStart w:id="13" w:name="_Ref399841803"/>
      <w:bookmarkStart w:id="14" w:name="_Ref399849930"/>
      <w:bookmarkStart w:id="15" w:name="_Toc406505787"/>
      <w:r w:rsidRPr="008B734B">
        <w:rPr>
          <w:lang w:val="en-US"/>
        </w:rPr>
        <w:t>Measuring inequality</w:t>
      </w:r>
      <w:bookmarkEnd w:id="13"/>
      <w:bookmarkEnd w:id="14"/>
      <w:bookmarkEnd w:id="15"/>
    </w:p>
    <w:p w14:paraId="0276AC69" w14:textId="7B2F1295"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57E8E885"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2F29857"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Handock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3E5DE2A2" w:rsidR="001D27D7" w:rsidRDefault="00361A2D" w:rsidP="00B14648">
      <w:pPr>
        <w:rPr>
          <w:lang w:val="en-US"/>
        </w:rPr>
      </w:pPr>
      <w:r>
        <w:rPr>
          <w:lang w:val="en-US"/>
        </w:rPr>
        <w:t xml:space="preserve">Given this plethora of inequality measure, how do we choose the right one? In general this has to be decided </w:t>
      </w:r>
      <w:r w:rsidR="00091514">
        <w:rPr>
          <w:lang w:val="en-US"/>
        </w:rPr>
        <w:t>considering</w:t>
      </w:r>
      <w:r>
        <w:rPr>
          <w:lang w:val="en-US"/>
        </w:rPr>
        <w:t xml:space="preserve">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Kolm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bookmarkStart w:id="16" w:name="_Ref406405239"/>
      <w:bookmarkStart w:id="17" w:name="_Toc406505788"/>
      <w:r w:rsidRPr="00676E3F">
        <w:t>Statistical Units</w:t>
      </w:r>
      <w:bookmarkEnd w:id="16"/>
      <w:bookmarkEnd w:id="17"/>
    </w:p>
    <w:p w14:paraId="47E640C9" w14:textId="5CD64CA9"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proofErr w:type="gramStart"/>
      <w:r>
        <w:rPr>
          <w:lang w:val="en-US"/>
        </w:rPr>
        <w:t>are</w:t>
      </w:r>
      <w:proofErr w:type="gramEnd"/>
      <w:r w:rsidRPr="00676E3F">
        <w:rPr>
          <w:lang w:val="en-US"/>
        </w:rPr>
        <w:t xml:space="preserve"> individuals, who receive income, own </w:t>
      </w:r>
      <w:r w:rsidRPr="00676E3F">
        <w:rPr>
          <w:lang w:val="en-US"/>
        </w:rPr>
        <w:lastRenderedPageBreak/>
        <w:t xml:space="preserve">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74F52DF" w14:textId="77777777" w:rsidR="00676E3F" w:rsidRDefault="00676E3F" w:rsidP="00676E3F">
      <w:pPr>
        <w:pStyle w:val="Heading2"/>
        <w:rPr>
          <w:lang w:val="en-US"/>
        </w:rPr>
      </w:pPr>
      <w:bookmarkStart w:id="18" w:name="_Ref399841861"/>
      <w:bookmarkStart w:id="19" w:name="_Toc406505789"/>
      <w:r w:rsidRPr="00676E3F">
        <w:rPr>
          <w:lang w:val="en-US"/>
        </w:rPr>
        <w:t>Coverage Issues</w:t>
      </w:r>
      <w:bookmarkEnd w:id="18"/>
      <w:bookmarkEnd w:id="19"/>
    </w:p>
    <w:p w14:paraId="0001B184" w14:textId="3F425864"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w:t>
      </w:r>
      <w:r w:rsidR="00091514">
        <w:rPr>
          <w:lang w:val="en-US"/>
        </w:rPr>
        <w:t xml:space="preserve"> and/or options</w:t>
      </w:r>
      <w:r w:rsidR="00CA0F26" w:rsidRPr="00406373">
        <w:rPr>
          <w:lang w:val="en-US"/>
        </w:rPr>
        <w:t xml:space="preserve">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w:t>
      </w:r>
      <w:r w:rsidR="00091514">
        <w:rPr>
          <w:lang w:val="en-US"/>
        </w:rPr>
        <w:t>to</w:t>
      </w:r>
      <w:r w:rsidR="00CA0F26" w:rsidRPr="001D27D7">
        <w:rPr>
          <w:lang w:val="en-US"/>
        </w:rPr>
        <w:t xml:space="preserve">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20" w:name="_Ref399330540"/>
      <w:bookmarkStart w:id="21" w:name="_Toc406505790"/>
      <w:r w:rsidRPr="00B14648">
        <w:rPr>
          <w:lang w:val="en-US"/>
        </w:rPr>
        <w:t>Comparison of tax data and survey data – overview of advantages and shortcomings</w:t>
      </w:r>
      <w:bookmarkEnd w:id="20"/>
      <w:bookmarkEnd w:id="21"/>
    </w:p>
    <w:p w14:paraId="09876D70" w14:textId="6D1CDB29"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22"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Pr="00763E00">
        <w:rPr>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22"/>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71C71974"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w:t>
      </w:r>
      <w:r w:rsidRPr="00B14648">
        <w:rPr>
          <w:rFonts w:ascii="Lucida Sans" w:hAnsi="Lucida Sans"/>
          <w:sz w:val="19"/>
          <w:szCs w:val="19"/>
          <w:lang w:val="en-US"/>
        </w:rPr>
        <w:lastRenderedPageBreak/>
        <w:t xml:space="preserve">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proofErr w:type="gramStart"/>
      <w:r w:rsidR="00122E28">
        <w:rPr>
          <w:rFonts w:ascii="Lucida Sans" w:hAnsi="Lucida Sans"/>
          <w:sz w:val="19"/>
          <w:szCs w:val="19"/>
          <w:lang w:val="en-US"/>
        </w:rPr>
        <w:t>.</w:t>
      </w:r>
      <w:proofErr w:type="gramEnd"/>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447152D"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w:t>
      </w:r>
      <w:r w:rsidR="005D2E6C">
        <w:rPr>
          <w:rFonts w:ascii="Lucida Sans" w:hAnsi="Lucida Sans"/>
          <w:sz w:val="19"/>
          <w:szCs w:val="19"/>
          <w:lang w:val="en-US"/>
        </w:rPr>
        <w:t xml:space="preserve">mostly </w:t>
      </w:r>
      <w:r>
        <w:rPr>
          <w:rFonts w:ascii="Lucida Sans" w:hAnsi="Lucida Sans"/>
          <w:sz w:val="19"/>
          <w:szCs w:val="19"/>
          <w:lang w:val="en-US"/>
        </w:rPr>
        <w:t xml:space="preserve">the case with survey data).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0C356E50"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14ED3573"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(Korinek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are discussed in the literature (Särndal et al., 2003), but 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is tax evasion, which definitely can bias the assessment of inequality. </w:t>
      </w:r>
      <w:r w:rsidR="00B978E7">
        <w:rPr>
          <w:rFonts w:ascii="Lucida Sans" w:hAnsi="Lucida Sans"/>
          <w:sz w:val="19"/>
          <w:szCs w:val="19"/>
          <w:lang w:val="en-US"/>
        </w:rPr>
        <w:t xml:space="preserve">Alvaredo and Saez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can occur, when individuals try not to fill tax returns</w:t>
      </w:r>
      <w:r w:rsidR="005D2E6C">
        <w:rPr>
          <w:rFonts w:ascii="Lucida Sans" w:hAnsi="Lucida Sans"/>
          <w:sz w:val="19"/>
          <w:szCs w:val="19"/>
          <w:lang w:val="en-US"/>
        </w:rPr>
        <w:t xml:space="preserve"> or by misreporting of incomes.</w:t>
      </w:r>
    </w:p>
    <w:p w14:paraId="724C8CC5" w14:textId="23F39553"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 xml:space="preserve">the comparability </w:t>
      </w:r>
      <w:r w:rsidRPr="00B14648">
        <w:rPr>
          <w:rFonts w:ascii="Lucida Sans" w:hAnsi="Lucida Sans"/>
          <w:sz w:val="19"/>
          <w:szCs w:val="19"/>
          <w:lang w:val="en-US"/>
        </w:rPr>
        <w:t>over time,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23" w:name="_Toc406505791"/>
      <w:bookmarkStart w:id="24" w:name="_Ref406677101"/>
      <w:bookmarkStart w:id="25" w:name="_Ref406686090"/>
      <w:r>
        <w:rPr>
          <w:lang w:val="en-US"/>
        </w:rPr>
        <w:t>Different trends for income inequality in Switzerland</w:t>
      </w:r>
      <w:r w:rsidR="00A440C5">
        <w:rPr>
          <w:lang w:val="en-US"/>
        </w:rPr>
        <w:t xml:space="preserve"> due to methodological differences?</w:t>
      </w:r>
      <w:bookmarkEnd w:id="23"/>
      <w:bookmarkEnd w:id="24"/>
      <w:bookmarkEnd w:id="25"/>
    </w:p>
    <w:p w14:paraId="462D907A" w14:textId="07610820"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is to collect data on a common </w:t>
      </w:r>
      <w:r w:rsidR="00B14648" w:rsidRPr="00B14648">
        <w:rPr>
          <w:lang w:val="en-US"/>
        </w:rPr>
        <w:lastRenderedPageBreak/>
        <w:t xml:space="preserve">“framework” to ensure comparability among EU and EFTA </w:t>
      </w:r>
      <w:r w:rsidR="001232D9" w:rsidRPr="00B14648">
        <w:rPr>
          <w:lang w:val="en-US"/>
        </w:rPr>
        <w:t>countries</w:t>
      </w:r>
      <w:r w:rsidR="003B431B">
        <w:rPr>
          <w:lang w:val="en-US"/>
        </w:rPr>
        <w:t xml:space="preserve">. As a Non-EU member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Gornick and Jäntti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val="en-US"/>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92879" w:rsidRPr="008E19F9">
        <w:rPr>
          <w:noProof/>
          <w:lang w:val="en-US" w:eastAsia="de-CH"/>
        </w:rPr>
        <w:t xml:space="preserve"> </w:t>
      </w:r>
      <w:r>
        <w:rPr>
          <w:noProof/>
          <w:lang w:val="en-US"/>
        </w:rPr>
        <w:drawing>
          <wp:inline distT="0" distB="0" distL="0" distR="0" wp14:anchorId="6019ECC0" wp14:editId="17F30B76">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45DDA2" w14:textId="18C9365F" w:rsidR="005E7BD6" w:rsidRPr="005E7BD6" w:rsidRDefault="00616B27" w:rsidP="005E7BD6">
      <w:pPr>
        <w:pStyle w:val="Caption"/>
        <w:rPr>
          <w:sz w:val="24"/>
          <w:szCs w:val="24"/>
          <w:lang w:val="en-US"/>
        </w:rPr>
      </w:pPr>
      <w:bookmarkStart w:id="26" w:name="_Ref406511415"/>
      <w:bookmarkStart w:id="27"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26"/>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27"/>
    </w:p>
    <w:p w14:paraId="3F539B9A" w14:textId="220BAC2F"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 Foellmi and Martínez (2013) expand the Dell et al. time series to 2008 finding that the share of top income</w:t>
      </w:r>
      <w:r w:rsidR="00104646">
        <w:rPr>
          <w:lang w:val="en-US"/>
        </w:rPr>
        <w:t>s</w:t>
      </w:r>
      <w:r w:rsidRPr="00B14648">
        <w:rPr>
          <w:lang w:val="en-US"/>
        </w:rPr>
        <w:t xml:space="preserve"> </w:t>
      </w:r>
      <w:r w:rsidR="003B431B">
        <w:rPr>
          <w:lang w:val="en-US"/>
        </w:rPr>
        <w:t xml:space="preserve">did </w:t>
      </w:r>
      <w:proofErr w:type="gramStart"/>
      <w:r w:rsidR="003B431B">
        <w:rPr>
          <w:lang w:val="en-US"/>
        </w:rPr>
        <w:t>rise</w:t>
      </w:r>
      <w:proofErr w:type="gramEnd"/>
      <w:r w:rsidRPr="00B14648">
        <w:rPr>
          <w:lang w:val="en-US"/>
        </w:rPr>
        <w:t xml:space="preserve">, the top 0.01% share even doubled in the last observed 20 years. </w:t>
      </w:r>
      <w:r w:rsidR="00126FF4">
        <w:rPr>
          <w:lang w:val="en-US"/>
        </w:rPr>
        <w:t>These result</w:t>
      </w:r>
      <w:r w:rsidR="000421B2">
        <w:rPr>
          <w:lang w:val="en-US"/>
        </w:rPr>
        <w:t>s</w:t>
      </w:r>
      <w:r w:rsidR="00126FF4">
        <w:rPr>
          <w:lang w:val="en-US"/>
        </w:rPr>
        <w:t xml:space="preserve"> from the top income studies seem to </w:t>
      </w:r>
      <w:r w:rsidRPr="00B14648">
        <w:rPr>
          <w:lang w:val="en-US"/>
        </w:rPr>
        <w:t>oppos</w:t>
      </w:r>
      <w:r w:rsidR="001232D9">
        <w:rPr>
          <w:lang w:val="en-US"/>
        </w:rPr>
        <w:t xml:space="preserve">e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651E0EBF"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is rising. </w:t>
      </w:r>
      <w:r w:rsidR="00860C48">
        <w:rPr>
          <w:lang w:val="en-US"/>
        </w:rPr>
        <w:t xml:space="preserve">Differences </w:t>
      </w:r>
      <w:r w:rsidR="00860C48" w:rsidRPr="00B14648">
        <w:rPr>
          <w:lang w:val="en-US"/>
        </w:rPr>
        <w:t>can be explained with several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w:t>
      </w:r>
      <w:proofErr w:type="gramStart"/>
      <w:r w:rsidR="00FA3485">
        <w:rPr>
          <w:lang w:val="en-US"/>
        </w:rPr>
        <w:t xml:space="preserve">Following Leigh (2007:600) “top income shares are far from perfect as a measure of distribution of income across </w:t>
      </w:r>
      <w:r w:rsidR="00126FF4">
        <w:rPr>
          <w:lang w:val="en-US"/>
        </w:rPr>
        <w:t>society</w:t>
      </w:r>
      <w:r w:rsidR="00FA3485">
        <w:rPr>
          <w:lang w:val="en-US"/>
        </w:rPr>
        <w:t>”, although he finds a strong positive correlation with other inequality measures.</w:t>
      </w:r>
      <w:proofErr w:type="gramEnd"/>
      <w:r w:rsidR="00FA3485">
        <w:rPr>
          <w:lang w:val="en-US"/>
        </w:rPr>
        <w:t xml:space="preserve"> </w:t>
      </w:r>
      <w:r w:rsidR="000F66A6" w:rsidRPr="00B14648">
        <w:rPr>
          <w:lang w:val="en-US"/>
        </w:rPr>
        <w:t xml:space="preserve">Third, </w:t>
      </w:r>
      <w:r w:rsidR="000F66A6" w:rsidRPr="00B14648">
        <w:rPr>
          <w:lang w:val="en-US"/>
        </w:rPr>
        <w:lastRenderedPageBreak/>
        <w:t>different income concepts were used.</w:t>
      </w:r>
      <w:r w:rsidR="00126FF4">
        <w:rPr>
          <w:lang w:val="en-US"/>
        </w:rPr>
        <w:t xml:space="preserve"> The top income studies work with taxable incomes while the surveys rely on disposable income.</w:t>
      </w:r>
      <w:r w:rsidR="000F66A6" w:rsidRPr="00B14648">
        <w:rPr>
          <w:lang w:val="en-US"/>
        </w:rPr>
        <w:t xml:space="preserve"> As it is shown by Modetta and Müller (2012) income distribution </w:t>
      </w:r>
      <w:r w:rsidR="00126FF4">
        <w:rPr>
          <w:lang w:val="en-US"/>
        </w:rPr>
        <w:t>can</w:t>
      </w:r>
      <w:r w:rsidR="000F66A6" w:rsidRPr="00B14648">
        <w:rPr>
          <w:lang w:val="en-US"/>
        </w:rPr>
        <w:t xml:space="preserve"> strongly </w:t>
      </w:r>
      <w:r w:rsidR="00126FF4">
        <w:rPr>
          <w:lang w:val="en-US"/>
        </w:rPr>
        <w:t xml:space="preserve">be </w:t>
      </w:r>
      <w:r w:rsidR="000F66A6" w:rsidRPr="00B14648">
        <w:rPr>
          <w:lang w:val="en-US"/>
        </w:rPr>
        <w:t>affected by governmental redistribution through social transfers and taxes, red</w:t>
      </w:r>
      <w:r w:rsidR="00126FF4">
        <w:rPr>
          <w:lang w:val="en-US"/>
        </w:rPr>
        <w:t>ucing inequality substantially, but 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604F9035" w:rsidR="00860C48" w:rsidRPr="00B92879" w:rsidRDefault="00B14648" w:rsidP="00154023">
      <w:pPr>
        <w:pStyle w:val="Heading1"/>
        <w:rPr>
          <w:lang w:val="en-US"/>
        </w:rPr>
      </w:pPr>
      <w:bookmarkStart w:id="28" w:name="_Toc406505792"/>
      <w:r w:rsidRPr="00B14648">
        <w:rPr>
          <w:lang w:val="en-US"/>
        </w:rPr>
        <w:t>Assessing income inequality trend</w:t>
      </w:r>
      <w:r w:rsidR="00341DAB">
        <w:rPr>
          <w:lang w:val="en-US"/>
        </w:rPr>
        <w:t>s</w:t>
      </w:r>
      <w:r w:rsidRPr="00B14648">
        <w:rPr>
          <w:lang w:val="en-US"/>
        </w:rPr>
        <w:t xml:space="preserve"> with tax data for Switzerland</w:t>
      </w:r>
      <w:bookmarkEnd w:id="28"/>
    </w:p>
    <w:p w14:paraId="1B2BAD3F" w14:textId="214E8219"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this we show which issues are relevant when working with tax data in more general perspective and</w:t>
      </w:r>
      <w:r w:rsidR="00887475">
        <w:rPr>
          <w:lang w:val="en-US"/>
        </w:rPr>
        <w:t xml:space="preserve"> in the same time </w:t>
      </w:r>
      <w:r w:rsidR="00126FF4">
        <w:rPr>
          <w:lang w:val="en-US"/>
        </w:rPr>
        <w:t xml:space="preserve">we try to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126FF4">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7781FFCB"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5"/>
      </w:r>
      <w:r w:rsidR="00FD406E">
        <w:rPr>
          <w:lang w:val="en-US"/>
        </w:rPr>
        <w:t>. This figures include Gini</w:t>
      </w:r>
      <w:r w:rsidR="00341DAB">
        <w:rPr>
          <w:lang w:val="en-US"/>
        </w:rPr>
        <w:t xml:space="preserve"> </w:t>
      </w:r>
      <w:r w:rsidR="00FD406E">
        <w:rPr>
          <w:lang w:val="en-US"/>
        </w:rPr>
        <w:t>coefficients and percentiles ranging from 1973-1974 to 201</w:t>
      </w:r>
      <w:r w:rsidR="004A6F24">
        <w:rPr>
          <w:lang w:val="en-US"/>
        </w:rPr>
        <w:t>1</w:t>
      </w:r>
      <w:r w:rsidR="00FD406E">
        <w:rPr>
          <w:lang w:val="en-US"/>
        </w:rPr>
        <w:t xml:space="preserve"> for individuals, who had to pay federal taxes and from 1995-1996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information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w:t>
      </w:r>
      <w:r>
        <w:rPr>
          <w:lang w:val="en-US"/>
        </w:rPr>
        <w:lastRenderedPageBreak/>
        <w:t xml:space="preserve">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4F873661" w:rsidR="00F06E77" w:rsidRPr="000E2F6C" w:rsidRDefault="00763E00" w:rsidP="00763E00">
      <w:pPr>
        <w:pStyle w:val="Caption"/>
        <w:rPr>
          <w:sz w:val="24"/>
          <w:szCs w:val="24"/>
          <w:lang w:val="en-US"/>
        </w:rPr>
      </w:pPr>
      <w:bookmarkStart w:id="29" w:name="_Ref406507901"/>
      <w:bookmarkStart w:id="30" w:name="_Ref406507897"/>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bookmarkEnd w:id="29"/>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r w:rsidRPr="00C92257">
        <w:rPr>
          <w:sz w:val="24"/>
          <w:szCs w:val="24"/>
          <w:lang w:val="en-US"/>
        </w:rPr>
        <w:t>.</w:t>
      </w:r>
      <w:bookmarkEnd w:id="30"/>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8B734B"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8B734B"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8B734B"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8B734B"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05F24F50"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r w:rsidR="00C77373">
              <w:rPr>
                <w:rFonts w:eastAsia="Times New Roman"/>
                <w:color w:val="000000"/>
                <w:szCs w:val="19"/>
                <w:lang w:val="en-US"/>
              </w:rPr>
              <w:t xml:space="preserve"> (own calculation)</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8B734B"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8B734B"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8B734B"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8B734B"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31" w:name="_Toc406505793"/>
      <w:r w:rsidRPr="00154023">
        <w:rPr>
          <w:lang w:val="en-US"/>
        </w:rPr>
        <w:t>Defining Economic resources</w:t>
      </w:r>
      <w:bookmarkEnd w:id="31"/>
    </w:p>
    <w:p w14:paraId="6B13BC32" w14:textId="635CD937"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xml:space="preserve">[...] integrated analysis at the household level </w:t>
      </w:r>
      <w:r w:rsidRPr="00154023">
        <w:rPr>
          <w:lang w:val="en-US"/>
        </w:rPr>
        <w:lastRenderedPageBreak/>
        <w:t>has significant data requirements that go beyond the measurement efforts currently undertaken in most countries</w:t>
      </w:r>
      <w:r w:rsidR="00341DAB">
        <w:rPr>
          <w:lang w:val="en-US"/>
        </w:rPr>
        <w:t>”</w:t>
      </w:r>
      <w:r w:rsidRPr="00154023">
        <w:rPr>
          <w:lang w:val="en-US"/>
        </w:rPr>
        <w:t xml:space="preserve">. This last statement holds for Switzerland too, although the HBS study is strongly influenced by the recommendations of the Canberra group handbook (United Nations, 2011), which concepts </w:t>
      </w:r>
      <w:proofErr w:type="gramStart"/>
      <w:r w:rsidRPr="00154023">
        <w:rPr>
          <w:lang w:val="en-US"/>
        </w:rPr>
        <w:t>are part</w:t>
      </w:r>
      <w:proofErr w:type="gramEnd"/>
      <w:r w:rsidRPr="00154023">
        <w:rPr>
          <w:lang w:val="en-US"/>
        </w:rPr>
        <w:t xml:space="preserve">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Also measures of consumption are missing in tax data</w:t>
      </w:r>
      <w:r w:rsidR="00AD73C6">
        <w:rPr>
          <w:lang w:val="en-US"/>
        </w:rPr>
        <w:t xml:space="preserve">, but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32" w:name="_Ref404961105"/>
      <w:bookmarkStart w:id="33" w:name="_Toc406505794"/>
      <w:r>
        <w:rPr>
          <w:i/>
          <w:lang w:val="en-US"/>
        </w:rPr>
        <w:t>Income definitions within tax data</w:t>
      </w:r>
      <w:bookmarkEnd w:id="32"/>
      <w:bookmarkEnd w:id="33"/>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(Reineinkomme</w:t>
      </w:r>
      <w:r>
        <w:rPr>
          <w:i/>
          <w:lang w:val="en-US"/>
        </w:rPr>
        <w:t>n</w:t>
      </w:r>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6"/>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7"/>
      </w:r>
    </w:p>
    <w:p w14:paraId="3B6F4962" w14:textId="2133DB54"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7E81A338"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9BE1AD6"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83DA9">
        <w:rPr>
          <w:lang w:val="en-US"/>
        </w:rPr>
        <w:t>Long</w:t>
      </w:r>
      <w:r>
        <w:rPr>
          <w:lang w:val="en-US"/>
        </w:rPr>
        <w:t xml:space="preserve"> time period</w:t>
      </w:r>
      <w:r w:rsidR="00783DA9">
        <w:rPr>
          <w:lang w:val="en-US"/>
        </w:rPr>
        <w:t>s</w:t>
      </w:r>
      <w:r>
        <w:rPr>
          <w:lang w:val="en-US"/>
        </w:rPr>
        <w:t xml:space="preserve"> </w:t>
      </w:r>
      <w:r w:rsidR="00783DA9">
        <w:rPr>
          <w:lang w:val="en-US"/>
        </w:rPr>
        <w:t>are</w:t>
      </w:r>
      <w:r>
        <w:rPr>
          <w:lang w:val="en-US"/>
        </w:rPr>
        <w:t xml:space="preserve"> reached 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003B2B0A"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Heading3"/>
        <w:rPr>
          <w:i/>
          <w:lang w:val="en-US"/>
        </w:rPr>
      </w:pPr>
      <w:bookmarkStart w:id="35" w:name="_Ref404961181"/>
      <w:bookmarkStart w:id="36" w:name="_Toc406505795"/>
      <w:r>
        <w:rPr>
          <w:i/>
          <w:lang w:val="en-US"/>
        </w:rPr>
        <w:t xml:space="preserve">Using </w:t>
      </w:r>
      <w:r w:rsidR="0040615D" w:rsidRPr="0040615D">
        <w:rPr>
          <w:i/>
          <w:lang w:val="en-US"/>
        </w:rPr>
        <w:t>Income corrected with an equivalence scale based on tax information</w:t>
      </w:r>
      <w:bookmarkEnd w:id="35"/>
      <w:bookmarkEnd w:id="36"/>
    </w:p>
    <w:p w14:paraId="42C46ED0" w14:textId="4CCAF774"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xml:space="preserve">. The incomes of single households are divided by 1 (no change), for married tax units the equivalence-factor is 1.5. </w:t>
      </w:r>
      <w:r w:rsidR="00B410D9" w:rsidRPr="003B2B0A">
        <w:rPr>
          <w:lang w:val="en-US"/>
        </w:rPr>
        <w:lastRenderedPageBreak/>
        <w:t>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w:t>
      </w:r>
      <w:del w:id="37" w:author="Hümbelin Oliver" w:date="2015-01-09T14:37:00Z">
        <w:r w:rsidR="007B5DDD" w:rsidDel="00E66771">
          <w:rPr>
            <w:lang w:val="en-US"/>
          </w:rPr>
          <w:delText>implements</w:delText>
        </w:r>
        <w:r w:rsidR="00634342" w:rsidDel="00E66771">
          <w:rPr>
            <w:lang w:val="en-US"/>
          </w:rPr>
          <w:delText xml:space="preserve"> </w:delText>
        </w:r>
      </w:del>
      <w:r w:rsidR="007B5DDD">
        <w:rPr>
          <w:lang w:val="en-US"/>
        </w:rPr>
        <w:t>(OECD,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 xml:space="preserve">) </w:t>
      </w:r>
      <w:r w:rsidR="00B410D9" w:rsidRPr="003B2B0A">
        <w:rPr>
          <w:lang w:val="en-US"/>
        </w:rPr>
        <w:t xml:space="preserve">leads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5EEBF5DA"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372BCA">
        <w:rPr>
          <w:lang w:val="en-US"/>
        </w:rPr>
        <w:t>concept</w:t>
      </w:r>
      <w:r w:rsidR="00372BCA" w:rsidRPr="003B2B0A">
        <w:rPr>
          <w:lang w:val="en-US"/>
        </w:rPr>
        <w:t xml:space="preserve"> </w:t>
      </w:r>
      <w:r w:rsidRPr="003B2B0A">
        <w:rPr>
          <w:lang w:val="en-US"/>
        </w:rPr>
        <w:t xml:space="preserve">automatically has </w:t>
      </w:r>
      <w:r w:rsidR="007B5DDD" w:rsidRPr="003B2B0A">
        <w:rPr>
          <w:lang w:val="en-US"/>
        </w:rPr>
        <w:t>its</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77777777" w:rsidR="009C0F72" w:rsidRDefault="009C0F72" w:rsidP="009C0F72">
      <w:pPr>
        <w:keepNext/>
      </w:pPr>
      <w:commentRangeStart w:id="38"/>
      <w:r>
        <w:rPr>
          <w:noProof/>
          <w:lang w:val="en-US"/>
        </w:rPr>
        <w:drawing>
          <wp:inline distT="0" distB="0" distL="0" distR="0" wp14:anchorId="34F33A3A" wp14:editId="3292C5D4">
            <wp:extent cx="6011545" cy="3381494"/>
            <wp:effectExtent l="0" t="0" r="825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lo1\swiss_inequality_development\paper\figure\figure123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Caption"/>
        <w:rPr>
          <w:sz w:val="24"/>
          <w:szCs w:val="24"/>
          <w:lang w:val="en-US"/>
        </w:rPr>
      </w:pPr>
      <w:bookmarkStart w:id="39"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39"/>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commentRangeEnd w:id="38"/>
      <w:r w:rsidR="00DD064E">
        <w:rPr>
          <w:rStyle w:val="CommentReference"/>
          <w:bCs w:val="0"/>
          <w:lang w:val="de-CH"/>
        </w:rPr>
        <w:commentReference w:id="38"/>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Heading2"/>
        <w:rPr>
          <w:lang w:val="en-US"/>
        </w:rPr>
      </w:pPr>
      <w:bookmarkStart w:id="40" w:name="_Ref399518083"/>
      <w:bookmarkStart w:id="41" w:name="_Toc406505796"/>
      <w:r w:rsidRPr="00154023">
        <w:rPr>
          <w:lang w:val="en-US"/>
        </w:rPr>
        <w:t>Measuring inequality</w:t>
      </w:r>
      <w:bookmarkEnd w:id="40"/>
      <w:bookmarkEnd w:id="41"/>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Heading3"/>
        <w:rPr>
          <w:i/>
          <w:lang w:val="en-US"/>
        </w:rPr>
      </w:pPr>
      <w:bookmarkStart w:id="42" w:name="_Ref405912025"/>
      <w:bookmarkStart w:id="43" w:name="_Toc406505797"/>
      <w:r w:rsidRPr="00E90501">
        <w:rPr>
          <w:i/>
          <w:lang w:val="en-US"/>
        </w:rPr>
        <w:lastRenderedPageBreak/>
        <w:t>Change over time: difference between one population measures</w:t>
      </w:r>
      <w:bookmarkEnd w:id="42"/>
      <w:bookmarkEnd w:id="43"/>
    </w:p>
    <w:p w14:paraId="5765C286" w14:textId="737D5717"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for to inequality measures that are more sensitive to other parts of the distribution. </w:t>
      </w:r>
      <w:r w:rsidR="00783DA9">
        <w:rPr>
          <w:lang w:val="en-US"/>
        </w:rPr>
        <w:t>W</w:t>
      </w:r>
      <w:r>
        <w:rPr>
          <w:lang w:val="en-US"/>
        </w:rPr>
        <w:t>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04114E"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04114E"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77A3C25" w:rsidR="00D60A04" w:rsidRDefault="00D60A04" w:rsidP="00A40C08">
      <w:pPr>
        <w:rPr>
          <w:lang w:val="en-US"/>
        </w:rPr>
      </w:pPr>
      <w:r>
        <w:rPr>
          <w:lang w:val="en-US"/>
        </w:rPr>
        <w:t xml:space="preserve">Similar to the Atkinson index the measure is driven by the ratio </w:t>
      </w:r>
      <w:proofErr w:type="gramStart"/>
      <w:r>
        <w:rPr>
          <w:lang w:val="en-US"/>
        </w:rPr>
        <w:t>of</w:t>
      </w:r>
      <w:r w:rsidR="0010571E">
        <w:rPr>
          <w:lang w:val="en-US"/>
        </w:rPr>
        <w:t xml:space="preserve"> </w:t>
      </w:r>
      <w:r>
        <w:rPr>
          <w:lang w:val="en-US"/>
        </w:rPr>
        <w:t xml:space="preserve"> </w:t>
      </w:r>
      <w:proofErr w:type="gramEnd"/>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but it’s value lies in the interval [0, log(n)], where 0 equals a complete</w:t>
      </w:r>
      <w:r w:rsidR="004A6F24">
        <w:rPr>
          <w:lang w:val="en-US"/>
        </w:rPr>
        <w:t>ly</w:t>
      </w:r>
      <w:r w:rsidR="00255FA6">
        <w:rPr>
          <w:lang w:val="en-US"/>
        </w:rPr>
        <w:t xml:space="preserve"> even distribution and log(n)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w:t>
      </w:r>
      <w:proofErr w:type="gramStart"/>
      <w:r w:rsidR="00136B09">
        <w:rPr>
          <w:lang w:val="en-US"/>
        </w:rPr>
        <w:t>,</w:t>
      </w:r>
      <w:proofErr w:type="gramEnd"/>
      <w:r w:rsidR="00136B09">
        <w:rPr>
          <w:lang w:val="en-US"/>
        </w:rPr>
        <w:t xml:space="preserve"> the more focus is laid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67621E19"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w:t>
      </w:r>
      <w:proofErr w:type="gramStart"/>
      <w:r w:rsidR="008A44AD">
        <w:rPr>
          <w:lang w:val="en-US"/>
        </w:rPr>
        <w:t>GE(</w:t>
      </w:r>
      <w:proofErr w:type="gramEnd"/>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because we don’t want to focus only on the extremes. Cowell and Fla</w:t>
      </w:r>
      <w:r w:rsidR="00D60A04">
        <w:rPr>
          <w:lang w:val="en-US"/>
        </w:rPr>
        <w:t xml:space="preserve">chair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32541600"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xml:space="preserve">. We used the log of the indices and index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other.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Heading3"/>
        <w:rPr>
          <w:i/>
          <w:lang w:val="en-US"/>
        </w:rPr>
      </w:pPr>
      <w:bookmarkStart w:id="44" w:name="_Ref405912071"/>
      <w:bookmarkStart w:id="45" w:name="_Toc406505798"/>
      <w:r w:rsidRPr="00E90501">
        <w:rPr>
          <w:i/>
          <w:lang w:val="en-US"/>
        </w:rPr>
        <w:lastRenderedPageBreak/>
        <w:t xml:space="preserve">Change over time: </w:t>
      </w:r>
      <w:r>
        <w:rPr>
          <w:i/>
          <w:lang w:val="en-US"/>
        </w:rPr>
        <w:t>One population measures vs relative distribution</w:t>
      </w:r>
      <w:bookmarkEnd w:id="44"/>
      <w:bookmarkEnd w:id="45"/>
    </w:p>
    <w:p w14:paraId="394641CA" w14:textId="1A29224D" w:rsidR="00992DB1" w:rsidRDefault="00A00BCD" w:rsidP="008C2F1A">
      <w:pPr>
        <w:rPr>
          <w:lang w:val="en-US"/>
        </w:rPr>
      </w:pPr>
      <w:r>
        <w:rPr>
          <w:lang w:val="en-US"/>
        </w:rPr>
        <w:t xml:space="preserve">The comparison of bottom, mid and top sensitive measures can give a hunch on the nature of changing inequality. A </w:t>
      </w:r>
      <w:r w:rsidR="000128C6">
        <w:rPr>
          <w:lang w:val="en-US"/>
        </w:rPr>
        <w:t>better</w:t>
      </w:r>
      <w:r>
        <w:rPr>
          <w:lang w:val="en-US"/>
        </w:rPr>
        <w:t xml:space="preserve"> view is </w:t>
      </w:r>
      <w:r w:rsidR="000128C6">
        <w:rPr>
          <w:lang w:val="en-US"/>
        </w:rPr>
        <w:t>gained</w:t>
      </w:r>
      <w:r w:rsidR="00497AAC" w:rsidRPr="00497AAC">
        <w:rPr>
          <w:lang w:val="en-US"/>
        </w:rPr>
        <w:t xml:space="preserve"> 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3E6398">
        <w:rPr>
          <w:rStyle w:val="FootnoteReference"/>
          <w:lang w:val="en-US"/>
        </w:rPr>
        <w:footnoteReference w:id="11"/>
      </w:r>
      <w:r w:rsidR="00AC0437">
        <w:rPr>
          <w:lang w:val="en-US"/>
        </w:rPr>
        <w:t>).</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DD9F44"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0128C6" w:rsidRPr="00154023">
        <w:rPr>
          <w:lang w:val="en-US"/>
        </w:rPr>
        <w:t>population</w:t>
      </w:r>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can</w:t>
      </w:r>
      <w:proofErr w:type="gramEnd"/>
      <w:r w:rsidRPr="00154023">
        <w:rPr>
          <w:lang w:val="en-US"/>
        </w:rPr>
        <w:t xml:space="preserve"> 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2588537F"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decile</w:t>
      </w:r>
      <w:r w:rsidR="0079014F">
        <w:rPr>
          <w:lang w:val="en-US"/>
        </w:rPr>
        <w:t>s.</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w:t>
      </w:r>
      <w:r w:rsidR="00154023" w:rsidRPr="00154023">
        <w:rPr>
          <w:lang w:val="en-US"/>
        </w:rPr>
        <w:lastRenderedPageBreak/>
        <w:t>of the distribution); and negative values represent less polarization (convergence towards the center 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 described polarization indices: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46" w:name="_Ref406511075"/>
      <w:bookmarkStart w:id="47"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46"/>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r w:rsidRPr="007A5603">
        <w:rPr>
          <w:i/>
          <w:lang w:val="en-US"/>
        </w:rPr>
        <w:t>Source: Aggregated Tax Statistics and Key Figures from Swiss Federal Tax Administration (FTA), Micro cantonal Tax data (Bern) and Household Budget Survey (HBS), own calculations</w:t>
      </w:r>
      <w:bookmarkEnd w:id="47"/>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48" w:name="_Toc406505799"/>
      <w:r w:rsidRPr="00154023">
        <w:rPr>
          <w:lang w:val="en-US"/>
        </w:rPr>
        <w:t>Statistical units</w:t>
      </w:r>
      <w:bookmarkEnd w:id="48"/>
    </w:p>
    <w:p w14:paraId="7DE741DD" w14:textId="28A9E6E4" w:rsidR="00634342" w:rsidRDefault="00634342" w:rsidP="00634342">
      <w:pPr>
        <w:rPr>
          <w:lang w:val="en-US"/>
        </w:rPr>
      </w:pPr>
      <w:r w:rsidRPr="00154023">
        <w:rPr>
          <w:lang w:val="en-US"/>
        </w:rPr>
        <w:t xml:space="preserve">The usual units to assess inequality are </w:t>
      </w:r>
      <w:proofErr w:type="gramStart"/>
      <w:r w:rsidRPr="00154023">
        <w:rPr>
          <w:lang w:val="en-US"/>
        </w:rPr>
        <w:t>households,</w:t>
      </w:r>
      <w:proofErr w:type="gramEnd"/>
      <w:r w:rsidRPr="00154023">
        <w:rPr>
          <w:lang w:val="en-US"/>
        </w:rPr>
        <w:t xml:space="preserve">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 xml:space="preserve">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Schoch (2014, 99)). It is therefore not directly possible to elicit households and household income from tax data. This might influence </w:t>
      </w:r>
      <w:r w:rsidRPr="00154023">
        <w:rPr>
          <w:lang w:val="en-US"/>
        </w:rPr>
        <w:lastRenderedPageBreak/>
        <w:t>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1BDB20BA"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540542E1" w:rsidR="00AE18D1" w:rsidRDefault="00822DA7" w:rsidP="00634342">
      <w:pPr>
        <w:rPr>
          <w:lang w:val="en-US"/>
        </w:rPr>
      </w:pPr>
      <w:commentRangeStart w:id="49"/>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(Gini=0.48) than among households (Gini=0.44). </w:t>
      </w:r>
      <w:r w:rsidR="00523ECE">
        <w:rPr>
          <w:lang w:val="en-US"/>
        </w:rPr>
        <w:t xml:space="preserve">This </w:t>
      </w:r>
      <w:commentRangeEnd w:id="49"/>
      <w:r w:rsidR="00EF5092">
        <w:rPr>
          <w:rStyle w:val="CommentReference"/>
        </w:rPr>
        <w:commentReference w:id="49"/>
      </w:r>
      <w:r w:rsidR="00523ECE">
        <w:rPr>
          <w:lang w:val="en-US"/>
        </w:rPr>
        <w:t>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share of 37.</w:t>
      </w:r>
      <w:r w:rsidR="006C0833">
        <w:rPr>
          <w:lang w:val="en-US"/>
        </w:rPr>
        <w:t>7</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50" w:name="_Toc406505800"/>
      <w:bookmarkStart w:id="51" w:name="_Ref408579088"/>
      <w:r w:rsidRPr="006C3A86">
        <w:rPr>
          <w:lang w:val="en-US"/>
        </w:rPr>
        <w:t>Coverage issues</w:t>
      </w:r>
      <w:bookmarkEnd w:id="50"/>
      <w:bookmarkEnd w:id="51"/>
    </w:p>
    <w:p w14:paraId="10889638" w14:textId="1791BB0B"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Special cases cover </w:t>
      </w:r>
      <w:r w:rsidR="0040615D">
        <w:rPr>
          <w:lang w:val="en-US"/>
        </w:rPr>
        <w:t>mainly</w:t>
      </w:r>
      <w:r w:rsidR="00047D7A" w:rsidRPr="00154023">
        <w:rPr>
          <w:lang w:val="en-US"/>
        </w:rPr>
        <w:t xml:space="preserve"> foreign nationals living</w:t>
      </w:r>
      <w:r w:rsidR="0040615D">
        <w:rPr>
          <w:lang w:val="en-US"/>
        </w:rPr>
        <w:t xml:space="preserve"> and having income</w:t>
      </w:r>
      <w:r w:rsidR="00047D7A" w:rsidRPr="00154023">
        <w:rPr>
          <w:lang w:val="en-US"/>
        </w:rPr>
        <w:t xml:space="preserve"> in Switzerland but with a yearly or any other temporary resident permit only.</w:t>
      </w:r>
      <w:r w:rsidR="00047D7A">
        <w:rPr>
          <w:lang w:val="en-US"/>
        </w:rPr>
        <w:t xml:space="preserve"> Second</w:t>
      </w:r>
      <w:r w:rsidR="00E05C8B">
        <w:rPr>
          <w:lang w:val="en-US"/>
        </w:rPr>
        <w:t>, tax statistic</w:t>
      </w:r>
      <w:ins w:id="52" w:author="Hümbelin Oliver" w:date="2015-01-11T18:55:00Z">
        <w:r w:rsidR="008B734B">
          <w:rPr>
            <w:lang w:val="en-US"/>
          </w:rPr>
          <w:t>s</w:t>
        </w:r>
      </w:ins>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2"/>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w:t>
      </w:r>
      <w:r w:rsidR="00154023" w:rsidRPr="00154023">
        <w:rPr>
          <w:lang w:val="en-US"/>
        </w:rPr>
        <w:lastRenderedPageBreak/>
        <w:t>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7516DB40"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del w:id="53" w:author="Hümbelin Oliver" w:date="2015-01-11T18:55:00Z">
        <w:r w:rsidR="00F65C09" w:rsidDel="008B734B">
          <w:rPr>
            <w:lang w:val="en-US"/>
          </w:rPr>
          <w:delText>where</w:delText>
        </w:r>
        <w:r w:rsidDel="008B734B">
          <w:rPr>
            <w:lang w:val="en-US"/>
          </w:rPr>
          <w:delText xml:space="preserve"> </w:delText>
        </w:r>
        <w:r w:rsidR="006C3A86" w:rsidDel="008B734B">
          <w:rPr>
            <w:lang w:val="en-US"/>
          </w:rPr>
          <w:delText>it is</w:delText>
        </w:r>
      </w:del>
      <w:del w:id="54" w:author="Hümbelin Oliver" w:date="2015-01-11T18:56:00Z">
        <w:r w:rsidR="006C3A86" w:rsidDel="008B734B">
          <w:rPr>
            <w:lang w:val="en-US"/>
          </w:rPr>
          <w:delText xml:space="preserve"> empirical</w:delText>
        </w:r>
      </w:del>
      <w:ins w:id="55" w:author="Hümbelin Oliver" w:date="2015-01-11T18:56:00Z">
        <w:r w:rsidR="008B734B">
          <w:rPr>
            <w:lang w:val="en-US"/>
          </w:rPr>
          <w:t>with empirical</w:t>
        </w:r>
      </w:ins>
      <w:del w:id="56" w:author="Hümbelin Oliver" w:date="2015-01-11T18:56:00Z">
        <w:r w:rsidR="00661CF4" w:rsidDel="008B734B">
          <w:rPr>
            <w:lang w:val="en-US"/>
          </w:rPr>
          <w:delText>ly</w:delText>
        </w:r>
      </w:del>
      <w:r w:rsidR="006C3A86">
        <w:rPr>
          <w:lang w:val="en-US"/>
        </w:rPr>
        <w:t xml:space="preserve"> possi</w:t>
      </w:r>
      <w:ins w:id="57" w:author="Hümbelin Oliver" w:date="2015-01-11T18:55:00Z">
        <w:r w:rsidR="008B734B">
          <w:rPr>
            <w:lang w:val="en-US"/>
          </w:rPr>
          <w:t>bility</w:t>
        </w:r>
      </w:ins>
      <w:del w:id="58" w:author="Hümbelin Oliver" w:date="2015-01-11T18:55:00Z">
        <w:r w:rsidR="006C3A86" w:rsidDel="008B734B">
          <w:rPr>
            <w:lang w:val="en-US"/>
          </w:rPr>
          <w:delText>ble</w:delText>
        </w:r>
      </w:del>
      <w:r w:rsidR="00865714">
        <w:rPr>
          <w:lang w:val="en-US"/>
        </w:rPr>
        <w:t xml:space="preserve"> </w:t>
      </w:r>
      <w:del w:id="59" w:author="Hümbelin Oliver" w:date="2015-01-11T18:56:00Z">
        <w:r w:rsidR="00865714" w:rsidDel="008B734B">
          <w:rPr>
            <w:lang w:val="en-US"/>
          </w:rPr>
          <w:delText>for us</w:delText>
        </w:r>
        <w:r w:rsidR="006C3A86" w:rsidDel="008B734B">
          <w:rPr>
            <w:lang w:val="en-US"/>
          </w:rPr>
          <w:delText xml:space="preserve">, </w:delText>
        </w:r>
      </w:del>
      <w:r w:rsidR="006C3A86">
        <w:rPr>
          <w:lang w:val="en-US"/>
        </w:rPr>
        <w:t xml:space="preserve">to </w:t>
      </w:r>
      <w:del w:id="60" w:author="Hümbelin Oliver" w:date="2015-01-11T18:56:00Z">
        <w:r w:rsidR="006C3A86" w:rsidDel="008B734B">
          <w:rPr>
            <w:lang w:val="en-US"/>
          </w:rPr>
          <w:delText xml:space="preserve">see </w:delText>
        </w:r>
      </w:del>
      <w:ins w:id="61" w:author="Hümbelin Oliver" w:date="2015-01-11T18:56:00Z">
        <w:r w:rsidR="008B734B">
          <w:rPr>
            <w:lang w:val="en-US"/>
          </w:rPr>
          <w:t xml:space="preserve">test </w:t>
        </w:r>
      </w:ins>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76F45C9C" w:rsidR="00236B84" w:rsidRPr="005E7BD6" w:rsidRDefault="00A40C08" w:rsidP="005E7BD6">
      <w:pPr>
        <w:pStyle w:val="Heading3"/>
        <w:rPr>
          <w:i/>
          <w:lang w:val="en-US"/>
        </w:rPr>
      </w:pPr>
      <w:bookmarkStart w:id="62" w:name="_Toc406505801"/>
      <w:r>
        <w:rPr>
          <w:i/>
          <w:lang w:val="en-US"/>
        </w:rPr>
        <w:t>Superior</w:t>
      </w:r>
      <w:r w:rsidR="00902D03">
        <w:rPr>
          <w:i/>
          <w:lang w:val="en-US"/>
        </w:rPr>
        <w:t xml:space="preserve"> coverage with tax data than with survey data</w:t>
      </w:r>
      <w:bookmarkEnd w:id="62"/>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29B243F2"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0C7DD6">
        <w:rPr>
          <w:lang w:val="en-US"/>
        </w:rPr>
        <w:t>an</w:t>
      </w:r>
      <w:r w:rsidR="00132181">
        <w:rPr>
          <w:lang w:val="en-US"/>
        </w:rPr>
        <w:t xml:space="preserve"> </w:t>
      </w:r>
      <w:r w:rsidR="000C7DD6">
        <w:rPr>
          <w:lang w:val="en-US"/>
        </w:rPr>
        <w:t>”</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But the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of i</w:t>
      </w:r>
      <w:r w:rsidR="005B4A5D">
        <w:rPr>
          <w:lang w:val="en-US"/>
        </w:rPr>
        <w:t xml:space="preserve">nequality. </w:t>
      </w:r>
      <w:commentRangeStart w:id="63"/>
      <w:r w:rsidR="005B4A5D">
        <w:rPr>
          <w:lang w:val="en-US"/>
        </w:rPr>
        <w:t>The Gini coefficient</w:t>
      </w:r>
      <w:r w:rsidR="000C7DD6">
        <w:rPr>
          <w:lang w:val="en-US"/>
        </w:rPr>
        <w:t xml:space="preserve"> for Bern </w:t>
      </w:r>
      <w:r w:rsidR="00F44D4C">
        <w:rPr>
          <w:lang w:val="en-US"/>
        </w:rPr>
        <w:t>is</w:t>
      </w:r>
      <w:r w:rsidR="009722A6">
        <w:rPr>
          <w:lang w:val="en-US"/>
        </w:rPr>
        <w:t xml:space="preserve"> +0.08 </w:t>
      </w:r>
      <w:r w:rsidR="005B4A5D">
        <w:rPr>
          <w:lang w:val="en-US"/>
        </w:rPr>
        <w:t>higher</w:t>
      </w:r>
      <w:r w:rsidR="00F44D4C">
        <w:rPr>
          <w:lang w:val="en-US"/>
        </w:rPr>
        <w:t xml:space="preserve"> in tax data than in the HBS</w:t>
      </w:r>
      <w:r w:rsidR="000C7DD6">
        <w:rPr>
          <w:lang w:val="en-US"/>
        </w:rPr>
        <w:t xml:space="preserve">. A comparison of the Gini coefficients for the tax data </w:t>
      </w:r>
      <w:r w:rsidR="000C7DD6">
        <w:rPr>
          <w:lang w:val="en-US"/>
        </w:rPr>
        <w:lastRenderedPageBreak/>
        <w:t xml:space="preserve">and HBS for the married results in +0.19 higher coefficient, which is explained by the upper middle class bias and the missing social welfare incomes.  </w:t>
      </w:r>
      <w:commentRangeEnd w:id="63"/>
      <w:r w:rsidR="00EF5092">
        <w:rPr>
          <w:rStyle w:val="CommentReference"/>
        </w:rPr>
        <w:commentReference w:id="63"/>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Heading3"/>
        <w:rPr>
          <w:i/>
          <w:lang w:val="en-US"/>
        </w:rPr>
      </w:pPr>
      <w:r w:rsidRPr="008E2F97">
        <w:rPr>
          <w:i/>
          <w:lang w:val="en-US"/>
        </w:rPr>
        <w:t xml:space="preserve"> </w:t>
      </w:r>
      <w:bookmarkStart w:id="64" w:name="_Toc406505802"/>
      <w:r>
        <w:rPr>
          <w:i/>
          <w:lang w:val="en-US"/>
        </w:rPr>
        <w:t>Influence of special tax subjects</w:t>
      </w:r>
      <w:bookmarkEnd w:id="64"/>
    </w:p>
    <w:p w14:paraId="7BF7B66A" w14:textId="08811AA1" w:rsidR="00497AAC" w:rsidRDefault="00497AAC" w:rsidP="000B1BAB">
      <w:pPr>
        <w:rPr>
          <w:ins w:id="65" w:author="Hümbelin Oliver" w:date="2015-01-11T18:57:00Z"/>
          <w:lang w:val="en-US"/>
        </w:rPr>
      </w:pPr>
      <w:r w:rsidRPr="00497AAC">
        <w:rPr>
          <w:lang w:val="en-US"/>
        </w:rPr>
        <w:t xml:space="preserve">The FTA distinguishes normal </w:t>
      </w:r>
      <w:r w:rsidR="00F44D4C">
        <w:rPr>
          <w:lang w:val="en-US"/>
        </w:rPr>
        <w:t>and</w:t>
      </w:r>
      <w:r w:rsidR="00F44D4C" w:rsidRPr="00497AAC">
        <w:rPr>
          <w:lang w:val="en-US"/>
        </w:rPr>
        <w:t xml:space="preserve"> </w:t>
      </w:r>
      <w:r w:rsidRPr="00497AAC">
        <w:rPr>
          <w:lang w:val="en-US"/>
        </w:rPr>
        <w:t xml:space="preserve">special cases. To test whether it matters </w:t>
      </w:r>
      <w:r w:rsidR="003E0F55">
        <w:rPr>
          <w:lang w:val="en-US"/>
        </w:rPr>
        <w:t xml:space="preserve">if special cases are included in the analysis or not </w:t>
      </w:r>
      <w:r w:rsidRPr="00497AAC">
        <w:rPr>
          <w:lang w:val="en-US"/>
        </w:rPr>
        <w:t>we compare the distributions</w:t>
      </w:r>
      <w:r w:rsidR="003E0F55">
        <w:rPr>
          <w:lang w:val="en-US"/>
        </w:rPr>
        <w:t xml:space="preserve"> of taxable income</w:t>
      </w:r>
      <w:r w:rsidRPr="00497AAC">
        <w:rPr>
          <w:lang w:val="en-US"/>
        </w:rPr>
        <w:t xml:space="preserve"> </w:t>
      </w:r>
      <w:r w:rsidR="003E0F55">
        <w:rPr>
          <w:lang w:val="en-US"/>
        </w:rPr>
        <w:t>for</w:t>
      </w:r>
      <w:r w:rsidR="003E0F55" w:rsidRPr="00497AAC">
        <w:rPr>
          <w:lang w:val="en-US"/>
        </w:rPr>
        <w:t xml:space="preserve"> </w:t>
      </w:r>
      <w:r w:rsidRPr="00497AAC">
        <w:rPr>
          <w:lang w:val="en-US"/>
        </w:rPr>
        <w:t>normal</w:t>
      </w:r>
      <w:r w:rsidR="00F44D4C">
        <w:rPr>
          <w:lang w:val="en-US"/>
        </w:rPr>
        <w:t xml:space="preserve"> cases</w:t>
      </w:r>
      <w:r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Pr="00497AAC">
        <w:rPr>
          <w:lang w:val="en-US"/>
        </w:rPr>
        <w:t>special cases</w:t>
      </w:r>
      <w:r w:rsidR="003E0F55">
        <w:rPr>
          <w:lang w:val="en-US"/>
        </w:rPr>
        <w:t>)</w:t>
      </w:r>
      <w:r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Pr="00497AAC">
        <w:rPr>
          <w:lang w:val="en-US"/>
        </w:rPr>
        <w:t xml:space="preserve">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Pr="00497AAC">
        <w:rPr>
          <w:lang w:val="en-US"/>
        </w:rPr>
        <w:t>as well.</w:t>
      </w:r>
    </w:p>
    <w:p w14:paraId="08E62B2D" w14:textId="77777777" w:rsidR="008B734B" w:rsidRDefault="008B734B" w:rsidP="000B1BAB">
      <w:pPr>
        <w:rPr>
          <w:lang w:val="en-US"/>
        </w:rPr>
      </w:pPr>
    </w:p>
    <w:p w14:paraId="79D5950E" w14:textId="36E575F4" w:rsidR="00455C52" w:rsidRDefault="00497AAC" w:rsidP="00497AAC">
      <w:pPr>
        <w:rPr>
          <w:lang w:val="en-US"/>
        </w:rPr>
      </w:pPr>
      <w:r w:rsidRPr="00497AAC">
        <w:rPr>
          <w:lang w:val="en-US"/>
        </w:rPr>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8F4037">
        <w:rPr>
          <w:lang w:val="en-US"/>
        </w:rPr>
        <w:t>with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Special cases appear to have a slightly lower median income and their distribution is more skewed. Therefore special cases are more polarized than normal cases</w:t>
      </w:r>
      <w:r w:rsidR="003E0F55">
        <w:rPr>
          <w:lang w:val="en-US"/>
        </w:rPr>
        <w:t>.</w:t>
      </w:r>
      <w:r w:rsidR="008F4037">
        <w:rPr>
          <w:lang w:val="en-US"/>
        </w:rPr>
        <w:t xml:space="preserve"> </w:t>
      </w:r>
      <w:r w:rsidR="00835FA1">
        <w:rPr>
          <w:lang w:val="en-US"/>
        </w:rPr>
        <w:t>Put simply: the population of special cases 1993/94 hold considerably more tax units with low incomes than does the population of normal cases.</w:t>
      </w:r>
      <w:r w:rsidR="00865714">
        <w:rPr>
          <w:lang w:val="en-US"/>
        </w:rPr>
        <w:t xml:space="preserve"> </w:t>
      </w:r>
      <w:r w:rsidRPr="00497AAC">
        <w:rPr>
          <w:lang w:val="en-US"/>
        </w:rPr>
        <w:t>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w:t>
      </w:r>
      <w:r w:rsidR="004A6F24">
        <w:rPr>
          <w:lang w:val="en-US"/>
        </w:rPr>
        <w:t>1</w:t>
      </w:r>
      <w:r w:rsidRPr="00497AAC">
        <w:rPr>
          <w:lang w:val="en-US"/>
        </w:rPr>
        <w:t xml:space="preserve"> </w:t>
      </w:r>
      <w:r w:rsidR="00A8628A">
        <w:rPr>
          <w:lang w:val="en-US"/>
        </w:rPr>
        <w:t xml:space="preserve">(see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right</w:t>
      </w:r>
      <w:r w:rsidR="00A8628A">
        <w:rPr>
          <w:lang w:val="en-US"/>
        </w:rPr>
        <w:t>)</w:t>
      </w:r>
      <w:r w:rsidRPr="00497AAC">
        <w:rPr>
          <w:lang w:val="en-US"/>
        </w:rPr>
        <w:t>.</w:t>
      </w:r>
      <w:r w:rsidR="00865714">
        <w:rPr>
          <w:lang w:val="en-US"/>
        </w:rPr>
        <w:t xml:space="preserve"> </w:t>
      </w:r>
      <w:r w:rsidRPr="00497AAC">
        <w:rPr>
          <w:lang w:val="en-US"/>
        </w:rPr>
        <w:t>201</w:t>
      </w:r>
      <w:r w:rsidR="004A6F24">
        <w:rPr>
          <w:lang w:val="en-US"/>
        </w:rPr>
        <w:t>1</w:t>
      </w:r>
      <w:r w:rsidRPr="00497AAC">
        <w:rPr>
          <w:lang w:val="en-US"/>
        </w:rPr>
        <w:t xml:space="preserve"> the picture is similar but more apparent: Special cases appear more frequent around the lower percentiles of the pooled </w:t>
      </w:r>
      <w:proofErr w:type="gramStart"/>
      <w:r w:rsidRPr="00497AAC">
        <w:rPr>
          <w:lang w:val="en-US"/>
        </w:rPr>
        <w:t>distribution,</w:t>
      </w:r>
      <w:proofErr w:type="gramEnd"/>
      <w:r w:rsidRPr="00497AAC">
        <w:rPr>
          <w:lang w:val="en-US"/>
        </w:rPr>
        <w:t xml:space="preserve"> however 201</w:t>
      </w:r>
      <w:r w:rsidR="004A6F24">
        <w:rPr>
          <w:lang w:val="en-US"/>
        </w:rPr>
        <w:t>1</w:t>
      </w:r>
      <w:r w:rsidRPr="00497AAC">
        <w:rPr>
          <w:lang w:val="en-US"/>
        </w:rPr>
        <w:t xml:space="preserve"> there is a more noteworthy effect in the upper part of the distribution</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w:t>
      </w:r>
      <w:r w:rsidR="004A6F24">
        <w:rPr>
          <w:lang w:val="en-US"/>
        </w:rPr>
        <w:t>1</w:t>
      </w:r>
      <w:r w:rsidRPr="00497AAC">
        <w:rPr>
          <w:lang w:val="en-US"/>
        </w:rPr>
        <w:t xml:space="preserve"> drive the effect.</w:t>
      </w:r>
    </w:p>
    <w:p w14:paraId="5D74B477" w14:textId="77777777" w:rsidR="0069494D" w:rsidRDefault="0069494D" w:rsidP="000B1BAB">
      <w:pPr>
        <w:rPr>
          <w:lang w:val="en-US"/>
        </w:rPr>
      </w:pPr>
    </w:p>
    <w:p w14:paraId="733C6FE7" w14:textId="77777777" w:rsidR="005B4A5D" w:rsidRPr="000B1BAB" w:rsidRDefault="005B4A5D" w:rsidP="000B1BAB">
      <w:pPr>
        <w:rPr>
          <w:lang w:val="en-US"/>
        </w:rPr>
      </w:pPr>
    </w:p>
    <w:p w14:paraId="11C42576" w14:textId="6FE9C133" w:rsidR="00455C52" w:rsidRPr="00616B27" w:rsidRDefault="00902D03" w:rsidP="00616B27">
      <w:pPr>
        <w:pStyle w:val="Heading3"/>
        <w:rPr>
          <w:i/>
          <w:lang w:val="en-US"/>
        </w:rPr>
      </w:pPr>
      <w:bookmarkStart w:id="66" w:name="_Ref405910412"/>
      <w:bookmarkStart w:id="67" w:name="_Toc406505803"/>
      <w:r>
        <w:rPr>
          <w:i/>
          <w:lang w:val="en-US"/>
        </w:rPr>
        <w:t>Influence of non-taxed</w:t>
      </w:r>
      <w:bookmarkEnd w:id="66"/>
      <w:bookmarkEnd w:id="67"/>
    </w:p>
    <w:p w14:paraId="096F9DF3" w14:textId="2DFE1DFF" w:rsidR="00E05C8B" w:rsidRPr="00846DC4" w:rsidRDefault="00E05C8B" w:rsidP="001232D9">
      <w:pPr>
        <w:rPr>
          <w:lang w:val="en-US"/>
        </w:rPr>
      </w:pPr>
      <w:commentRangeStart w:id="68"/>
      <w:commentRangeStart w:id="69"/>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commentRangeEnd w:id="68"/>
      <w:r w:rsidR="0042665B">
        <w:rPr>
          <w:rStyle w:val="CommentReference"/>
        </w:rPr>
        <w:commentReference w:id="68"/>
      </w:r>
      <w:commentRangeEnd w:id="69"/>
      <w:r w:rsidR="000421B2">
        <w:rPr>
          <w:rStyle w:val="CommentReference"/>
        </w:rPr>
        <w:commentReference w:id="69"/>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9DE0872"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ootnoteReference"/>
          <w:lang w:val="en-US"/>
        </w:rPr>
        <w:footnoteReference w:id="13"/>
      </w:r>
      <w:r w:rsidR="000E5BD4">
        <w:rPr>
          <w:lang w:val="en-US"/>
        </w:rPr>
        <w:t>.</w:t>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43A1C9AC" w:rsidR="006956E1" w:rsidRDefault="006956E1" w:rsidP="001232D9">
      <w:pPr>
        <w:rPr>
          <w:lang w:val="en-US"/>
        </w:rPr>
      </w:pPr>
      <w:proofErr w:type="gramStart"/>
      <w:r>
        <w:rPr>
          <w:lang w:val="en-US"/>
        </w:rPr>
        <w:t xml:space="preserve">As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w:t>
      </w:r>
      <w:r w:rsidR="00B978E7">
        <w:rPr>
          <w:lang w:val="en-US"/>
        </w:rPr>
        <w:t>at</w:t>
      </w:r>
      <w:r>
        <w:rPr>
          <w:lang w:val="en-US"/>
        </w:rPr>
        <w:t xml:space="preserve"> </w:t>
      </w:r>
      <w:r w:rsidR="00A23BE2">
        <w:rPr>
          <w:lang w:val="en-US"/>
        </w:rPr>
        <w:t>2011</w:t>
      </w:r>
      <w:r w:rsidR="000E5BD4">
        <w:rPr>
          <w:lang w:val="en-US"/>
        </w:rPr>
        <w:t xml:space="preserve"> where the Gini coefficient rose drastically.</w:t>
      </w:r>
      <w:proofErr w:type="gramEnd"/>
      <w:r w:rsidR="000E5BD4">
        <w:rPr>
          <w:lang w:val="en-US"/>
        </w:rPr>
        <w:t xml:space="preserve">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876D58">
        <w:rPr>
          <w:lang w:val="en-US"/>
        </w:rPr>
        <w:t>It gets clearer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artificially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72C6CC0E"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as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questionable if </w:t>
      </w:r>
      <w:proofErr w:type="gramStart"/>
      <w:r w:rsidR="006A2614">
        <w:rPr>
          <w:lang w:val="en-US"/>
        </w:rPr>
        <w:t>analys</w:t>
      </w:r>
      <w:r w:rsidR="00A14ACB">
        <w:rPr>
          <w:lang w:val="en-US"/>
        </w:rPr>
        <w:t>e</w:t>
      </w:r>
      <w:r w:rsidR="006A2614">
        <w:rPr>
          <w:lang w:val="en-US"/>
        </w:rPr>
        <w:t xml:space="preserve">s </w:t>
      </w:r>
      <w:r w:rsidR="007572D8">
        <w:rPr>
          <w:lang w:val="en-US"/>
        </w:rPr>
        <w:t>based on only a small fraction of the population is</w:t>
      </w:r>
      <w:proofErr w:type="gramEnd"/>
      <w:r w:rsidR="007572D8">
        <w:rPr>
          <w:lang w:val="en-US"/>
        </w:rPr>
        <w:t xml:space="preserve"> appropriate.</w:t>
      </w:r>
    </w:p>
    <w:p w14:paraId="5EDE6949" w14:textId="77777777" w:rsidR="008F4037" w:rsidRDefault="008F4037" w:rsidP="001232D9">
      <w:pPr>
        <w:rPr>
          <w:lang w:val="en-US"/>
        </w:rPr>
      </w:pPr>
    </w:p>
    <w:p w14:paraId="743F023D" w14:textId="2760B1AE" w:rsidR="00497AAC" w:rsidRPr="00B36635" w:rsidRDefault="0042665B" w:rsidP="00497AAC">
      <w:pPr>
        <w:pStyle w:val="Heading1"/>
        <w:rPr>
          <w:lang w:val="en-US"/>
        </w:rPr>
      </w:pPr>
      <w:bookmarkStart w:id="70" w:name="_Toc406505804"/>
      <w:r>
        <w:rPr>
          <w:lang w:val="en-US"/>
        </w:rPr>
        <w:t xml:space="preserve">Summary and </w:t>
      </w:r>
      <w:r w:rsidR="00154023">
        <w:rPr>
          <w:lang w:val="en-US"/>
        </w:rPr>
        <w:t>Conclusion</w:t>
      </w:r>
      <w:bookmarkEnd w:id="70"/>
    </w:p>
    <w:p w14:paraId="4E5BF984" w14:textId="25A7D0B7"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benefits and downsides of </w:t>
      </w:r>
      <w:r w:rsidR="00887475">
        <w:rPr>
          <w:rFonts w:ascii="Lucida Sans" w:hAnsi="Lucida Sans"/>
          <w:sz w:val="19"/>
          <w:szCs w:val="19"/>
          <w:lang w:val="en-US"/>
        </w:rPr>
        <w:t xml:space="preserve">real </w:t>
      </w:r>
      <w:r w:rsidRPr="008B2031">
        <w:rPr>
          <w:rFonts w:ascii="Lucida Sans" w:hAnsi="Lucida Sans"/>
          <w:sz w:val="19"/>
          <w:szCs w:val="19"/>
          <w:lang w:val="en-US"/>
        </w:rPr>
        <w:t xml:space="preserve">tax data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We finally want to draw a conclusion</w:t>
      </w:r>
      <w:r w:rsidR="00190924">
        <w:rPr>
          <w:rFonts w:ascii="Lucida Sans" w:hAnsi="Lucida Sans"/>
          <w:sz w:val="19"/>
          <w:szCs w:val="19"/>
          <w:lang w:val="en-US"/>
        </w:rPr>
        <w:t xml:space="preserve">. We do this by sorting out major and minor methodological issues and by relating this conclusion </w:t>
      </w:r>
      <w:r w:rsidR="00AB4D97">
        <w:rPr>
          <w:rFonts w:ascii="Lucida Sans" w:hAnsi="Lucida Sans"/>
          <w:sz w:val="19"/>
          <w:szCs w:val="19"/>
          <w:lang w:val="en-US"/>
        </w:rPr>
        <w:t>on a substantial level to</w:t>
      </w:r>
      <w:r w:rsidR="00190924">
        <w:rPr>
          <w:rFonts w:ascii="Lucida Sans" w:hAnsi="Lucida Sans"/>
          <w:sz w:val="19"/>
          <w:szCs w:val="19"/>
          <w:lang w:val="en-US"/>
        </w:rPr>
        <w:t xml:space="preserve"> the case of Switzerland</w:t>
      </w:r>
      <w:r w:rsidR="00887475">
        <w:rPr>
          <w:rFonts w:ascii="Lucida Sans" w:hAnsi="Lucida Sans"/>
          <w:sz w:val="19"/>
          <w:szCs w:val="19"/>
          <w:lang w:val="en-US"/>
        </w:rPr>
        <w:t>, to show how</w:t>
      </w:r>
      <w:del w:id="71" w:author="rudi" w:date="2014-12-21T01:36:00Z">
        <w:r w:rsidR="00887475" w:rsidDel="00351473">
          <w:rPr>
            <w:rFonts w:ascii="Lucida Sans" w:hAnsi="Lucida Sans"/>
            <w:sz w:val="19"/>
            <w:szCs w:val="19"/>
            <w:lang w:val="en-US"/>
          </w:rPr>
          <w:delText>,</w:delText>
        </w:r>
      </w:del>
      <w:r w:rsidR="00887475">
        <w:rPr>
          <w:rFonts w:ascii="Lucida Sans" w:hAnsi="Lucida Sans"/>
          <w:sz w:val="19"/>
          <w:szCs w:val="19"/>
          <w:lang w:val="en-US"/>
        </w:rPr>
        <w:t xml:space="preserve"> methodological issues can influence substantial conclusion.</w:t>
      </w:r>
    </w:p>
    <w:p w14:paraId="364C892C" w14:textId="1C16C784" w:rsidR="007E29BC" w:rsidRDefault="007E29BC" w:rsidP="005350F7">
      <w:pPr>
        <w:pStyle w:val="Standard1"/>
        <w:rPr>
          <w:rFonts w:ascii="Lucida Sans" w:hAnsi="Lucida Sans"/>
          <w:sz w:val="19"/>
          <w:szCs w:val="19"/>
          <w:lang w:val="en-US"/>
        </w:rPr>
      </w:pPr>
      <w:r>
        <w:rPr>
          <w:rFonts w:ascii="Lucida Sans" w:hAnsi="Lucida Sans"/>
          <w:sz w:val="19"/>
          <w:szCs w:val="19"/>
          <w:lang w:val="en-US"/>
        </w:rPr>
        <w:t>Considering aggregated tax statistics some central</w:t>
      </w:r>
      <w:r w:rsidR="005C4E90">
        <w:rPr>
          <w:rFonts w:ascii="Lucida Sans" w:hAnsi="Lucida Sans"/>
          <w:sz w:val="19"/>
          <w:szCs w:val="19"/>
          <w:lang w:val="en-US"/>
        </w:rPr>
        <w:t xml:space="preserve"> conceptual</w:t>
      </w:r>
      <w:r>
        <w:rPr>
          <w:rFonts w:ascii="Lucida Sans" w:hAnsi="Lucida Sans"/>
          <w:sz w:val="19"/>
          <w:szCs w:val="19"/>
          <w:lang w:val="en-US"/>
        </w:rPr>
        <w:t xml:space="preserve"> imperfections have to </w:t>
      </w:r>
      <w:r w:rsidR="00A14ACB">
        <w:rPr>
          <w:rFonts w:ascii="Lucida Sans" w:hAnsi="Lucida Sans"/>
          <w:sz w:val="19"/>
          <w:szCs w:val="19"/>
          <w:lang w:val="en-US"/>
        </w:rPr>
        <w:t xml:space="preserve">be </w:t>
      </w:r>
      <w:r>
        <w:rPr>
          <w:rFonts w:ascii="Lucida Sans" w:hAnsi="Lucida Sans"/>
          <w:sz w:val="19"/>
          <w:szCs w:val="19"/>
          <w:lang w:val="en-US"/>
        </w:rPr>
        <w:t xml:space="preserve">mentioned. While the </w:t>
      </w:r>
      <w:del w:id="72" w:author="rudi" w:date="2014-12-21T01:37:00Z">
        <w:r w:rsidDel="00351473">
          <w:rPr>
            <w:rFonts w:ascii="Lucida Sans" w:hAnsi="Lucida Sans"/>
            <w:sz w:val="19"/>
            <w:szCs w:val="19"/>
            <w:lang w:val="en-US"/>
          </w:rPr>
          <w:delText xml:space="preserve">current </w:delText>
        </w:r>
      </w:del>
      <w:r>
        <w:rPr>
          <w:rFonts w:ascii="Lucida Sans" w:hAnsi="Lucida Sans"/>
          <w:sz w:val="19"/>
          <w:szCs w:val="19"/>
          <w:lang w:val="en-US"/>
        </w:rPr>
        <w:t xml:space="preserve">state of the art </w:t>
      </w:r>
      <w:ins w:id="73" w:author="rudi" w:date="2014-12-21T01:37:00Z">
        <w:r w:rsidR="00351473">
          <w:rPr>
            <w:rFonts w:ascii="Lucida Sans" w:hAnsi="Lucida Sans"/>
            <w:sz w:val="19"/>
            <w:szCs w:val="19"/>
            <w:lang w:val="en-US"/>
          </w:rPr>
          <w:t xml:space="preserve">concepts </w:t>
        </w:r>
      </w:ins>
      <w:r>
        <w:rPr>
          <w:rFonts w:ascii="Lucida Sans" w:hAnsi="Lucida Sans"/>
          <w:sz w:val="19"/>
          <w:szCs w:val="19"/>
          <w:lang w:val="en-US"/>
        </w:rPr>
        <w:t>suggests 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del w:id="74" w:author="rudi" w:date="2014-12-21T01:37:00Z">
        <w:r w:rsidR="005C4E90" w:rsidRPr="005C4E90" w:rsidDel="00351473">
          <w:rPr>
            <w:rFonts w:ascii="Lucida Sans" w:hAnsi="Lucida Sans"/>
            <w:sz w:val="19"/>
            <w:szCs w:val="19"/>
            <w:lang w:val="en-US"/>
          </w:rPr>
          <w:delText>ally</w:delText>
        </w:r>
      </w:del>
      <w:r w:rsidR="005C4E90">
        <w:rPr>
          <w:rFonts w:ascii="Lucida Sans" w:hAnsi="Lucida Sans"/>
          <w:sz w:val="19"/>
          <w:szCs w:val="19"/>
          <w:lang w:val="en-US"/>
        </w:rPr>
        <w:t xml:space="preserve"> view on economic well-being, a</w:t>
      </w:r>
      <w:r>
        <w:rPr>
          <w:rFonts w:ascii="Lucida Sans" w:hAnsi="Lucida Sans"/>
          <w:sz w:val="19"/>
          <w:szCs w:val="19"/>
          <w:lang w:val="en-US"/>
        </w:rPr>
        <w:t>ggregated tax statistics report</w:t>
      </w:r>
      <w:r w:rsidR="00D17A9E">
        <w:rPr>
          <w:rFonts w:ascii="Lucida Sans" w:hAnsi="Lucida Sans"/>
          <w:sz w:val="19"/>
          <w:szCs w:val="19"/>
          <w:lang w:val="en-US"/>
        </w:rPr>
        <w:t xml:space="preserve"> only</w:t>
      </w:r>
      <w:r>
        <w:rPr>
          <w:rFonts w:ascii="Lucida Sans" w:hAnsi="Lucida Sans"/>
          <w:sz w:val="19"/>
          <w:szCs w:val="19"/>
          <w:lang w:val="en-US"/>
        </w:rPr>
        <w:t xml:space="preserve"> on income or wealth and only poorly cover expenses.</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Pr>
          <w:rFonts w:ascii="Lucida Sans" w:hAnsi="Lucida Sans"/>
          <w:sz w:val="19"/>
          <w:szCs w:val="19"/>
          <w:lang w:val="en-US"/>
        </w:rPr>
        <w:t xml:space="preserve"> </w:t>
      </w:r>
      <w:r w:rsidR="00806DA3">
        <w:rPr>
          <w:rFonts w:ascii="Lucida Sans" w:hAnsi="Lucida Sans"/>
          <w:sz w:val="19"/>
          <w:szCs w:val="19"/>
          <w:lang w:val="en-US"/>
        </w:rPr>
        <w:t>Additionally</w:t>
      </w:r>
      <w:ins w:id="75" w:author="rudi" w:date="2014-12-21T01:39:00Z">
        <w:r w:rsidR="00351473">
          <w:rPr>
            <w:rFonts w:ascii="Lucida Sans" w:hAnsi="Lucida Sans"/>
            <w:sz w:val="19"/>
            <w:szCs w:val="19"/>
            <w:lang w:val="en-US"/>
          </w:rPr>
          <w:t>,</w:t>
        </w:r>
      </w:ins>
      <w:r w:rsidR="00806DA3">
        <w:rPr>
          <w:rFonts w:ascii="Lucida Sans" w:hAnsi="Lucida Sans"/>
          <w:sz w:val="19"/>
          <w:szCs w:val="19"/>
          <w:lang w:val="en-US"/>
        </w:rPr>
        <w:t xml:space="preserve"> central definitions of economic resources are data-driven. </w:t>
      </w:r>
      <w:r w:rsidR="005C4E90">
        <w:rPr>
          <w:rFonts w:ascii="Lucida Sans" w:hAnsi="Lucida Sans"/>
          <w:sz w:val="19"/>
          <w:szCs w:val="19"/>
          <w:lang w:val="en-US"/>
        </w:rPr>
        <w:t>Concerning 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2C5517">
        <w:rPr>
          <w:rFonts w:ascii="Lucida Sans" w:hAnsi="Lucida Sans"/>
          <w:sz w:val="19"/>
          <w:szCs w:val="19"/>
          <w:lang w:val="en-US"/>
        </w:rPr>
        <w:t xml:space="preserve">, rather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del w:id="76" w:author="rudi" w:date="2014-12-21T01:40:00Z">
        <w:r w:rsidR="002C5517" w:rsidDel="00351473">
          <w:rPr>
            <w:rFonts w:ascii="Lucida Sans" w:hAnsi="Lucida Sans"/>
            <w:sz w:val="19"/>
            <w:szCs w:val="19"/>
            <w:lang w:val="en-US"/>
          </w:rPr>
          <w:delText>that have</w:delText>
        </w:r>
      </w:del>
      <w:ins w:id="77" w:author="rudi" w:date="2014-12-21T01:40:00Z">
        <w:r w:rsidR="00351473">
          <w:rPr>
            <w:rFonts w:ascii="Lucida Sans" w:hAnsi="Lucida Sans"/>
            <w:sz w:val="19"/>
            <w:szCs w:val="19"/>
            <w:lang w:val="en-US"/>
          </w:rPr>
          <w:t>which has</w:t>
        </w:r>
      </w:ins>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Yet aggregated t</w:t>
      </w:r>
      <w:r w:rsidR="00D17A9E">
        <w:rPr>
          <w:rFonts w:ascii="Lucida Sans" w:hAnsi="Lucida Sans"/>
          <w:sz w:val="19"/>
          <w:szCs w:val="19"/>
          <w:lang w:val="en-US"/>
        </w:rPr>
        <w:t>ax data has also major benefits</w:t>
      </w:r>
      <w:r w:rsidR="00B21B86">
        <w:rPr>
          <w:rFonts w:ascii="Lucida Sans" w:hAnsi="Lucida Sans"/>
          <w:sz w:val="19"/>
          <w:szCs w:val="19"/>
          <w:lang w:val="en-US"/>
        </w:rPr>
        <w:t xml:space="preserve">. First, compared to more common data sources like surveys, tax data </w:t>
      </w:r>
      <w:r w:rsidR="007A5603">
        <w:rPr>
          <w:rFonts w:ascii="Lucida Sans" w:hAnsi="Lucida Sans"/>
          <w:sz w:val="19"/>
          <w:szCs w:val="19"/>
          <w:lang w:val="en-US"/>
        </w:rPr>
        <w:t>should be</w:t>
      </w:r>
      <w:r w:rsidR="00B21B86">
        <w:rPr>
          <w:rFonts w:ascii="Lucida Sans" w:hAnsi="Lucida Sans"/>
          <w:sz w:val="19"/>
          <w:szCs w:val="19"/>
          <w:lang w:val="en-US"/>
        </w:rPr>
        <w:t xml:space="preserve"> </w:t>
      </w:r>
      <w:r w:rsidR="00D17A9E">
        <w:rPr>
          <w:rFonts w:ascii="Lucida Sans" w:hAnsi="Lucida Sans"/>
          <w:sz w:val="19"/>
          <w:szCs w:val="19"/>
          <w:lang w:val="en-US"/>
        </w:rPr>
        <w:t xml:space="preserve">less </w:t>
      </w:r>
      <w:r w:rsidR="00B21B86">
        <w:rPr>
          <w:rFonts w:ascii="Lucida Sans" w:hAnsi="Lucida Sans"/>
          <w:sz w:val="19"/>
          <w:szCs w:val="19"/>
          <w:lang w:val="en-US"/>
        </w:rPr>
        <w:t>confronted</w:t>
      </w:r>
      <w:r w:rsidR="005C4E90">
        <w:rPr>
          <w:rFonts w:ascii="Lucida Sans" w:hAnsi="Lucida Sans"/>
          <w:sz w:val="19"/>
          <w:szCs w:val="19"/>
          <w:lang w:val="en-US"/>
        </w:rPr>
        <w:t xml:space="preserve"> </w:t>
      </w:r>
      <w:r w:rsidR="00B21B86">
        <w:rPr>
          <w:rFonts w:ascii="Lucida Sans" w:hAnsi="Lucida Sans"/>
          <w:sz w:val="19"/>
          <w:szCs w:val="19"/>
          <w:lang w:val="en-US"/>
        </w:rPr>
        <w:t>with coverage problems stemming from</w:t>
      </w:r>
      <w:r w:rsidR="005C4E90">
        <w:rPr>
          <w:rFonts w:ascii="Lucida Sans" w:hAnsi="Lucida Sans"/>
          <w:sz w:val="19"/>
          <w:szCs w:val="19"/>
          <w:lang w:val="en-US"/>
        </w:rPr>
        <w:t xml:space="preserve"> non-response</w:t>
      </w:r>
      <w:r w:rsidR="00DE39E9">
        <w:rPr>
          <w:rFonts w:ascii="Lucida Sans" w:hAnsi="Lucida Sans"/>
          <w:sz w:val="19"/>
          <w:szCs w:val="19"/>
          <w:lang w:val="en-US"/>
        </w:rPr>
        <w:t xml:space="preserve">. </w:t>
      </w:r>
      <w:r w:rsidR="00B21B86">
        <w:rPr>
          <w:rFonts w:ascii="Lucida Sans" w:hAnsi="Lucida Sans"/>
          <w:sz w:val="19"/>
          <w:szCs w:val="19"/>
          <w:lang w:val="en-US"/>
        </w:rPr>
        <w:t xml:space="preserve">Second, aggregated tax data covers long time periods making it an </w:t>
      </w:r>
      <w:r w:rsidR="005C4E90" w:rsidRPr="005C4E90">
        <w:rPr>
          <w:rFonts w:ascii="Lucida Sans" w:hAnsi="Lucida Sans"/>
          <w:sz w:val="19"/>
          <w:szCs w:val="19"/>
          <w:lang w:val="en-US"/>
        </w:rPr>
        <w:t xml:space="preserve">indispensable </w:t>
      </w:r>
      <w:r w:rsidR="00B21B86">
        <w:rPr>
          <w:rFonts w:ascii="Lucida Sans" w:hAnsi="Lucida Sans"/>
          <w:sz w:val="19"/>
          <w:szCs w:val="19"/>
          <w:lang w:val="en-US"/>
        </w:rPr>
        <w:t>source</w:t>
      </w:r>
      <w:r w:rsidR="009B3063">
        <w:rPr>
          <w:rFonts w:ascii="Lucida Sans" w:hAnsi="Lucida Sans"/>
          <w:sz w:val="19"/>
          <w:szCs w:val="19"/>
          <w:lang w:val="en-US"/>
        </w:rPr>
        <w:t xml:space="preserve"> to study inequality trends.</w:t>
      </w:r>
    </w:p>
    <w:p w14:paraId="31C40EE8" w14:textId="1C899D4A"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del w:id="78" w:author="rudi" w:date="2014-12-21T01:44:00Z">
        <w:r w:rsidDel="0096162E">
          <w:rPr>
            <w:rFonts w:ascii="Lucida Sans" w:hAnsi="Lucida Sans"/>
            <w:sz w:val="19"/>
            <w:szCs w:val="19"/>
            <w:lang w:val="en-US"/>
          </w:rPr>
          <w:delText xml:space="preserve"> a</w:delText>
        </w:r>
      </w:del>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minor issues in regard to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ins w:id="79" w:author="rudi" w:date="2014-12-21T01:44:00Z">
        <w:r w:rsidR="0096162E">
          <w:rPr>
            <w:rFonts w:ascii="Lucida Sans" w:hAnsi="Lucida Sans"/>
            <w:sz w:val="19"/>
            <w:szCs w:val="19"/>
            <w:lang w:val="en-US"/>
          </w:rPr>
          <w:t>r</w:t>
        </w:r>
      </w:ins>
      <w:del w:id="80" w:author="rudi" w:date="2014-12-21T01:44:00Z">
        <w:r w:rsidR="00AB4D97" w:rsidDel="0096162E">
          <w:rPr>
            <w:rFonts w:ascii="Lucida Sans" w:hAnsi="Lucida Sans"/>
            <w:sz w:val="19"/>
            <w:szCs w:val="19"/>
            <w:lang w:val="en-US"/>
          </w:rPr>
          <w:delText>R</w:delText>
        </w:r>
      </w:del>
      <w:r w:rsidR="00AB4D97">
        <w:rPr>
          <w:rFonts w:ascii="Lucida Sans" w:hAnsi="Lucida Sans"/>
          <w:sz w:val="19"/>
          <w:szCs w:val="19"/>
          <w:lang w:val="en-US"/>
        </w:rPr>
        <w:t>ange of Gini coefficient</w:t>
      </w:r>
      <w:r w:rsidR="00182BEB">
        <w:rPr>
          <w:rFonts w:ascii="Lucida Sans" w:hAnsi="Lucida Sans"/>
          <w:sz w:val="19"/>
          <w:szCs w:val="19"/>
          <w:lang w:val="en-US"/>
        </w:rPr>
        <w:t xml:space="preserve"> within each performed test</w:t>
      </w:r>
      <w:r w:rsidR="00AB4D97">
        <w:rPr>
          <w:rFonts w:ascii="Lucida Sans" w:hAnsi="Lucida Sans"/>
          <w:sz w:val="19"/>
          <w:szCs w:val="19"/>
          <w:lang w:val="en-US"/>
        </w:rPr>
        <w:t xml:space="preserve">, we </w:t>
      </w:r>
      <w:r w:rsidR="00A06AD6">
        <w:rPr>
          <w:rFonts w:ascii="Lucida Sans" w:hAnsi="Lucida Sans"/>
          <w:sz w:val="19"/>
          <w:szCs w:val="19"/>
          <w:lang w:val="en-US"/>
        </w:rPr>
        <w:t>can build</w:t>
      </w:r>
      <w:r w:rsidR="00CE5BE4">
        <w:rPr>
          <w:rFonts w:ascii="Lucida Sans" w:hAnsi="Lucida Sans"/>
          <w:sz w:val="19"/>
          <w:szCs w:val="19"/>
          <w:lang w:val="en-US"/>
        </w:rPr>
        <w:t xml:space="preserve"> a ranking: </w:t>
      </w:r>
    </w:p>
    <w:p w14:paraId="157D3A05" w14:textId="229D66B4"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w:t>
      </w:r>
      <w:commentRangeStart w:id="81"/>
      <w:r w:rsidR="001D4982">
        <w:rPr>
          <w:rFonts w:ascii="Lucida Sans" w:hAnsi="Lucida Sans"/>
          <w:sz w:val="19"/>
          <w:szCs w:val="19"/>
          <w:lang w:val="en-US"/>
        </w:rPr>
        <w:t>0.1</w:t>
      </w:r>
      <w:ins w:id="82" w:author="rudi" w:date="2014-12-21T01:46:00Z">
        <w:r w:rsidR="0096162E">
          <w:rPr>
            <w:rFonts w:ascii="Lucida Sans" w:hAnsi="Lucida Sans"/>
            <w:sz w:val="19"/>
            <w:szCs w:val="19"/>
            <w:lang w:val="en-US"/>
          </w:rPr>
          <w:t>2</w:t>
        </w:r>
      </w:ins>
      <w:del w:id="83" w:author="rudi" w:date="2014-12-21T01:46:00Z">
        <w:r w:rsidR="001D4982" w:rsidDel="0096162E">
          <w:rPr>
            <w:rFonts w:ascii="Lucida Sans" w:hAnsi="Lucida Sans"/>
            <w:sz w:val="19"/>
            <w:szCs w:val="19"/>
            <w:lang w:val="en-US"/>
          </w:rPr>
          <w:delText>8</w:delText>
        </w:r>
      </w:del>
      <w:r>
        <w:rPr>
          <w:rFonts w:ascii="Lucida Sans" w:hAnsi="Lucida Sans"/>
          <w:sz w:val="19"/>
          <w:szCs w:val="19"/>
          <w:lang w:val="en-US"/>
        </w:rPr>
        <w:t>)</w:t>
      </w:r>
      <w:commentRangeEnd w:id="81"/>
      <w:r w:rsidR="0096162E">
        <w:rPr>
          <w:rStyle w:val="CommentReference"/>
          <w:rFonts w:ascii="Lucida Sans" w:eastAsia="Lucida Sans" w:hAnsi="Lucida Sans" w:cs="Times New Roman"/>
          <w:color w:val="auto"/>
          <w:lang w:val="de-CH" w:eastAsia="en-US" w:bidi="ar-SA"/>
        </w:rPr>
        <w:commentReference w:id="81"/>
      </w:r>
      <w:ins w:id="84" w:author="rudi" w:date="2014-12-22T14:51:00Z">
        <w:r w:rsidR="001B7282">
          <w:rPr>
            <w:rStyle w:val="FootnoteReference"/>
            <w:rFonts w:ascii="Lucida Sans" w:hAnsi="Lucida Sans"/>
            <w:sz w:val="19"/>
            <w:szCs w:val="19"/>
            <w:lang w:val="en-US"/>
          </w:rPr>
          <w:footnoteReference w:id="14"/>
        </w:r>
      </w:ins>
    </w:p>
    <w:p w14:paraId="71DA2383" w14:textId="10B16A24"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w:t>
      </w:r>
      <w:commentRangeStart w:id="90"/>
      <w:r>
        <w:rPr>
          <w:rFonts w:ascii="Lucida Sans" w:hAnsi="Lucida Sans"/>
          <w:sz w:val="19"/>
          <w:szCs w:val="19"/>
          <w:lang w:val="en-US"/>
        </w:rPr>
        <w:t>0.0</w:t>
      </w:r>
      <w:ins w:id="91" w:author="rudi" w:date="2014-12-21T01:48:00Z">
        <w:r w:rsidR="0096162E">
          <w:rPr>
            <w:rFonts w:ascii="Lucida Sans" w:hAnsi="Lucida Sans"/>
            <w:sz w:val="19"/>
            <w:szCs w:val="19"/>
            <w:lang w:val="en-US"/>
          </w:rPr>
          <w:t>7</w:t>
        </w:r>
      </w:ins>
      <w:del w:id="92" w:author="rudi" w:date="2014-12-21T01:48:00Z">
        <w:r w:rsidDel="0096162E">
          <w:rPr>
            <w:rFonts w:ascii="Lucida Sans" w:hAnsi="Lucida Sans"/>
            <w:sz w:val="19"/>
            <w:szCs w:val="19"/>
            <w:lang w:val="en-US"/>
          </w:rPr>
          <w:delText>8</w:delText>
        </w:r>
      </w:del>
      <w:r>
        <w:rPr>
          <w:rFonts w:ascii="Lucida Sans" w:hAnsi="Lucida Sans"/>
          <w:sz w:val="19"/>
          <w:szCs w:val="19"/>
          <w:lang w:val="en-US"/>
        </w:rPr>
        <w:t>)</w:t>
      </w:r>
      <w:commentRangeEnd w:id="90"/>
      <w:r w:rsidR="0096162E">
        <w:rPr>
          <w:rStyle w:val="CommentReference"/>
          <w:rFonts w:ascii="Lucida Sans" w:eastAsia="Lucida Sans" w:hAnsi="Lucida Sans" w:cs="Times New Roman"/>
          <w:color w:val="auto"/>
          <w:lang w:val="de-CH" w:eastAsia="en-US" w:bidi="ar-SA"/>
        </w:rPr>
        <w:commentReference w:id="90"/>
      </w:r>
    </w:p>
    <w:p w14:paraId="5AF14D74" w14:textId="054DBED0"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 xml:space="preserve">Tax units vs households </w:t>
      </w:r>
      <w:commentRangeStart w:id="93"/>
      <w:r>
        <w:rPr>
          <w:rFonts w:ascii="Lucida Sans" w:hAnsi="Lucida Sans"/>
          <w:sz w:val="19"/>
          <w:szCs w:val="19"/>
          <w:lang w:val="en-US"/>
        </w:rPr>
        <w:t>(0.0</w:t>
      </w:r>
      <w:ins w:id="94" w:author="rudi" w:date="2014-12-21T01:48:00Z">
        <w:r w:rsidR="0096162E">
          <w:rPr>
            <w:rFonts w:ascii="Lucida Sans" w:hAnsi="Lucida Sans"/>
            <w:sz w:val="19"/>
            <w:szCs w:val="19"/>
            <w:lang w:val="en-US"/>
          </w:rPr>
          <w:t>6</w:t>
        </w:r>
      </w:ins>
      <w:del w:id="95" w:author="rudi" w:date="2014-12-21T01:48:00Z">
        <w:r w:rsidDel="0096162E">
          <w:rPr>
            <w:rFonts w:ascii="Lucida Sans" w:hAnsi="Lucida Sans"/>
            <w:sz w:val="19"/>
            <w:szCs w:val="19"/>
            <w:lang w:val="en-US"/>
          </w:rPr>
          <w:delText>4</w:delText>
        </w:r>
      </w:del>
      <w:r>
        <w:rPr>
          <w:rFonts w:ascii="Lucida Sans" w:hAnsi="Lucida Sans"/>
          <w:sz w:val="19"/>
          <w:szCs w:val="19"/>
          <w:lang w:val="en-US"/>
        </w:rPr>
        <w:t>)</w:t>
      </w:r>
      <w:commentRangeEnd w:id="93"/>
      <w:r w:rsidR="0096162E">
        <w:rPr>
          <w:rStyle w:val="CommentReference"/>
          <w:rFonts w:ascii="Lucida Sans" w:eastAsia="Lucida Sans" w:hAnsi="Lucida Sans" w:cs="Times New Roman"/>
          <w:color w:val="auto"/>
          <w:lang w:val="de-CH" w:eastAsia="en-US" w:bidi="ar-SA"/>
        </w:rPr>
        <w:commentReference w:id="93"/>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 xml:space="preserve">Influence of special tax subjects </w:t>
      </w:r>
      <w:commentRangeStart w:id="96"/>
      <w:r>
        <w:rPr>
          <w:rFonts w:ascii="Lucida Sans" w:hAnsi="Lucida Sans"/>
          <w:sz w:val="19"/>
          <w:szCs w:val="19"/>
          <w:lang w:val="en-US"/>
        </w:rPr>
        <w:t>(0.02)</w:t>
      </w:r>
      <w:commentRangeEnd w:id="96"/>
      <w:r w:rsidR="0096162E">
        <w:rPr>
          <w:rStyle w:val="CommentReference"/>
          <w:rFonts w:ascii="Lucida Sans" w:eastAsia="Lucida Sans" w:hAnsi="Lucida Sans" w:cs="Times New Roman"/>
          <w:color w:val="auto"/>
          <w:lang w:val="de-CH" w:eastAsia="en-US" w:bidi="ar-SA"/>
        </w:rPr>
        <w:commentReference w:id="96"/>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46575C00" w:rsidR="00C60F23" w:rsidRPr="00C60F23" w:rsidRDefault="00A06AD6" w:rsidP="005350F7">
      <w:pPr>
        <w:pStyle w:val="Standard1"/>
        <w:rPr>
          <w:rFonts w:ascii="Lucida Sans" w:hAnsi="Lucida Sans"/>
          <w:sz w:val="19"/>
          <w:szCs w:val="19"/>
          <w:lang w:val="en-US"/>
        </w:rPr>
      </w:pPr>
      <w:r>
        <w:rPr>
          <w:rFonts w:ascii="Lucida Sans" w:hAnsi="Lucida Sans"/>
          <w:sz w:val="19"/>
          <w:szCs w:val="19"/>
          <w:lang w:val="en-US"/>
        </w:rPr>
        <w:t xml:space="preserve">Following this list, the issue of non-taxed is the most central problem when working with tax data. The results in the empirical section showed, that fiscal adjustments have an influence on the share of </w:t>
      </w:r>
      <w:r w:rsidR="00387B86">
        <w:rPr>
          <w:rFonts w:ascii="Lucida Sans" w:hAnsi="Lucida Sans"/>
          <w:sz w:val="19"/>
          <w:szCs w:val="19"/>
          <w:lang w:val="en-US"/>
        </w:rPr>
        <w:t>non-taxed and this again influ</w:t>
      </w:r>
      <w:r w:rsidR="00DE39E9">
        <w:rPr>
          <w:rFonts w:ascii="Lucida Sans" w:hAnsi="Lucida Sans"/>
          <w:sz w:val="19"/>
          <w:szCs w:val="19"/>
          <w:lang w:val="en-US"/>
        </w:rPr>
        <w:t xml:space="preserve">ences </w:t>
      </w:r>
      <w:r w:rsidR="00D13F34">
        <w:rPr>
          <w:rFonts w:ascii="Lucida Sans" w:hAnsi="Lucida Sans"/>
          <w:sz w:val="19"/>
          <w:szCs w:val="19"/>
          <w:lang w:val="en-US"/>
        </w:rPr>
        <w:t xml:space="preserve">the </w:t>
      </w:r>
      <w:r w:rsidR="00DE39E9">
        <w:rPr>
          <w:rFonts w:ascii="Lucida Sans" w:hAnsi="Lucida Sans"/>
          <w:sz w:val="19"/>
          <w:szCs w:val="19"/>
          <w:lang w:val="en-US"/>
        </w:rPr>
        <w:t>assessment of inequality. Furthermore, information on non-</w:t>
      </w:r>
      <w:r w:rsidR="00DE39E9">
        <w:rPr>
          <w:rFonts w:ascii="Lucida Sans" w:hAnsi="Lucida Sans"/>
          <w:sz w:val="19"/>
          <w:szCs w:val="19"/>
          <w:lang w:val="en-US"/>
        </w:rPr>
        <w:lastRenderedPageBreak/>
        <w:t xml:space="preserve">taxed is only available </w:t>
      </w:r>
      <w:ins w:id="97" w:author="rudi" w:date="2014-12-21T01:55:00Z">
        <w:r w:rsidR="007008D6">
          <w:rPr>
            <w:rFonts w:ascii="Lucida Sans" w:hAnsi="Lucida Sans"/>
            <w:sz w:val="19"/>
            <w:szCs w:val="19"/>
            <w:lang w:val="en-US"/>
          </w:rPr>
          <w:t>after</w:t>
        </w:r>
      </w:ins>
      <w:del w:id="98" w:author="rudi" w:date="2014-12-21T01:55:00Z">
        <w:r w:rsidR="00DE39E9" w:rsidDel="007008D6">
          <w:rPr>
            <w:rFonts w:ascii="Lucida Sans" w:hAnsi="Lucida Sans"/>
            <w:sz w:val="19"/>
            <w:szCs w:val="19"/>
            <w:lang w:val="en-US"/>
          </w:rPr>
          <w:delText>until</w:delText>
        </w:r>
      </w:del>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t>
      </w:r>
      <w:del w:id="99" w:author="rudi" w:date="2014-12-21T01:55:00Z">
        <w:r w:rsidR="00B36635" w:rsidDel="007008D6">
          <w:rPr>
            <w:rFonts w:ascii="Lucida Sans" w:hAnsi="Lucida Sans"/>
            <w:sz w:val="19"/>
            <w:szCs w:val="19"/>
            <w:lang w:val="en-US"/>
          </w:rPr>
          <w:delText xml:space="preserve">back only </w:delText>
        </w:r>
      </w:del>
      <w:r w:rsidR="00B36635">
        <w:rPr>
          <w:rFonts w:ascii="Lucida Sans" w:hAnsi="Lucida Sans"/>
          <w:sz w:val="19"/>
          <w:szCs w:val="19"/>
          <w:lang w:val="en-US"/>
        </w:rPr>
        <w:t xml:space="preserve">with </w:t>
      </w:r>
      <w:ins w:id="100" w:author="rudi" w:date="2014-12-21T01:55:00Z">
        <w:r w:rsidR="007008D6">
          <w:rPr>
            <w:rFonts w:ascii="Lucida Sans" w:hAnsi="Lucida Sans"/>
            <w:sz w:val="19"/>
            <w:szCs w:val="19"/>
            <w:lang w:val="en-US"/>
          </w:rPr>
          <w:t xml:space="preserve">only </w:t>
        </w:r>
      </w:ins>
      <w:r w:rsidR="00B36635">
        <w:rPr>
          <w:rFonts w:ascii="Lucida Sans" w:hAnsi="Lucida Sans"/>
          <w:sz w:val="19"/>
          <w:szCs w:val="19"/>
          <w:lang w:val="en-US"/>
        </w:rPr>
        <w:t xml:space="preserve">information on taxed. </w:t>
      </w:r>
      <w:commentRangeStart w:id="101"/>
      <w:r w:rsidR="00B36635">
        <w:rPr>
          <w:rFonts w:ascii="Lucida Sans" w:hAnsi="Lucida Sans"/>
          <w:sz w:val="19"/>
          <w:szCs w:val="19"/>
          <w:lang w:val="en-US"/>
        </w:rPr>
        <w:t>Here an adequate method is needed to correct the inequality measure in regard to this missing information.</w:t>
      </w:r>
      <w:commentRangeEnd w:id="101"/>
      <w:r w:rsidR="007008D6">
        <w:rPr>
          <w:rStyle w:val="CommentReference"/>
          <w:rFonts w:ascii="Lucida Sans" w:eastAsia="Lucida Sans" w:hAnsi="Lucida Sans" w:cs="Times New Roman"/>
          <w:color w:val="auto"/>
          <w:lang w:val="de-CH" w:eastAsia="en-US" w:bidi="ar-SA"/>
        </w:rPr>
        <w:commentReference w:id="101"/>
      </w:r>
      <w:r w:rsidR="00B36635">
        <w:rPr>
          <w:rFonts w:ascii="Lucida Sans" w:hAnsi="Lucida Sans"/>
          <w:sz w:val="19"/>
          <w:szCs w:val="19"/>
          <w:lang w:val="en-US"/>
        </w:rPr>
        <w:t xml:space="preserve"> 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del w:id="102" w:author="rudi" w:date="2014-12-21T01:57:00Z">
        <w:r w:rsidR="00B36635" w:rsidDel="007008D6">
          <w:rPr>
            <w:rFonts w:ascii="Lucida Sans" w:hAnsi="Lucida Sans"/>
            <w:sz w:val="19"/>
            <w:szCs w:val="19"/>
            <w:lang w:val="en-US"/>
          </w:rPr>
          <w:delText xml:space="preserve">from </w:delText>
        </w:r>
      </w:del>
      <w:ins w:id="103" w:author="rudi" w:date="2014-12-21T01:57:00Z">
        <w:r w:rsidR="007008D6">
          <w:rPr>
            <w:rFonts w:ascii="Lucida Sans" w:hAnsi="Lucida Sans"/>
            <w:sz w:val="19"/>
            <w:szCs w:val="19"/>
            <w:lang w:val="en-US"/>
          </w:rPr>
          <w:t xml:space="preserve">of </w:t>
        </w:r>
      </w:ins>
      <w:r w:rsidR="00B36635">
        <w:rPr>
          <w:rFonts w:ascii="Lucida Sans" w:hAnsi="Lucida Sans"/>
          <w:sz w:val="19"/>
          <w:szCs w:val="19"/>
          <w:lang w:val="en-US"/>
        </w:rPr>
        <w:t>tax and survey data differ substantially.</w:t>
      </w:r>
      <w:r w:rsidR="00C60F23">
        <w:rPr>
          <w:rFonts w:ascii="Lucida Sans" w:hAnsi="Lucida Sans"/>
          <w:sz w:val="19"/>
          <w:szCs w:val="19"/>
          <w:lang w:val="en-US"/>
        </w:rPr>
        <w:t xml:space="preserve"> This difference ste</w:t>
      </w:r>
      <w:del w:id="104" w:author="rudi" w:date="2014-12-21T01:57:00Z">
        <w:r w:rsidR="00C60F23" w:rsidDel="007008D6">
          <w:rPr>
            <w:rFonts w:ascii="Lucida Sans" w:hAnsi="Lucida Sans"/>
            <w:sz w:val="19"/>
            <w:szCs w:val="19"/>
            <w:lang w:val="en-US"/>
          </w:rPr>
          <w:delText>a</w:delText>
        </w:r>
      </w:del>
      <w:r w:rsidR="00C60F23">
        <w:rPr>
          <w:rFonts w:ascii="Lucida Sans" w:hAnsi="Lucida Sans"/>
          <w:sz w:val="19"/>
          <w:szCs w:val="19"/>
          <w:lang w:val="en-US"/>
        </w:rPr>
        <w:t>ms mainly from an 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C60F23">
        <w:rPr>
          <w:rFonts w:ascii="Lucida Sans" w:hAnsi="Lucida Sans"/>
          <w:sz w:val="19"/>
          <w:szCs w:val="19"/>
          <w:lang w:val="en-US"/>
        </w:rPr>
        <w:t xml:space="preserve"> as two single tax units. </w:t>
      </w:r>
      <w:r w:rsidR="00C60F23" w:rsidRPr="001D4982">
        <w:rPr>
          <w:rFonts w:ascii="Lucida Sans" w:hAnsi="Lucida Sans"/>
          <w:sz w:val="19"/>
          <w:szCs w:val="19"/>
          <w:lang w:val="en-US"/>
        </w:rPr>
        <w:t xml:space="preserve">This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biases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mind, that aggregated tax data do not give the possibility to</w:t>
      </w:r>
      <w:r w:rsidR="00182BEB">
        <w:rPr>
          <w:rFonts w:ascii="Lucida Sans" w:hAnsi="Lucida Sans"/>
          <w:sz w:val="19"/>
          <w:szCs w:val="19"/>
          <w:lang w:val="en-US"/>
        </w:rPr>
        <w:t xml:space="preserve"> construct disposable </w:t>
      </w:r>
      <w:proofErr w:type="gramStart"/>
      <w:r w:rsidR="00182BEB">
        <w:rPr>
          <w:rFonts w:ascii="Lucida Sans" w:hAnsi="Lucida Sans"/>
          <w:sz w:val="19"/>
          <w:szCs w:val="19"/>
          <w:lang w:val="en-US"/>
        </w:rPr>
        <w:t>incomes,</w:t>
      </w:r>
      <w:proofErr w:type="gramEnd"/>
      <w:r w:rsidR="00182BEB">
        <w:rPr>
          <w:rFonts w:ascii="Lucida Sans" w:hAnsi="Lucida Sans"/>
          <w:sz w:val="19"/>
          <w:szCs w:val="19"/>
          <w:lang w:val="en-US"/>
        </w:rPr>
        <w:t xml:space="preserve"> e</w:t>
      </w:r>
      <w:ins w:id="105" w:author="rudi" w:date="2014-12-21T01:59:00Z">
        <w:r w:rsidR="007008D6">
          <w:rPr>
            <w:rFonts w:ascii="Lucida Sans" w:hAnsi="Lucida Sans"/>
            <w:sz w:val="19"/>
            <w:szCs w:val="19"/>
            <w:lang w:val="en-US"/>
          </w:rPr>
          <w:t>s</w:t>
        </w:r>
      </w:ins>
      <w:r w:rsidR="00182BEB">
        <w:rPr>
          <w:rFonts w:ascii="Lucida Sans" w:hAnsi="Lucida Sans"/>
          <w:sz w:val="19"/>
          <w:szCs w:val="19"/>
          <w:lang w:val="en-US"/>
        </w:rPr>
        <w:t>p</w:t>
      </w:r>
      <w:ins w:id="106" w:author="rudi" w:date="2014-12-21T02:00:00Z">
        <w:r w:rsidR="007008D6">
          <w:rPr>
            <w:rFonts w:ascii="Lucida Sans" w:hAnsi="Lucida Sans"/>
            <w:sz w:val="19"/>
            <w:szCs w:val="19"/>
            <w:lang w:val="en-US"/>
          </w:rPr>
          <w:t>ec</w:t>
        </w:r>
      </w:ins>
      <w:r w:rsidR="00182BEB">
        <w:rPr>
          <w:rFonts w:ascii="Lucida Sans" w:hAnsi="Lucida Sans"/>
          <w:sz w:val="19"/>
          <w:szCs w:val="19"/>
          <w:lang w:val="en-US"/>
        </w:rPr>
        <w:t>i</w:t>
      </w:r>
      <w:del w:id="107" w:author="rudi" w:date="2014-12-21T02:00:00Z">
        <w:r w:rsidR="00182BEB" w:rsidDel="007008D6">
          <w:rPr>
            <w:rFonts w:ascii="Lucida Sans" w:hAnsi="Lucida Sans"/>
            <w:sz w:val="19"/>
            <w:szCs w:val="19"/>
            <w:lang w:val="en-US"/>
          </w:rPr>
          <w:delText>c</w:delText>
        </w:r>
      </w:del>
      <w:r w:rsidR="00182BEB">
        <w:rPr>
          <w:rFonts w:ascii="Lucida Sans" w:hAnsi="Lucida Sans"/>
          <w:sz w:val="19"/>
          <w:szCs w:val="19"/>
          <w:lang w:val="en-US"/>
        </w:rPr>
        <w:t xml:space="preserve">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redistributional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summarum to an overestimation of inequality based on taxable income. Compared to the other issues the influence of special tax subjects and the implementation of the equivalence concept tailored to tax data are rather minor issues.</w:t>
      </w:r>
    </w:p>
    <w:p w14:paraId="50A5E082" w14:textId="34773BF1" w:rsidR="007A5603" w:rsidRDefault="00182BEB" w:rsidP="005350F7">
      <w:pPr>
        <w:pStyle w:val="Standard1"/>
        <w:rPr>
          <w:rFonts w:ascii="Lucida Sans" w:hAnsi="Lucida Sans"/>
          <w:sz w:val="19"/>
          <w:szCs w:val="19"/>
          <w:lang w:val="en-US"/>
        </w:rPr>
      </w:pPr>
      <w:r>
        <w:rPr>
          <w:rFonts w:ascii="Lucida Sans" w:hAnsi="Lucida Sans"/>
          <w:sz w:val="19"/>
          <w:szCs w:val="19"/>
          <w:lang w:val="en-US"/>
        </w:rPr>
        <w:t xml:space="preserve">A special section in the conclusion is dedicated to measurement issues, because the </w:t>
      </w:r>
      <w:r w:rsidR="009C0F72">
        <w:rPr>
          <w:rFonts w:ascii="Lucida Sans" w:hAnsi="Lucida Sans"/>
          <w:sz w:val="19"/>
          <w:szCs w:val="19"/>
          <w:lang w:val="en-US"/>
        </w:rPr>
        <w:t xml:space="preserve">performed tests </w:t>
      </w:r>
      <w:r>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strongly tied </w:t>
      </w:r>
      <w:ins w:id="108" w:author="rudi" w:date="2014-12-21T02:02:00Z">
        <w:r w:rsidR="007008D6">
          <w:rPr>
            <w:rFonts w:ascii="Lucida Sans" w:hAnsi="Lucida Sans"/>
            <w:sz w:val="19"/>
            <w:szCs w:val="19"/>
            <w:lang w:val="en-US"/>
          </w:rPr>
          <w:t xml:space="preserve">to </w:t>
        </w:r>
      </w:ins>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ins w:id="109" w:author="rudi" w:date="2014-12-21T02:02:00Z">
        <w:r w:rsidR="007008D6">
          <w:rPr>
            <w:rFonts w:ascii="Lucida Sans" w:hAnsi="Lucida Sans"/>
            <w:sz w:val="19"/>
            <w:szCs w:val="19"/>
            <w:lang w:val="en-US"/>
          </w:rPr>
          <w:t>e</w:t>
        </w:r>
      </w:ins>
      <w:del w:id="110" w:author="rudi" w:date="2014-12-21T02:02:00Z">
        <w:r w:rsidR="009C0F72" w:rsidDel="007008D6">
          <w:rPr>
            <w:rFonts w:ascii="Lucida Sans" w:hAnsi="Lucida Sans"/>
            <w:sz w:val="19"/>
            <w:szCs w:val="19"/>
            <w:lang w:val="en-US"/>
          </w:rPr>
          <w:delText>i</w:delText>
        </w:r>
      </w:del>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9C0F72">
        <w:rPr>
          <w:rFonts w:ascii="Lucida Sans" w:hAnsi="Lucida Sans"/>
          <w:sz w:val="19"/>
          <w:szCs w:val="19"/>
          <w:lang w:val="en-US"/>
        </w:rPr>
        <w:t xml:space="preserve">are used. </w:t>
      </w:r>
      <w:r w:rsidR="005D678C">
        <w:rPr>
          <w:rFonts w:ascii="Lucida Sans" w:hAnsi="Lucida Sans"/>
          <w:sz w:val="19"/>
          <w:szCs w:val="19"/>
          <w:lang w:val="en-US"/>
        </w:rPr>
        <w:t xml:space="preserve"> </w:t>
      </w:r>
    </w:p>
    <w:p w14:paraId="0B2249C6" w14:textId="609B705C"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presented contradiction in regard to the current state of research concerning the income inequality trend in Switzerland?</w:t>
      </w:r>
      <w:r w:rsidR="00CE5BE4" w:rsidRPr="009C0F72">
        <w:rPr>
          <w:rFonts w:ascii="Lucida Sans" w:hAnsi="Lucida Sans"/>
          <w:sz w:val="19"/>
          <w:szCs w:val="19"/>
          <w:lang w:val="en-US"/>
        </w:rPr>
        <w:t xml:space="preserve"> Figure 5 displays </w:t>
      </w:r>
      <w:commentRangeStart w:id="111"/>
      <w:r w:rsidR="00CE5BE4" w:rsidRPr="009C0F72">
        <w:rPr>
          <w:rFonts w:ascii="Lucida Sans" w:hAnsi="Lucida Sans"/>
          <w:sz w:val="19"/>
          <w:szCs w:val="19"/>
          <w:lang w:val="en-US"/>
        </w:rPr>
        <w:t xml:space="preserve">the </w:t>
      </w:r>
      <w:r w:rsidR="00CE5BE4">
        <w:rPr>
          <w:rFonts w:ascii="Lucida Sans" w:hAnsi="Lucida Sans"/>
          <w:sz w:val="19"/>
          <w:szCs w:val="19"/>
          <w:lang w:val="en-US"/>
        </w:rPr>
        <w:t xml:space="preserve">longest </w:t>
      </w:r>
      <w:r w:rsidR="0075707F">
        <w:rPr>
          <w:rFonts w:ascii="Lucida Sans" w:hAnsi="Lucida Sans"/>
          <w:sz w:val="19"/>
          <w:szCs w:val="19"/>
          <w:lang w:val="en-US"/>
        </w:rPr>
        <w:t xml:space="preserve">possible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commentRangeEnd w:id="111"/>
      <w:r w:rsidR="007008D6">
        <w:rPr>
          <w:rStyle w:val="CommentReference"/>
          <w:rFonts w:ascii="Lucida Sans" w:eastAsia="Lucida Sans" w:hAnsi="Lucida Sans" w:cs="Times New Roman"/>
          <w:color w:val="auto"/>
          <w:lang w:val="de-CH" w:eastAsia="en-US" w:bidi="ar-SA"/>
        </w:rPr>
        <w:commentReference w:id="111"/>
      </w:r>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ins w:id="112" w:author="rudi" w:date="2014-12-21T02:04:00Z">
        <w:r w:rsidR="00506A38">
          <w:rPr>
            <w:rFonts w:ascii="Lucida Sans" w:hAnsi="Lucida Sans"/>
            <w:sz w:val="19"/>
            <w:szCs w:val="19"/>
            <w:lang w:val="en-US"/>
          </w:rPr>
          <w:t>n</w:t>
        </w:r>
      </w:ins>
      <w:del w:id="113" w:author="rudi" w:date="2014-12-21T02:04:00Z">
        <w:r w:rsidR="002A672D" w:rsidDel="00506A38">
          <w:rPr>
            <w:rFonts w:ascii="Lucida Sans" w:hAnsi="Lucida Sans"/>
            <w:sz w:val="19"/>
            <w:szCs w:val="19"/>
            <w:lang w:val="en-US"/>
          </w:rPr>
          <w:delText>ed</w:delText>
        </w:r>
      </w:del>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ins w:id="114" w:author="rudi" w:date="2014-12-21T02:05:00Z">
        <w:r w:rsidR="00506A38">
          <w:rPr>
            <w:rFonts w:ascii="Lucida Sans" w:hAnsi="Lucida Sans"/>
            <w:sz w:val="19"/>
            <w:szCs w:val="19"/>
            <w:lang w:val="en-US"/>
          </w:rPr>
          <w:t xml:space="preserve"> </w:t>
        </w:r>
      </w:ins>
      <w:del w:id="115" w:author="rudi" w:date="2014-12-21T02:05:00Z">
        <w:r w:rsidR="00CE5BE4" w:rsidRPr="009C0F72" w:rsidDel="00506A38">
          <w:rPr>
            <w:rFonts w:ascii="Lucida Sans" w:hAnsi="Lucida Sans"/>
            <w:sz w:val="19"/>
            <w:szCs w:val="19"/>
            <w:lang w:val="en-US"/>
          </w:rPr>
          <w:delText>-</w:delText>
        </w:r>
      </w:del>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ins w:id="116" w:author="rudi" w:date="2014-12-21T02:05:00Z">
        <w:r w:rsidR="00506A38">
          <w:rPr>
            <w:rFonts w:ascii="Lucida Sans" w:hAnsi="Lucida Sans"/>
            <w:sz w:val="19"/>
            <w:szCs w:val="19"/>
            <w:lang w:val="en-US"/>
          </w:rPr>
          <w:t>hen using</w:t>
        </w:r>
      </w:ins>
      <w:del w:id="117" w:author="rudi" w:date="2014-12-21T02:05:00Z">
        <w:r w:rsidR="00B978E7" w:rsidDel="00506A38">
          <w:rPr>
            <w:rFonts w:ascii="Lucida Sans" w:hAnsi="Lucida Sans"/>
            <w:sz w:val="19"/>
            <w:szCs w:val="19"/>
            <w:lang w:val="en-US"/>
          </w:rPr>
          <w:delText>ith</w:delText>
        </w:r>
      </w:del>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del w:id="118" w:author="rudi" w:date="2014-12-21T02:05:00Z">
        <w:r w:rsidDel="00506A38">
          <w:rPr>
            <w:rFonts w:ascii="Lucida Sans" w:hAnsi="Lucida Sans"/>
            <w:sz w:val="19"/>
            <w:szCs w:val="19"/>
            <w:lang w:val="en-US"/>
          </w:rPr>
          <w:delText xml:space="preserve">with </w:delText>
        </w:r>
      </w:del>
      <w:ins w:id="119" w:author="rudi" w:date="2014-12-21T02:05:00Z">
        <w:r w:rsidR="00506A38">
          <w:rPr>
            <w:rFonts w:ascii="Lucida Sans" w:hAnsi="Lucida Sans"/>
            <w:sz w:val="19"/>
            <w:szCs w:val="19"/>
            <w:lang w:val="en-US"/>
          </w:rPr>
          <w:t xml:space="preserve">when using </w:t>
        </w:r>
      </w:ins>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inequality trends? </w:t>
      </w:r>
    </w:p>
    <w:p w14:paraId="5DBDA9C1" w14:textId="36781675" w:rsidR="0075707F" w:rsidRPr="003A7EE5" w:rsidRDefault="0075707F" w:rsidP="0075707F">
      <w:pPr>
        <w:pStyle w:val="Caption"/>
        <w:rPr>
          <w:sz w:val="24"/>
          <w:szCs w:val="24"/>
          <w:lang w:val="en-US"/>
        </w:rPr>
      </w:pPr>
      <w:r>
        <w:rPr>
          <w:noProof/>
          <w:lang w:val="en-US"/>
        </w:rPr>
        <w:lastRenderedPageBreak/>
        <w:drawing>
          <wp:inline distT="0" distB="0" distL="0" distR="0" wp14:anchorId="5026415B" wp14:editId="66A61DA4">
            <wp:extent cx="6011545" cy="3381494"/>
            <wp:effectExtent l="0" t="0" r="825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5">
                      <a:extLst>
                        <a:ext uri="{28A0092B-C50C-407E-A947-70E740481C1C}">
                          <a14:useLocalDpi xmlns:a14="http://schemas.microsoft.com/office/drawing/2010/main" val="0"/>
                        </a:ext>
                      </a:extLst>
                    </a:blip>
                    <a:stretch>
                      <a:fillRect/>
                    </a:stretch>
                  </pic:blipFill>
                  <pic:spPr>
                    <a:xfrm>
                      <a:off x="0" y="0"/>
                      <a:ext cx="6011545" cy="3381494"/>
                    </a:xfrm>
                    <a:prstGeom prst="rect">
                      <a:avLst/>
                    </a:prstGeom>
                  </pic:spPr>
                </pic:pic>
              </a:graphicData>
            </a:graphic>
          </wp:inline>
        </w:drawing>
      </w:r>
      <w:r>
        <w:rPr>
          <w:sz w:val="24"/>
          <w:szCs w:val="24"/>
          <w:lang w:val="en-US"/>
        </w:rPr>
        <w:t>Figure</w:t>
      </w:r>
      <w:r w:rsidRPr="00525346">
        <w:rPr>
          <w:sz w:val="24"/>
          <w:szCs w:val="24"/>
          <w:lang w:val="en-US"/>
        </w:rPr>
        <w:t xml:space="preserve"> </w:t>
      </w:r>
      <w:r>
        <w:rPr>
          <w:sz w:val="24"/>
          <w:szCs w:val="24"/>
          <w:lang w:val="en-US"/>
        </w:rPr>
        <w:t>5: Income inequality trends in Switzerland</w:t>
      </w:r>
      <w:r w:rsidR="001B176D">
        <w:rPr>
          <w:sz w:val="24"/>
          <w:szCs w:val="24"/>
          <w:lang w:val="en-US"/>
        </w:rPr>
        <w:t>: Tax Data vs Surveys</w:t>
      </w:r>
      <w:r>
        <w:rPr>
          <w:sz w:val="24"/>
          <w:szCs w:val="24"/>
          <w:lang w:val="en-US"/>
        </w:rPr>
        <w:br/>
      </w:r>
      <w:r w:rsidRPr="007A5603">
        <w:rPr>
          <w:i/>
          <w:lang w:val="en-US"/>
        </w:rPr>
        <w:t xml:space="preserve">Source: </w:t>
      </w:r>
      <w:r>
        <w:rPr>
          <w:i/>
          <w:lang w:val="en-US"/>
        </w:rPr>
        <w:t xml:space="preserve">Aggregated Tax Statistics Federal Tax Administration (FTA), </w:t>
      </w:r>
      <w:r w:rsidRPr="007A5603">
        <w:rPr>
          <w:i/>
          <w:lang w:val="en-US"/>
        </w:rPr>
        <w:t>Luxembourg Income Study (LIS), Household Budget Survey (HBS), European Union Statistics on Income a</w:t>
      </w:r>
      <w:r>
        <w:rPr>
          <w:i/>
          <w:lang w:val="en-US"/>
        </w:rPr>
        <w:t>nd Living Conditions (EU.SILC)</w:t>
      </w:r>
    </w:p>
    <w:p w14:paraId="42A5BF57" w14:textId="31AF7263"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2A672D">
        <w:rPr>
          <w:rFonts w:ascii="Lucida Sans" w:hAnsi="Lucida Sans"/>
          <w:sz w:val="19"/>
          <w:szCs w:val="19"/>
          <w:lang w:val="en-US"/>
        </w:rPr>
        <w:t xml:space="preserve">Following the estimations of the share of taxed (Dell et al.; 2007) it is somehow reasonable to start interpreting the series </w:t>
      </w:r>
      <w:r w:rsidR="00F72F58">
        <w:rPr>
          <w:rFonts w:ascii="Lucida Sans" w:hAnsi="Lucida Sans"/>
          <w:sz w:val="19"/>
          <w:szCs w:val="19"/>
          <w:lang w:val="en-US"/>
        </w:rPr>
        <w:t xml:space="preserve">not </w:t>
      </w:r>
      <w:del w:id="120" w:author="rudi" w:date="2014-12-21T02:07:00Z">
        <w:r w:rsidR="00F72F58" w:rsidDel="00506A38">
          <w:rPr>
            <w:rFonts w:ascii="Lucida Sans" w:hAnsi="Lucida Sans"/>
            <w:sz w:val="19"/>
            <w:szCs w:val="19"/>
            <w:lang w:val="en-US"/>
          </w:rPr>
          <w:delText>until</w:delText>
        </w:r>
        <w:r w:rsidR="002A672D" w:rsidDel="00506A38">
          <w:rPr>
            <w:rFonts w:ascii="Lucida Sans" w:hAnsi="Lucida Sans"/>
            <w:sz w:val="19"/>
            <w:szCs w:val="19"/>
            <w:lang w:val="en-US"/>
          </w:rPr>
          <w:delText xml:space="preserve"> </w:delText>
        </w:r>
      </w:del>
      <w:ins w:id="121" w:author="rudi" w:date="2014-12-21T02:07:00Z">
        <w:r w:rsidR="00506A38">
          <w:rPr>
            <w:rFonts w:ascii="Lucida Sans" w:hAnsi="Lucida Sans"/>
            <w:sz w:val="19"/>
            <w:szCs w:val="19"/>
            <w:lang w:val="en-US"/>
          </w:rPr>
          <w:t xml:space="preserve">before </w:t>
        </w:r>
      </w:ins>
      <w:r w:rsidR="002A672D">
        <w:rPr>
          <w:rFonts w:ascii="Lucida Sans" w:hAnsi="Lucida Sans"/>
          <w:sz w:val="19"/>
          <w:szCs w:val="19"/>
          <w:lang w:val="en-US"/>
        </w:rPr>
        <w:t>1973</w:t>
      </w:r>
      <w:del w:id="122" w:author="rudi" w:date="2014-12-21T02:07:00Z">
        <w:r w:rsidR="002A672D" w:rsidDel="00506A38">
          <w:rPr>
            <w:rFonts w:ascii="Lucida Sans" w:hAnsi="Lucida Sans"/>
            <w:sz w:val="19"/>
            <w:szCs w:val="19"/>
            <w:lang w:val="en-US"/>
          </w:rPr>
          <w:delText xml:space="preserve"> on</w:delText>
        </w:r>
      </w:del>
      <w:r w:rsidR="002A672D">
        <w:rPr>
          <w:rFonts w:ascii="Lucida Sans" w:hAnsi="Lucida Sans"/>
          <w:sz w:val="19"/>
          <w:szCs w:val="19"/>
          <w:lang w:val="en-US"/>
        </w:rPr>
        <w:t>.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ins w:id="123" w:author="rudi" w:date="2014-12-21T02:07:00Z">
        <w:r w:rsidR="00506A38">
          <w:rPr>
            <w:rFonts w:ascii="Lucida Sans" w:hAnsi="Lucida Sans"/>
            <w:sz w:val="19"/>
            <w:szCs w:val="19"/>
            <w:lang w:val="en-US"/>
          </w:rPr>
          <w:t>75%</w:t>
        </w:r>
      </w:ins>
      <w:del w:id="124" w:author="rudi" w:date="2014-12-21T02:07:00Z">
        <w:r w:rsidR="002A672D" w:rsidDel="00506A38">
          <w:rPr>
            <w:rFonts w:ascii="Lucida Sans" w:hAnsi="Lucida Sans"/>
            <w:sz w:val="19"/>
            <w:szCs w:val="19"/>
            <w:lang w:val="en-US"/>
          </w:rPr>
          <w:delText>¾</w:delText>
        </w:r>
      </w:del>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ins w:id="125" w:author="rudi" w:date="2014-12-21T02:08:00Z">
        <w:r w:rsidR="00506A38">
          <w:rPr>
            <w:rFonts w:ascii="Lucida Sans" w:hAnsi="Lucida Sans"/>
            <w:sz w:val="19"/>
            <w:szCs w:val="19"/>
            <w:lang w:val="en-US"/>
          </w:rPr>
          <w:t>ose</w:t>
        </w:r>
      </w:ins>
      <w:del w:id="126" w:author="rudi" w:date="2014-12-21T02:08:00Z">
        <w:r w:rsidR="00912FE0" w:rsidDel="00506A38">
          <w:rPr>
            <w:rFonts w:ascii="Lucida Sans" w:hAnsi="Lucida Sans"/>
            <w:sz w:val="19"/>
            <w:szCs w:val="19"/>
            <w:lang w:val="en-US"/>
          </w:rPr>
          <w:delText>at</w:delText>
        </w:r>
      </w:del>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del w:id="127" w:author="rudi" w:date="2014-12-21T02:08:00Z">
        <w:r w:rsidR="00CE5BE4" w:rsidRPr="009C0F72" w:rsidDel="00506A38">
          <w:rPr>
            <w:rFonts w:ascii="Lucida Sans" w:hAnsi="Lucida Sans"/>
            <w:sz w:val="19"/>
            <w:szCs w:val="19"/>
            <w:lang w:val="en-US"/>
          </w:rPr>
          <w:delText xml:space="preserve">the </w:delText>
        </w:r>
      </w:del>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del w:id="128" w:author="rudi" w:date="2014-12-21T02:08:00Z">
        <w:r w:rsidR="00725A05" w:rsidDel="00506A38">
          <w:rPr>
            <w:rFonts w:ascii="Lucida Sans" w:hAnsi="Lucida Sans"/>
            <w:sz w:val="19"/>
            <w:szCs w:val="19"/>
            <w:lang w:val="en-US"/>
          </w:rPr>
          <w:delText xml:space="preserve">at least </w:delText>
        </w:r>
      </w:del>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del w:id="129" w:author="rudi" w:date="2014-12-21T02:08:00Z">
        <w:r w:rsidR="00F72F58" w:rsidDel="00506A38">
          <w:rPr>
            <w:rFonts w:ascii="Lucida Sans" w:hAnsi="Lucida Sans"/>
            <w:sz w:val="19"/>
            <w:szCs w:val="19"/>
            <w:lang w:val="en-US"/>
          </w:rPr>
          <w:delText>An</w:delText>
        </w:r>
        <w:r w:rsidR="00CE5BE4" w:rsidRPr="009C0F72" w:rsidDel="00506A38">
          <w:rPr>
            <w:rFonts w:ascii="Lucida Sans" w:hAnsi="Lucida Sans"/>
            <w:sz w:val="19"/>
            <w:szCs w:val="19"/>
            <w:lang w:val="en-US"/>
          </w:rPr>
          <w:delText xml:space="preserve"> </w:delText>
        </w:r>
      </w:del>
      <w:ins w:id="130" w:author="rudi" w:date="2014-12-21T02:08:00Z">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ins>
      <w:r w:rsidR="00CE5BE4" w:rsidRPr="009C0F72">
        <w:rPr>
          <w:rFonts w:ascii="Lucida Sans" w:hAnsi="Lucida Sans"/>
          <w:sz w:val="19"/>
          <w:szCs w:val="19"/>
          <w:lang w:val="en-US"/>
        </w:rPr>
        <w:t>interpretation is that high income percentiles overproportionally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w:t>
      </w:r>
      <w:del w:id="131" w:author="rudi" w:date="2014-12-21T02:09:00Z">
        <w:r w:rsidR="00725A05" w:rsidDel="00506A38">
          <w:rPr>
            <w:rFonts w:ascii="Lucida Sans" w:hAnsi="Lucida Sans"/>
            <w:sz w:val="19"/>
            <w:szCs w:val="19"/>
            <w:lang w:val="en-US"/>
          </w:rPr>
          <w:delText xml:space="preserve"> the</w:delText>
        </w:r>
      </w:del>
      <w:r w:rsidR="00725A05">
        <w:rPr>
          <w:rFonts w:ascii="Lucida Sans" w:hAnsi="Lucida Sans"/>
          <w:sz w:val="19"/>
          <w:szCs w:val="19"/>
          <w:lang w:val="en-US"/>
        </w:rPr>
        <w:t xml:space="preserve"> survey data suggest</w:t>
      </w:r>
      <w:del w:id="132" w:author="rudi" w:date="2014-12-21T02:09:00Z">
        <w:r w:rsidR="00725A05" w:rsidDel="00506A38">
          <w:rPr>
            <w:rFonts w:ascii="Lucida Sans" w:hAnsi="Lucida Sans"/>
            <w:sz w:val="19"/>
            <w:szCs w:val="19"/>
            <w:lang w:val="en-US"/>
          </w:rPr>
          <w:delText>s</w:delText>
        </w:r>
      </w:del>
      <w:r w:rsidR="00725A05">
        <w:rPr>
          <w:rFonts w:ascii="Lucida Sans" w:hAnsi="Lucida Sans"/>
          <w:sz w:val="19"/>
          <w:szCs w:val="19"/>
          <w:lang w:val="en-US"/>
        </w:rPr>
        <w:t xml:space="preserve">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 xml:space="preserve">t seems </w:t>
      </w:r>
      <w:commentRangeStart w:id="133"/>
      <w:del w:id="134" w:author="rudi" w:date="2014-12-21T02:15:00Z">
        <w:r w:rsidR="004F32F8" w:rsidDel="00100231">
          <w:rPr>
            <w:rFonts w:ascii="Lucida Sans" w:hAnsi="Lucida Sans"/>
            <w:sz w:val="19"/>
            <w:szCs w:val="19"/>
            <w:lang w:val="en-US"/>
          </w:rPr>
          <w:delText xml:space="preserve">feasible </w:delText>
        </w:r>
      </w:del>
      <w:ins w:id="135" w:author="rudi" w:date="2014-12-21T02:15:00Z">
        <w:r w:rsidR="00100231">
          <w:rPr>
            <w:rFonts w:ascii="Lucida Sans" w:hAnsi="Lucida Sans"/>
            <w:sz w:val="19"/>
            <w:szCs w:val="19"/>
            <w:lang w:val="en-US"/>
          </w:rPr>
          <w:t xml:space="preserve">plausible </w:t>
        </w:r>
      </w:ins>
      <w:commentRangeStart w:id="136"/>
      <w:r w:rsidR="004F32F8">
        <w:rPr>
          <w:rFonts w:ascii="Lucida Sans" w:hAnsi="Lucida Sans"/>
          <w:sz w:val="19"/>
          <w:szCs w:val="19"/>
          <w:lang w:val="en-US"/>
        </w:rPr>
        <w:t>that the recent trend is an increasing</w:t>
      </w:r>
      <w:ins w:id="137" w:author="rudi" w:date="2014-12-21T02:15:00Z">
        <w:r w:rsidR="00100231">
          <w:rPr>
            <w:rFonts w:ascii="Lucida Sans" w:hAnsi="Lucida Sans"/>
            <w:sz w:val="19"/>
            <w:szCs w:val="19"/>
            <w:lang w:val="en-US"/>
          </w:rPr>
          <w:t xml:space="preserve"> one</w:t>
        </w:r>
      </w:ins>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performed by Gornick and Jäntti (2013)</w:t>
      </w:r>
      <w:r w:rsidR="00912FE0">
        <w:rPr>
          <w:rFonts w:ascii="Lucida Sans" w:hAnsi="Lucida Sans"/>
          <w:sz w:val="19"/>
          <w:szCs w:val="19"/>
          <w:lang w:val="en-US"/>
        </w:rPr>
        <w:t xml:space="preserve"> suggested</w:t>
      </w:r>
      <w:r w:rsidR="004F32F8">
        <w:rPr>
          <w:rFonts w:ascii="Lucida Sans" w:hAnsi="Lucida Sans"/>
          <w:sz w:val="19"/>
          <w:szCs w:val="19"/>
          <w:lang w:val="en-US"/>
        </w:rPr>
        <w:t>.</w:t>
      </w:r>
      <w:commentRangeEnd w:id="136"/>
      <w:r w:rsidR="00100231">
        <w:rPr>
          <w:rStyle w:val="CommentReference"/>
          <w:rFonts w:ascii="Lucida Sans" w:eastAsia="Lucida Sans" w:hAnsi="Lucida Sans" w:cs="Times New Roman"/>
          <w:color w:val="auto"/>
          <w:lang w:val="de-CH" w:eastAsia="en-US" w:bidi="ar-SA"/>
        </w:rPr>
        <w:commentReference w:id="136"/>
      </w:r>
      <w:commentRangeEnd w:id="133"/>
      <w:r w:rsidR="00EF5092">
        <w:rPr>
          <w:rStyle w:val="CommentReference"/>
          <w:rFonts w:ascii="Lucida Sans" w:eastAsia="Lucida Sans" w:hAnsi="Lucida Sans" w:cs="Times New Roman"/>
          <w:color w:val="auto"/>
          <w:lang w:val="de-CH" w:eastAsia="en-US" w:bidi="ar-SA"/>
        </w:rPr>
        <w:commentReference w:id="133"/>
      </w:r>
    </w:p>
    <w:p w14:paraId="65A313E8" w14:textId="1582E45D" w:rsidR="0075707F" w:rsidRPr="009C0F72" w:rsidRDefault="004F32F8" w:rsidP="0075707F">
      <w:pPr>
        <w:pStyle w:val="Standard1"/>
        <w:rPr>
          <w:rFonts w:ascii="Lucida Sans" w:hAnsi="Lucida Sans"/>
          <w:sz w:val="19"/>
          <w:szCs w:val="19"/>
          <w:lang w:val="en-US"/>
        </w:rPr>
      </w:pPr>
      <w:commentRangeStart w:id="138"/>
      <w:r>
        <w:rPr>
          <w:rFonts w:ascii="Lucida Sans" w:hAnsi="Lucida Sans"/>
          <w:sz w:val="19"/>
          <w:szCs w:val="19"/>
          <w:lang w:val="en-US"/>
        </w:rPr>
        <w:t>To sum it up: tax data does deviate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 xml:space="preserve">Finally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t>
      </w:r>
      <w:commentRangeEnd w:id="138"/>
      <w:r w:rsidR="00100231">
        <w:rPr>
          <w:rStyle w:val="CommentReference"/>
          <w:rFonts w:ascii="Lucida Sans" w:eastAsia="Lucida Sans" w:hAnsi="Lucida Sans" w:cs="Times New Roman"/>
          <w:color w:val="auto"/>
          <w:lang w:val="de-CH" w:eastAsia="en-US" w:bidi="ar-SA"/>
        </w:rPr>
        <w:commentReference w:id="138"/>
      </w:r>
      <w:r w:rsidR="00912FE0">
        <w:rPr>
          <w:rFonts w:ascii="Lucida Sans" w:hAnsi="Lucida Sans"/>
          <w:sz w:val="19"/>
          <w:szCs w:val="19"/>
          <w:lang w:val="en-US"/>
        </w:rPr>
        <w:t>We recommend researchers to check t</w:t>
      </w:r>
      <w:ins w:id="139" w:author="rudi" w:date="2014-12-21T02:17:00Z">
        <w:r w:rsidR="00100231">
          <w:rPr>
            <w:rFonts w:ascii="Lucida Sans" w:hAnsi="Lucida Sans"/>
            <w:sz w:val="19"/>
            <w:szCs w:val="19"/>
            <w:lang w:val="en-US"/>
          </w:rPr>
          <w:t>he</w:t>
        </w:r>
      </w:ins>
      <w:del w:id="140" w:author="rudi" w:date="2014-12-21T02:17:00Z">
        <w:r w:rsidR="00912FE0" w:rsidDel="00100231">
          <w:rPr>
            <w:rFonts w:ascii="Lucida Sans" w:hAnsi="Lucida Sans"/>
            <w:sz w:val="19"/>
            <w:szCs w:val="19"/>
            <w:lang w:val="en-US"/>
          </w:rPr>
          <w:delText>o</w:delText>
        </w:r>
      </w:del>
      <w:r w:rsidR="00912FE0">
        <w:rPr>
          <w:rFonts w:ascii="Lucida Sans" w:hAnsi="Lucida Sans"/>
          <w:sz w:val="19"/>
          <w:szCs w:val="19"/>
          <w:lang w:val="en-US"/>
        </w:rPr>
        <w:t xml:space="preserve"> availability of such data in their country. </w:t>
      </w:r>
      <w:r w:rsidR="0075707F">
        <w:rPr>
          <w:rFonts w:ascii="Lucida Sans" w:hAnsi="Lucida Sans"/>
          <w:sz w:val="19"/>
          <w:szCs w:val="19"/>
          <w:lang w:val="en-US"/>
        </w:rPr>
        <w:t xml:space="preserve">The research project: </w:t>
      </w:r>
      <w:r w:rsidR="0075707F" w:rsidRPr="00806DA3">
        <w:rPr>
          <w:rFonts w:ascii="Lucida Sans" w:hAnsi="Lucida Sans"/>
          <w:i/>
          <w:sz w:val="19"/>
          <w:szCs w:val="19"/>
          <w:lang w:val="en-US"/>
        </w:rPr>
        <w:t xml:space="preserve">Inequality of incomes and wealth in </w:t>
      </w:r>
      <w:r w:rsidR="0075707F" w:rsidRPr="00806DA3">
        <w:rPr>
          <w:rFonts w:ascii="Lucida Sans" w:hAnsi="Lucida Sans"/>
          <w:i/>
          <w:sz w:val="19"/>
          <w:szCs w:val="19"/>
          <w:lang w:val="en-US"/>
        </w:rPr>
        <w:lastRenderedPageBreak/>
        <w:t>Switzerland</w:t>
      </w:r>
      <w:r w:rsidR="0075707F">
        <w:rPr>
          <w:rStyle w:val="FootnoteReference"/>
          <w:rFonts w:ascii="Lucida Sans" w:hAnsi="Lucida Sans"/>
          <w:i/>
          <w:sz w:val="19"/>
          <w:szCs w:val="19"/>
          <w:lang w:val="en-US"/>
        </w:rPr>
        <w:footnoteReference w:id="15"/>
      </w:r>
      <w:r w:rsidR="0075707F">
        <w:rPr>
          <w:rFonts w:ascii="Lucida Sans" w:hAnsi="Lucida Sans"/>
          <w:sz w:val="19"/>
          <w:szCs w:val="19"/>
          <w:lang w:val="en-US"/>
        </w:rPr>
        <w:t xml:space="preserve"> has the goal to collect such data from the levying authorities</w:t>
      </w:r>
      <w:r w:rsidR="00912FE0">
        <w:rPr>
          <w:rFonts w:ascii="Lucida Sans" w:hAnsi="Lucida Sans"/>
          <w:sz w:val="19"/>
          <w:szCs w:val="19"/>
          <w:lang w:val="en-US"/>
        </w:rPr>
        <w:t xml:space="preserve"> in Switzerland</w:t>
      </w:r>
      <w:ins w:id="141" w:author="rudi" w:date="2014-12-21T02:19:00Z">
        <w:r w:rsidR="00100231">
          <w:rPr>
            <w:rFonts w:ascii="Lucida Sans" w:hAnsi="Lucida Sans"/>
            <w:sz w:val="19"/>
            <w:szCs w:val="19"/>
            <w:lang w:val="en-US"/>
          </w:rPr>
          <w:t>:</w:t>
        </w:r>
      </w:ins>
      <w:del w:id="142" w:author="rudi" w:date="2014-12-21T02:19:00Z">
        <w:r w:rsidR="0075707F" w:rsidDel="00100231">
          <w:rPr>
            <w:rFonts w:ascii="Lucida Sans" w:hAnsi="Lucida Sans"/>
            <w:sz w:val="19"/>
            <w:szCs w:val="19"/>
            <w:lang w:val="en-US"/>
          </w:rPr>
          <w:delText xml:space="preserve">. </w:delText>
        </w:r>
        <w:r w:rsidR="00912FE0" w:rsidDel="00100231">
          <w:rPr>
            <w:rFonts w:ascii="Lucida Sans" w:hAnsi="Lucida Sans"/>
            <w:sz w:val="19"/>
            <w:szCs w:val="19"/>
            <w:lang w:val="en-US"/>
          </w:rPr>
          <w:delText>T</w:delText>
        </w:r>
        <w:r w:rsidR="0075707F" w:rsidDel="00100231">
          <w:rPr>
            <w:rFonts w:ascii="Lucida Sans" w:hAnsi="Lucida Sans"/>
            <w:sz w:val="19"/>
            <w:szCs w:val="19"/>
            <w:lang w:val="en-US"/>
          </w:rPr>
          <w:delText>hese are</w:delText>
        </w:r>
      </w:del>
      <w:r w:rsidR="0075707F">
        <w:rPr>
          <w:rFonts w:ascii="Lucida Sans" w:hAnsi="Lucida Sans"/>
          <w:sz w:val="19"/>
          <w:szCs w:val="19"/>
          <w:lang w:val="en-US"/>
        </w:rPr>
        <w:t xml:space="preserve"> the cantons. But budget </w:t>
      </w:r>
      <w:ins w:id="143" w:author="Hümbelin Oliver" w:date="2014-12-22T12:10:00Z">
        <w:r w:rsidR="00B40657">
          <w:rPr>
            <w:rFonts w:ascii="Lucida Sans" w:hAnsi="Lucida Sans"/>
            <w:sz w:val="19"/>
            <w:szCs w:val="19"/>
            <w:lang w:val="en-US"/>
          </w:rPr>
          <w:t xml:space="preserve">and technological </w:t>
        </w:r>
      </w:ins>
      <w:r w:rsidR="0075707F">
        <w:rPr>
          <w:rFonts w:ascii="Lucida Sans" w:hAnsi="Lucida Sans"/>
          <w:sz w:val="19"/>
          <w:szCs w:val="19"/>
          <w:lang w:val="en-US"/>
        </w:rPr>
        <w:t xml:space="preserve">restrictions </w:t>
      </w:r>
      <w:del w:id="144" w:author="Hümbelin Oliver" w:date="2014-12-22T12:10:00Z">
        <w:r w:rsidR="0075707F" w:rsidDel="00B40657">
          <w:rPr>
            <w:rFonts w:ascii="Lucida Sans" w:hAnsi="Lucida Sans"/>
            <w:sz w:val="19"/>
            <w:szCs w:val="19"/>
            <w:lang w:val="en-US"/>
          </w:rPr>
          <w:delText xml:space="preserve">and </w:delText>
        </w:r>
        <w:commentRangeStart w:id="145"/>
        <w:r w:rsidR="0075707F" w:rsidDel="00B40657">
          <w:rPr>
            <w:rFonts w:ascii="Lucida Sans" w:hAnsi="Lucida Sans"/>
            <w:sz w:val="19"/>
            <w:szCs w:val="19"/>
            <w:lang w:val="en-US"/>
          </w:rPr>
          <w:delText>technological development</w:delText>
        </w:r>
        <w:commentRangeEnd w:id="145"/>
        <w:r w:rsidR="00100231" w:rsidDel="00B40657">
          <w:rPr>
            <w:rStyle w:val="CommentReference"/>
            <w:rFonts w:ascii="Lucida Sans" w:eastAsia="Lucida Sans" w:hAnsi="Lucida Sans" w:cs="Times New Roman"/>
            <w:color w:val="auto"/>
            <w:lang w:val="de-CH" w:eastAsia="en-US" w:bidi="ar-SA"/>
          </w:rPr>
          <w:commentReference w:id="145"/>
        </w:r>
        <w:r w:rsidR="0075707F" w:rsidDel="00B40657">
          <w:rPr>
            <w:rFonts w:ascii="Lucida Sans" w:hAnsi="Lucida Sans"/>
            <w:sz w:val="19"/>
            <w:szCs w:val="19"/>
            <w:lang w:val="en-US"/>
          </w:rPr>
          <w:delText xml:space="preserve"> </w:delText>
        </w:r>
      </w:del>
      <w:r w:rsidR="0075707F">
        <w:rPr>
          <w:rFonts w:ascii="Lucida Sans" w:hAnsi="Lucida Sans"/>
          <w:sz w:val="19"/>
          <w:szCs w:val="19"/>
          <w:lang w:val="en-US"/>
        </w:rPr>
        <w:t>reduce the possibility to archive such data. Furthermore privacy regulations differ on the federal level and sometimes prohibit the use of micro tax data for scientific purpose completely. Hence, for Switzerland it is only possible to get information</w:t>
      </w:r>
      <w:del w:id="146" w:author="rudi" w:date="2014-12-21T02:20:00Z">
        <w:r w:rsidR="0075707F" w:rsidDel="00100231">
          <w:rPr>
            <w:rFonts w:ascii="Lucida Sans" w:hAnsi="Lucida Sans"/>
            <w:sz w:val="19"/>
            <w:szCs w:val="19"/>
            <w:lang w:val="en-US"/>
          </w:rPr>
          <w:delText>’s</w:delText>
        </w:r>
      </w:del>
      <w:r w:rsidR="0075707F">
        <w:rPr>
          <w:rFonts w:ascii="Lucida Sans" w:hAnsi="Lucida Sans"/>
          <w:sz w:val="19"/>
          <w:szCs w:val="19"/>
          <w:lang w:val="en-US"/>
        </w:rPr>
        <w:t xml:space="preserve"> starting </w:t>
      </w:r>
      <w:del w:id="147" w:author="rudi" w:date="2014-12-21T02:20:00Z">
        <w:r w:rsidR="0075707F" w:rsidDel="00100231">
          <w:rPr>
            <w:rFonts w:ascii="Lucida Sans" w:hAnsi="Lucida Sans"/>
            <w:sz w:val="19"/>
            <w:szCs w:val="19"/>
            <w:lang w:val="en-US"/>
          </w:rPr>
          <w:delText xml:space="preserve">from </w:delText>
        </w:r>
      </w:del>
      <w:ins w:id="148" w:author="rudi" w:date="2014-12-21T02:20:00Z">
        <w:r w:rsidR="00100231">
          <w:rPr>
            <w:rFonts w:ascii="Lucida Sans" w:hAnsi="Lucida Sans"/>
            <w:sz w:val="19"/>
            <w:szCs w:val="19"/>
            <w:lang w:val="en-US"/>
          </w:rPr>
          <w:t xml:space="preserve">in the </w:t>
        </w:r>
      </w:ins>
      <w:r w:rsidR="0075707F">
        <w:rPr>
          <w:rFonts w:ascii="Lucida Sans" w:hAnsi="Lucida Sans"/>
          <w:sz w:val="19"/>
          <w:szCs w:val="19"/>
          <w:lang w:val="en-US"/>
        </w:rPr>
        <w:t>1990i</w:t>
      </w:r>
      <w:ins w:id="149" w:author="rudi" w:date="2014-12-21T02:20:00Z">
        <w:r w:rsidR="00100231">
          <w:rPr>
            <w:rFonts w:ascii="Lucida Sans" w:hAnsi="Lucida Sans"/>
            <w:sz w:val="19"/>
            <w:szCs w:val="19"/>
            <w:lang w:val="en-US"/>
          </w:rPr>
          <w:t>e</w:t>
        </w:r>
      </w:ins>
      <w:r w:rsidR="0075707F">
        <w:rPr>
          <w:rFonts w:ascii="Lucida Sans" w:hAnsi="Lucida Sans"/>
          <w:sz w:val="19"/>
          <w:szCs w:val="19"/>
          <w:lang w:val="en-US"/>
        </w:rPr>
        <w:t xml:space="preserve">s and </w:t>
      </w:r>
      <w:r w:rsidR="00912FE0">
        <w:rPr>
          <w:rFonts w:ascii="Lucida Sans" w:hAnsi="Lucida Sans"/>
          <w:sz w:val="19"/>
          <w:szCs w:val="19"/>
          <w:lang w:val="en-US"/>
        </w:rPr>
        <w:t>not for</w:t>
      </w:r>
      <w:r w:rsidR="0075707F">
        <w:rPr>
          <w:rFonts w:ascii="Lucida Sans" w:hAnsi="Lucida Sans"/>
          <w:sz w:val="19"/>
          <w:szCs w:val="19"/>
          <w:lang w:val="en-US"/>
        </w:rPr>
        <w:t xml:space="preserve"> </w:t>
      </w:r>
      <w:r w:rsidR="00912FE0">
        <w:rPr>
          <w:rFonts w:ascii="Lucida Sans" w:hAnsi="Lucida Sans"/>
          <w:sz w:val="19"/>
          <w:szCs w:val="19"/>
          <w:lang w:val="en-US"/>
        </w:rPr>
        <w:t>every canton</w:t>
      </w:r>
      <w:r w:rsidR="0075707F">
        <w:rPr>
          <w:rFonts w:ascii="Lucida Sans" w:hAnsi="Lucida Sans"/>
          <w:sz w:val="19"/>
          <w:szCs w:val="19"/>
          <w:lang w:val="en-US"/>
        </w:rPr>
        <w:t xml:space="preserve">. The aggregated tax statistics from the FTA </w:t>
      </w:r>
      <w:r w:rsidR="00100231">
        <w:rPr>
          <w:rFonts w:ascii="Lucida Sans" w:hAnsi="Lucida Sans"/>
          <w:sz w:val="19"/>
          <w:szCs w:val="19"/>
          <w:lang w:val="en-US"/>
        </w:rPr>
        <w:t>are</w:t>
      </w:r>
      <w:del w:id="150" w:author="rudi" w:date="2014-12-21T02:21:00Z">
        <w:r w:rsidR="0075707F" w:rsidDel="00100231">
          <w:rPr>
            <w:rFonts w:ascii="Lucida Sans" w:hAnsi="Lucida Sans"/>
            <w:sz w:val="19"/>
            <w:szCs w:val="19"/>
            <w:lang w:val="en-US"/>
          </w:rPr>
          <w:delText>is</w:delText>
        </w:r>
      </w:del>
      <w:r w:rsidR="0075707F">
        <w:rPr>
          <w:rFonts w:ascii="Lucida Sans" w:hAnsi="Lucida Sans"/>
          <w:sz w:val="19"/>
          <w:szCs w:val="19"/>
          <w:lang w:val="en-US"/>
        </w:rPr>
        <w:t xml:space="preserve"> therefore the source with the longest </w:t>
      </w:r>
      <w:del w:id="151" w:author="rudi" w:date="2014-12-21T02:22:00Z">
        <w:r w:rsidR="0075707F" w:rsidDel="00100231">
          <w:rPr>
            <w:rFonts w:ascii="Lucida Sans" w:hAnsi="Lucida Sans"/>
            <w:sz w:val="19"/>
            <w:szCs w:val="19"/>
            <w:lang w:val="en-US"/>
          </w:rPr>
          <w:delText>reaching time coverage</w:delText>
        </w:r>
      </w:del>
      <w:ins w:id="152" w:author="rudi" w:date="2014-12-21T02:22:00Z">
        <w:r w:rsidR="00100231">
          <w:rPr>
            <w:rFonts w:ascii="Lucida Sans" w:hAnsi="Lucida Sans"/>
            <w:sz w:val="19"/>
            <w:szCs w:val="19"/>
            <w:lang w:val="en-US"/>
          </w:rPr>
          <w:t>record</w:t>
        </w:r>
      </w:ins>
      <w:r w:rsidR="0075707F">
        <w:rPr>
          <w:rFonts w:ascii="Lucida Sans" w:hAnsi="Lucida Sans"/>
          <w:sz w:val="19"/>
          <w:szCs w:val="19"/>
          <w:lang w:val="en-US"/>
        </w:rPr>
        <w:t xml:space="preserve"> on the national level</w:t>
      </w:r>
      <w:r w:rsidR="00912FE0">
        <w:rPr>
          <w:rFonts w:ascii="Lucida Sans" w:hAnsi="Lucida Sans"/>
          <w:sz w:val="19"/>
          <w:szCs w:val="19"/>
          <w:lang w:val="en-US"/>
        </w:rPr>
        <w:t xml:space="preserve"> for Switzerland</w:t>
      </w:r>
      <w:r w:rsidR="0075707F">
        <w:rPr>
          <w:rFonts w:ascii="Lucida Sans" w:hAnsi="Lucida Sans"/>
          <w:sz w:val="19"/>
          <w:szCs w:val="19"/>
          <w:lang w:val="en-US"/>
        </w:rPr>
        <w:t xml:space="preserve">.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153" w:name="_Toc406505805"/>
      <w:r w:rsidRPr="00511D21">
        <w:lastRenderedPageBreak/>
        <w:t>Literaturverzeichnis</w:t>
      </w:r>
      <w:bookmarkEnd w:id="153"/>
    </w:p>
    <w:p w14:paraId="4CA39DBA" w14:textId="5738BE60" w:rsidR="00B14648" w:rsidRPr="00325FDE" w:rsidRDefault="00B14648" w:rsidP="00325FDE">
      <w:pPr>
        <w:spacing w:line="240" w:lineRule="auto"/>
        <w:rPr>
          <w:rFonts w:eastAsia="Times New Roman"/>
          <w:bCs/>
          <w:sz w:val="28"/>
          <w:szCs w:val="28"/>
        </w:rPr>
      </w:pPr>
    </w:p>
    <w:sectPr w:rsidR="00B14648" w:rsidRPr="00325FDE"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Hümbelin Oliver" w:date="2015-01-09T14:24:00Z" w:initials="HO">
    <w:p w14:paraId="221DB2FF" w14:textId="149F831A" w:rsidR="008B734B" w:rsidRDefault="008B734B">
      <w:pPr>
        <w:pStyle w:val="CommentText"/>
      </w:pPr>
      <w:r>
        <w:rPr>
          <w:rStyle w:val="CommentReference"/>
        </w:rPr>
        <w:annotationRef/>
      </w:r>
      <w:r>
        <w:t>Generell: Es gibt keine Datenpunkte zwischen 1993.5 und 2003</w:t>
      </w:r>
    </w:p>
  </w:comment>
  <w:comment w:id="49" w:author="Hümbelin Oliver" w:date="2014-12-22T11:32:00Z" w:initials="HO">
    <w:p w14:paraId="1DB9744C" w14:textId="05DFCEA6" w:rsidR="008B734B" w:rsidRDefault="008B734B">
      <w:pPr>
        <w:pStyle w:val="CommentText"/>
      </w:pPr>
      <w:r>
        <w:rPr>
          <w:rStyle w:val="CommentReference"/>
        </w:rPr>
        <w:annotationRef/>
      </w:r>
      <w:r>
        <w:t>Mit Zahlen in der Conclusion vergleichen</w:t>
      </w:r>
    </w:p>
  </w:comment>
  <w:comment w:id="63" w:author="Hümbelin Oliver" w:date="2014-12-22T11:31:00Z" w:initials="HO">
    <w:p w14:paraId="38DECCD9" w14:textId="3A1C11BD" w:rsidR="008B734B" w:rsidRDefault="008B734B">
      <w:pPr>
        <w:pStyle w:val="CommentText"/>
      </w:pPr>
      <w:r>
        <w:rPr>
          <w:rStyle w:val="CommentReference"/>
        </w:rPr>
        <w:annotationRef/>
      </w:r>
      <w:r>
        <w:t>Mit Zahlen in der Conclusion vergleichen</w:t>
      </w:r>
    </w:p>
  </w:comment>
  <w:comment w:id="68" w:author="Hümbelin Oliver" w:date="2014-12-18T12:10:00Z" w:initials="HO">
    <w:p w14:paraId="0632E3C1" w14:textId="37B32A2C" w:rsidR="008B734B" w:rsidRDefault="008B734B">
      <w:pPr>
        <w:pStyle w:val="CommentText"/>
      </w:pPr>
      <w:r>
        <w:rPr>
          <w:rStyle w:val="CommentReference"/>
        </w:rPr>
        <w:annotationRef/>
      </w:r>
      <w:r>
        <w:t>In den Grafiken zeigen wir erst ab 2003…</w:t>
      </w:r>
    </w:p>
  </w:comment>
  <w:comment w:id="69" w:author="rudi" w:date="2014-12-21T01:28:00Z" w:initials="r">
    <w:p w14:paraId="12EB380B" w14:textId="7B20C956" w:rsidR="008B734B" w:rsidRDefault="008B734B">
      <w:pPr>
        <w:pStyle w:val="CommentText"/>
      </w:pPr>
      <w:r>
        <w:rPr>
          <w:rStyle w:val="CommentReference"/>
        </w:rPr>
        <w:annotationRef/>
      </w:r>
      <w:r>
        <w:rPr>
          <w:rStyle w:val="CommentReference"/>
        </w:rPr>
        <w:t>Ja die punkte in der grafik haben wir rausgekickt weil das gap sonst so prominent kommt. Der text verlangt es aber fast die wieder reinzumachen oder? Also man könnte auch den text ändern aber das „ab 1995 reported FTA“ zwingt uns  fast die grafik anzpassen, nicht den text, oder?</w:t>
      </w:r>
    </w:p>
  </w:comment>
  <w:comment w:id="81" w:author="rudi" w:date="2014-12-21T01:46:00Z" w:initials="r">
    <w:p w14:paraId="518FB221" w14:textId="77777777" w:rsidR="008B734B" w:rsidRDefault="008B734B">
      <w:pPr>
        <w:pStyle w:val="CommentText"/>
      </w:pPr>
      <w:r>
        <w:rPr>
          <w:rStyle w:val="CommentReference"/>
        </w:rPr>
        <w:annotationRef/>
      </w:r>
      <w:r>
        <w:t>Das ist jetzt steink vs steink_halb.</w:t>
      </w:r>
    </w:p>
    <w:p w14:paraId="21FA7C34" w14:textId="7BF3C313" w:rsidR="008B734B" w:rsidRDefault="008B734B">
      <w:pPr>
        <w:pStyle w:val="CommentText"/>
      </w:pPr>
    </w:p>
  </w:comment>
  <w:comment w:id="90" w:author="rudi" w:date="2014-12-21T01:48:00Z" w:initials="r">
    <w:p w14:paraId="0141ABDE" w14:textId="7D461983" w:rsidR="008B734B" w:rsidRDefault="008B734B">
      <w:pPr>
        <w:pStyle w:val="CommentText"/>
      </w:pPr>
      <w:r>
        <w:rPr>
          <w:rStyle w:val="CommentReference"/>
        </w:rPr>
        <w:annotationRef/>
      </w:r>
      <w:r>
        <w:t xml:space="preserve">Als war 0.061. kA wieso wir mal 0.08 hatten </w:t>
      </w:r>
      <w:r>
        <w:sym w:font="Wingdings" w:char="F04A"/>
      </w:r>
      <w:r>
        <w:t>, neu ist 0.069</w:t>
      </w:r>
    </w:p>
  </w:comment>
  <w:comment w:id="93" w:author="rudi" w:date="2014-12-21T01:49:00Z" w:initials="r">
    <w:p w14:paraId="129DEDBC" w14:textId="12DEA86A" w:rsidR="008B734B" w:rsidRDefault="008B734B">
      <w:pPr>
        <w:pStyle w:val="CommentText"/>
      </w:pPr>
      <w:r>
        <w:rPr>
          <w:rStyle w:val="CommentReference"/>
        </w:rPr>
        <w:annotationRef/>
      </w:r>
      <w:r>
        <w:t>0.059</w:t>
      </w:r>
    </w:p>
  </w:comment>
  <w:comment w:id="96" w:author="rudi" w:date="2014-12-21T01:51:00Z" w:initials="r">
    <w:p w14:paraId="02EF984B" w14:textId="6B0A00AA" w:rsidR="008B734B" w:rsidRDefault="008B734B">
      <w:pPr>
        <w:pStyle w:val="CommentText"/>
      </w:pPr>
      <w:r>
        <w:rPr>
          <w:rStyle w:val="CommentReference"/>
        </w:rPr>
        <w:annotationRef/>
      </w:r>
      <w:r>
        <w:t>Mit den Interpolierten daten haben wir 1993/94: 0.013, 2001 0.02. mit den originaldaten (nicht interpoliert) haben wir 0.042 für 2011 (93/94 nicht berechnet). Denke die 0.02 gehen klar</w:t>
      </w:r>
    </w:p>
  </w:comment>
  <w:comment w:id="101" w:author="rudi" w:date="2014-12-21T01:56:00Z" w:initials="r">
    <w:p w14:paraId="39FA8AB0" w14:textId="0CDC7A48" w:rsidR="008B734B" w:rsidRDefault="008B734B">
      <w:pPr>
        <w:pStyle w:val="CommentText"/>
      </w:pPr>
      <w:r>
        <w:rPr>
          <w:rStyle w:val="CommentReference"/>
        </w:rPr>
        <w:annotationRef/>
      </w:r>
      <w:r>
        <w:t>Den satz könnte man evtl streichen</w:t>
      </w:r>
    </w:p>
  </w:comment>
  <w:comment w:id="111" w:author="rudi" w:date="2014-12-21T02:03:00Z" w:initials="r">
    <w:p w14:paraId="5D4364AA" w14:textId="26DBEA7E" w:rsidR="008B734B" w:rsidRDefault="008B734B">
      <w:pPr>
        <w:pStyle w:val="CommentText"/>
      </w:pPr>
      <w:r>
        <w:rPr>
          <w:rStyle w:val="CommentReference"/>
        </w:rPr>
        <w:annotationRef/>
      </w:r>
      <w:r>
        <w:t>The longest „meaningful“. Sollen wir da nochmal erwähnen dass es ab 1918 gibt. Ben stolpert da evtl drüber.</w:t>
      </w:r>
    </w:p>
  </w:comment>
  <w:comment w:id="136" w:author="rudi" w:date="2014-12-21T02:23:00Z" w:initials="r">
    <w:p w14:paraId="58D8468B" w14:textId="40C8C5D1" w:rsidR="008B734B" w:rsidRDefault="008B734B">
      <w:pPr>
        <w:pStyle w:val="CommentText"/>
      </w:pPr>
      <w:r>
        <w:rPr>
          <w:rStyle w:val="CommentReference"/>
        </w:rPr>
        <w:annotationRef/>
      </w:r>
      <w:r>
        <w:t>Stark! BAM!</w:t>
      </w:r>
    </w:p>
  </w:comment>
  <w:comment w:id="133" w:author="Hümbelin Oliver" w:date="2014-12-22T11:34:00Z" w:initials="HO">
    <w:p w14:paraId="76076043" w14:textId="49D00C7C" w:rsidR="008B734B" w:rsidRDefault="008B734B">
      <w:pPr>
        <w:pStyle w:val="CommentText"/>
      </w:pPr>
      <w:r>
        <w:rPr>
          <w:rStyle w:val="CommentReference"/>
        </w:rPr>
        <w:annotationRef/>
      </w:r>
      <w:r>
        <w:t>Or redistribution</w:t>
      </w:r>
    </w:p>
  </w:comment>
  <w:comment w:id="138" w:author="rudi" w:date="2014-12-21T02:17:00Z" w:initials="r">
    <w:p w14:paraId="32C40114" w14:textId="71BEA56D" w:rsidR="008B734B" w:rsidRDefault="008B734B">
      <w:pPr>
        <w:pStyle w:val="CommentText"/>
      </w:pPr>
      <w:r>
        <w:rPr>
          <w:rStyle w:val="CommentReference"/>
        </w:rPr>
        <w:annotationRef/>
      </w:r>
      <w:r>
        <w:t xml:space="preserve">Brauchts den teil? Bzw der müsste m.E. irgendwie kompakter sein. </w:t>
      </w:r>
    </w:p>
  </w:comment>
  <w:comment w:id="145" w:author="rudi" w:date="2014-12-21T02:19:00Z" w:initials="r">
    <w:p w14:paraId="764E7688" w14:textId="46B9261B" w:rsidR="008B734B" w:rsidRDefault="008B734B">
      <w:pPr>
        <w:pStyle w:val="CommentText"/>
      </w:pPr>
      <w:r>
        <w:rPr>
          <w:rStyle w:val="CommentReference"/>
        </w:rPr>
        <w:annotationRef/>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9744C" w15:done="0"/>
  <w15:commentEx w15:paraId="38DECCD9" w15:done="0"/>
  <w15:commentEx w15:paraId="0632E3C1" w15:done="0"/>
  <w15:commentEx w15:paraId="12EB380B" w15:paraIdParent="0632E3C1" w15:done="0"/>
  <w15:commentEx w15:paraId="21FA7C34" w15:done="0"/>
  <w15:commentEx w15:paraId="0141ABDE" w15:done="0"/>
  <w15:commentEx w15:paraId="129DEDBC" w15:done="0"/>
  <w15:commentEx w15:paraId="02EF984B" w15:done="0"/>
  <w15:commentEx w15:paraId="39FA8AB0" w15:done="0"/>
  <w15:commentEx w15:paraId="5D4364AA" w15:done="0"/>
  <w15:commentEx w15:paraId="58D8468B" w15:done="0"/>
  <w15:commentEx w15:paraId="76076043" w15:done="0"/>
  <w15:commentEx w15:paraId="32C40114" w15:done="0"/>
  <w15:commentEx w15:paraId="764E76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40785" w14:textId="77777777" w:rsidR="0004114E" w:rsidRDefault="0004114E" w:rsidP="006312E0">
      <w:pPr>
        <w:spacing w:line="240" w:lineRule="auto"/>
      </w:pPr>
      <w:r>
        <w:separator/>
      </w:r>
    </w:p>
  </w:endnote>
  <w:endnote w:type="continuationSeparator" w:id="0">
    <w:p w14:paraId="585929E6" w14:textId="77777777" w:rsidR="0004114E" w:rsidRDefault="0004114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8B734B" w:rsidRPr="007407D3" w:rsidRDefault="008B734B"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8B734B" w:rsidRPr="003B1648" w:rsidRDefault="008B734B"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AF5313">
                            <w:rPr>
                              <w:noProof/>
                              <w:sz w:val="16"/>
                              <w:szCs w:val="16"/>
                            </w:rPr>
                            <w:t>1</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8B734B" w:rsidRPr="003B1648" w:rsidRDefault="008B734B"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AF5313">
                      <w:rPr>
                        <w:noProof/>
                        <w:sz w:val="16"/>
                        <w:szCs w:val="16"/>
                      </w:rPr>
                      <w:t>1</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A6F35" w14:textId="77777777" w:rsidR="0004114E" w:rsidRDefault="0004114E" w:rsidP="006312E0">
      <w:pPr>
        <w:spacing w:line="240" w:lineRule="auto"/>
      </w:pPr>
    </w:p>
  </w:footnote>
  <w:footnote w:type="continuationSeparator" w:id="0">
    <w:p w14:paraId="20D91D87" w14:textId="77777777" w:rsidR="0004114E" w:rsidRDefault="0004114E" w:rsidP="006312E0">
      <w:pPr>
        <w:spacing w:line="240" w:lineRule="auto"/>
      </w:pPr>
      <w:r>
        <w:continuationSeparator/>
      </w:r>
    </w:p>
  </w:footnote>
  <w:footnote w:id="1">
    <w:p w14:paraId="49571FB3" w14:textId="3487E576" w:rsidR="008B734B" w:rsidRPr="006A2614" w:rsidRDefault="008B734B">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8B734B" w:rsidRDefault="008B734B">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0B45F872" w14:textId="3B9500E6" w:rsidR="008B734B" w:rsidRDefault="008B734B">
      <w:pPr>
        <w:pStyle w:val="FootnoteText"/>
        <w:rPr>
          <w:lang w:val="en-US"/>
        </w:rPr>
      </w:pPr>
      <w:r w:rsidRPr="00763E00">
        <w:rPr>
          <w:lang w:val="en-US"/>
        </w:rPr>
        <w:t>(2)</w:t>
      </w:r>
      <w:r>
        <w:rPr>
          <w:lang w:val="en-US"/>
        </w:rPr>
        <w:t xml:space="preserve"> strong principle of transfers,</w:t>
      </w:r>
    </w:p>
    <w:p w14:paraId="6928CE79" w14:textId="5E5042EE" w:rsidR="008B734B" w:rsidRDefault="008B734B">
      <w:pPr>
        <w:pStyle w:val="FootnoteText"/>
        <w:rPr>
          <w:lang w:val="en-US"/>
        </w:rPr>
      </w:pPr>
      <w:r w:rsidRPr="00763E00">
        <w:rPr>
          <w:lang w:val="en-US"/>
        </w:rPr>
        <w:t xml:space="preserve">(3) scale invariance, </w:t>
      </w:r>
    </w:p>
    <w:p w14:paraId="423D4416" w14:textId="77777777" w:rsidR="008B734B" w:rsidRDefault="008B734B">
      <w:pPr>
        <w:pStyle w:val="FootnoteText"/>
        <w:rPr>
          <w:lang w:val="en-US"/>
        </w:rPr>
      </w:pPr>
      <w:r w:rsidRPr="00763E00">
        <w:rPr>
          <w:lang w:val="en-US"/>
        </w:rPr>
        <w:t xml:space="preserve">(4) the principle of population and </w:t>
      </w:r>
    </w:p>
    <w:p w14:paraId="4A0CADFD" w14:textId="4AE4787F" w:rsidR="008B734B" w:rsidRPr="00763E00" w:rsidRDefault="008B734B">
      <w:pPr>
        <w:pStyle w:val="FootnoteText"/>
        <w:rPr>
          <w:lang w:val="en-US"/>
        </w:rPr>
      </w:pPr>
      <w:r w:rsidRPr="00763E00">
        <w:rPr>
          <w:lang w:val="en-US"/>
        </w:rPr>
        <w:t>(5) Decomposability.</w:t>
      </w:r>
    </w:p>
  </w:footnote>
  <w:footnote w:id="3">
    <w:p w14:paraId="1B809DA9" w14:textId="1A305BA0" w:rsidR="008B734B" w:rsidRPr="00406373" w:rsidRDefault="008B734B">
      <w:pPr>
        <w:pStyle w:val="FootnoteText"/>
        <w:rPr>
          <w:lang w:val="en-US"/>
        </w:rPr>
      </w:pPr>
      <w:r>
        <w:rPr>
          <w:rStyle w:val="FootnoteReference"/>
        </w:rPr>
        <w:footnoteRef/>
      </w:r>
      <w:r w:rsidRPr="00406373">
        <w:rPr>
          <w:lang w:val="en-US"/>
        </w:rPr>
        <w:t xml:space="preserve"> </w:t>
      </w:r>
      <w:hyperlink r:id="rId1" w:history="1">
        <w:r w:rsidRPr="00406373">
          <w:rPr>
            <w:rStyle w:val="Hyperlink"/>
            <w:lang w:val="en-US"/>
          </w:rPr>
          <w:t>http://www.estv.admin.ch/dokumentation/00075/00076/00701/index.html</w:t>
        </w:r>
      </w:hyperlink>
    </w:p>
  </w:footnote>
  <w:footnote w:id="4">
    <w:p w14:paraId="302D27B3" w14:textId="151B3EDB" w:rsidR="008B734B" w:rsidRPr="006003AB" w:rsidRDefault="008B734B" w:rsidP="00FD406E">
      <w:pPr>
        <w:pStyle w:val="FootnoteText"/>
        <w:rPr>
          <w:lang w:val="en-US"/>
        </w:rPr>
      </w:pPr>
      <w:r>
        <w:rPr>
          <w:rStyle w:val="FootnoteReference"/>
        </w:rPr>
        <w:footnoteRef/>
      </w:r>
      <w:r w:rsidRPr="006003AB">
        <w:rPr>
          <w:lang w:val="en-US"/>
        </w:rPr>
        <w:t xml:space="preserve"> </w:t>
      </w:r>
      <w:r>
        <w:rPr>
          <w:lang w:val="en-US"/>
        </w:rPr>
        <w:t xml:space="preserve">We didn’t use tax data before 1945 albeit it is accessible until 1917 because data before 1945 comprises only a minority of potential tax units. According to estimations of Dell et al. (2007) the share of tax fillers before 1945 was below 50% and sometimes even below 15%. Then we have a gap in our data between 1993 and 2003, where the annual presence taxation (Praenumerando-System) was implemented. Before 1993 tax periods comprise two years, because taxes were levied with the Postnumerando-System (taxation based on income generated two years in the past).  Cantons implemented the change in different years, that’s why there is no exact data available for Switzerland in the transition period. </w:t>
      </w:r>
    </w:p>
  </w:footnote>
  <w:footnote w:id="5">
    <w:p w14:paraId="4F58C68F" w14:textId="77777777" w:rsidR="008B734B" w:rsidRPr="008C2F1A" w:rsidRDefault="008B734B" w:rsidP="00FD406E">
      <w:pPr>
        <w:pStyle w:val="FootnoteText"/>
        <w:rPr>
          <w:lang w:val="en-US"/>
        </w:rPr>
      </w:pPr>
      <w:r>
        <w:rPr>
          <w:rStyle w:val="FootnoteReference"/>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6">
    <w:p w14:paraId="1D0D6370" w14:textId="537145F1" w:rsidR="008B734B" w:rsidRPr="00190B1B" w:rsidRDefault="008B734B">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r w:rsidRPr="0088351B">
        <w:rPr>
          <w:lang w:val="en-US"/>
        </w:rPr>
        <w:t>Säule 3a'', buying into the pension plan</w:t>
      </w:r>
      <w:r>
        <w:rPr>
          <w:lang w:val="en-US"/>
        </w:rPr>
        <w:t>, medical expenses and</w:t>
      </w:r>
      <w:ins w:id="34" w:author="Hümbelin Oliver" w:date="2015-01-11T18:49:00Z">
        <w:r>
          <w:rPr>
            <w:lang w:val="en-US"/>
          </w:rPr>
          <w:t xml:space="preserve"> </w:t>
        </w:r>
      </w:ins>
      <w:r>
        <w:rPr>
          <w:lang w:val="en-US"/>
        </w:rPr>
        <w:t>charitable donations</w:t>
      </w:r>
    </w:p>
  </w:footnote>
  <w:footnote w:id="7">
    <w:p w14:paraId="25AC8419" w14:textId="55D209C8" w:rsidR="008B734B" w:rsidRPr="00190B1B" w:rsidRDefault="008B734B">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earned by savings, deductions for children and supported persons, second earner deductions.</w:t>
      </w:r>
    </w:p>
  </w:footnote>
  <w:footnote w:id="8">
    <w:p w14:paraId="726C0BEE" w14:textId="77777777" w:rsidR="008B734B" w:rsidRDefault="008B734B" w:rsidP="00C81B23">
      <w:pPr>
        <w:pStyle w:val="FootnoteText"/>
        <w:ind w:left="708" w:hanging="708"/>
        <w:rPr>
          <w:lang w:val="en-US"/>
        </w:rPr>
      </w:pPr>
      <w:r>
        <w:rPr>
          <w:rStyle w:val="FootnoteReference"/>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8B734B" w:rsidRDefault="008B734B" w:rsidP="00C81B23">
      <w:pPr>
        <w:pStyle w:val="FootnoteText"/>
        <w:ind w:left="708" w:hanging="708"/>
        <w:rPr>
          <w:lang w:val="en-US"/>
        </w:rPr>
      </w:pPr>
      <w:proofErr w:type="gramStart"/>
      <w:r>
        <w:rPr>
          <w:lang w:val="en-US"/>
        </w:rPr>
        <w:t>federal</w:t>
      </w:r>
      <w:proofErr w:type="gramEnd"/>
      <w:r>
        <w:rPr>
          <w:lang w:val="en-US"/>
        </w:rPr>
        <w:t xml:space="preserve"> taxes, which is a sort of pseudo disposable income, if deductions are understood as obligatory expenses. But  its</w:t>
      </w:r>
    </w:p>
    <w:p w14:paraId="1449DC0D" w14:textId="77777777" w:rsidR="008B734B" w:rsidRDefault="008B734B" w:rsidP="00C81B23">
      <w:pPr>
        <w:pStyle w:val="Footnote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8B734B" w:rsidRPr="00190B1B" w:rsidRDefault="008B734B" w:rsidP="00C81B23">
      <w:pPr>
        <w:pStyle w:val="FootnoteText"/>
        <w:ind w:left="708" w:hanging="708"/>
        <w:rPr>
          <w:lang w:val="en-US"/>
        </w:rPr>
      </w:pPr>
      <w:proofErr w:type="gramStart"/>
      <w:r>
        <w:rPr>
          <w:lang w:val="en-US"/>
        </w:rPr>
        <w:t>taxes</w:t>
      </w:r>
      <w:proofErr w:type="gramEnd"/>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8B734B" w:rsidRPr="00783DA9" w:rsidRDefault="008B734B">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8B734B" w:rsidRPr="00497AAC" w:rsidRDefault="008B734B"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3715A5C3" w14:textId="3AC1D365" w:rsidR="008B734B" w:rsidRPr="008B734B" w:rsidRDefault="008B734B">
      <w:pPr>
        <w:pStyle w:val="FootnoteText"/>
        <w:rPr>
          <w:lang w:val="en-US"/>
        </w:rPr>
      </w:pPr>
      <w:r>
        <w:rPr>
          <w:rStyle w:val="FootnoteReference"/>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sidRPr="008B734B">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2">
    <w:p w14:paraId="79B2738E" w14:textId="045750F6" w:rsidR="008B734B" w:rsidRPr="007108BA" w:rsidRDefault="008B734B">
      <w:pPr>
        <w:pStyle w:val="FootnoteText"/>
      </w:pPr>
      <w:r>
        <w:rPr>
          <w:rStyle w:val="FootnoteReference"/>
        </w:rPr>
        <w:footnoteRef/>
      </w:r>
      <w:r w:rsidRPr="007108BA">
        <w:t xml:space="preserve"> </w:t>
      </w:r>
      <w:hyperlink r:id="rId2" w:history="1">
        <w:r w:rsidRPr="005B4A5D">
          <w:rPr>
            <w:rStyle w:val="Hyperlink"/>
          </w:rPr>
          <w:t>http://www.bfs.admin.ch/bfs/portal/de/index/infothek/lexikon/lex/0.topic.1.html</w:t>
        </w:r>
      </w:hyperlink>
      <w:r w:rsidRPr="005B4A5D">
        <w:t xml:space="preserve"> (</w:t>
      </w:r>
      <w:r>
        <w:t>13.4.3 Sozialhilfe und Asylwesen)</w:t>
      </w:r>
    </w:p>
  </w:footnote>
  <w:footnote w:id="13">
    <w:p w14:paraId="4AC67833" w14:textId="743E26D6" w:rsidR="008B734B" w:rsidRPr="006956E1" w:rsidRDefault="008B734B">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4">
    <w:p w14:paraId="0B79CBF4" w14:textId="228BDB38" w:rsidR="008B734B" w:rsidRPr="001B7282" w:rsidRDefault="008B734B">
      <w:pPr>
        <w:pStyle w:val="FootnoteText"/>
        <w:rPr>
          <w:lang w:val="en-US"/>
          <w:rPrChange w:id="85" w:author="rudi" w:date="2014-12-22T14:51:00Z">
            <w:rPr/>
          </w:rPrChange>
        </w:rPr>
      </w:pPr>
      <w:ins w:id="86" w:author="rudi" w:date="2014-12-22T14:51:00Z">
        <w:r>
          <w:rPr>
            <w:rStyle w:val="FootnoteReference"/>
          </w:rPr>
          <w:footnoteRef/>
        </w:r>
        <w:r w:rsidRPr="001B7282">
          <w:rPr>
            <w:lang w:val="en-US"/>
            <w:rPrChange w:id="87" w:author="rudi" w:date="2014-12-22T14:51:00Z">
              <w:rPr/>
            </w:rPrChange>
          </w:rPr>
          <w:t xml:space="preserve"> </w:t>
        </w:r>
      </w:ins>
      <w:ins w:id="88" w:author="rudi" w:date="2014-12-23T02:54:00Z">
        <w:r>
          <w:rPr>
            <w:lang w:val="en-US"/>
          </w:rPr>
          <w:t xml:space="preserve">Difference </w:t>
        </w:r>
      </w:ins>
      <w:proofErr w:type="gramStart"/>
      <w:ins w:id="89" w:author="rudi" w:date="2014-12-23T02:55:00Z">
        <w:r>
          <w:rPr>
            <w:lang w:val="en-US"/>
          </w:rPr>
          <w:t>to  the</w:t>
        </w:r>
        <w:proofErr w:type="gramEnd"/>
        <w:r>
          <w:rPr>
            <w:lang w:val="en-US"/>
          </w:rPr>
          <w:t xml:space="preserve"> imputed series.</w:t>
        </w:r>
      </w:ins>
    </w:p>
  </w:footnote>
  <w:footnote w:id="15">
    <w:p w14:paraId="3C3FA50A" w14:textId="3F413147" w:rsidR="008B734B" w:rsidRDefault="008B734B" w:rsidP="0075707F">
      <w:pPr>
        <w:pStyle w:val="FootnoteText"/>
        <w:rPr>
          <w:lang w:val="en-US"/>
        </w:rPr>
      </w:pPr>
      <w:r>
        <w:rPr>
          <w:rStyle w:val="FootnoteReference"/>
        </w:rPr>
        <w:footnoteRef/>
      </w:r>
      <w:r w:rsidRPr="00A06AD6">
        <w:rPr>
          <w:lang w:val="en-US"/>
        </w:rPr>
        <w:t xml:space="preserve"> </w:t>
      </w:r>
      <w:r>
        <w:fldChar w:fldCharType="begin"/>
      </w:r>
      <w:r w:rsidRPr="008B734B">
        <w:rPr>
          <w:lang w:val="en-US"/>
        </w:rPr>
        <w:instrText xml:space="preserve"> "http://p3.snf.ch/Project-143399" </w:instrText>
      </w:r>
      <w:r>
        <w:fldChar w:fldCharType="separate"/>
      </w:r>
      <w:r w:rsidRPr="003A2F8E">
        <w:rPr>
          <w:rStyle w:val="Hyperlink"/>
          <w:lang w:val="en-US"/>
        </w:rPr>
        <w:t>http://p3.snf.ch/Project-143399</w:t>
      </w:r>
      <w:r>
        <w:rPr>
          <w:rStyle w:val="Hyperlink"/>
          <w:lang w:val="en-US"/>
        </w:rPr>
        <w:fldChar w:fldCharType="end"/>
      </w:r>
    </w:p>
    <w:p w14:paraId="70AB50D7" w14:textId="77777777" w:rsidR="008B734B" w:rsidRPr="00A06AD6" w:rsidRDefault="008B734B" w:rsidP="0075707F">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8B734B" w:rsidRPr="001F1B9C" w:rsidRDefault="008B734B"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8B734B" w:rsidRDefault="008B734B"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2"/>
  </w:num>
  <w:num w:numId="7">
    <w:abstractNumId w:val="15"/>
  </w:num>
  <w:num w:numId="8">
    <w:abstractNumId w:val="10"/>
  </w:num>
  <w:num w:numId="9">
    <w:abstractNumId w:val="17"/>
  </w:num>
  <w:num w:numId="10">
    <w:abstractNumId w:val="9"/>
  </w:num>
  <w:num w:numId="11">
    <w:abstractNumId w:val="13"/>
  </w:num>
  <w:num w:numId="12">
    <w:abstractNumId w:val="21"/>
  </w:num>
  <w:num w:numId="13">
    <w:abstractNumId w:val="16"/>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7"/>
  </w:num>
  <w:num w:numId="19">
    <w:abstractNumId w:val="18"/>
  </w:num>
  <w:num w:numId="20">
    <w:abstractNumId w:val="14"/>
  </w:num>
  <w:num w:numId="21">
    <w:abstractNumId w:val="20"/>
  </w:num>
  <w:num w:numId="22">
    <w:abstractNumId w:val="5"/>
  </w:num>
  <w:num w:numId="23">
    <w:abstractNumId w:val="8"/>
  </w:num>
  <w:num w:numId="24">
    <w:abstractNumId w:val="12"/>
  </w:num>
  <w:num w:numId="25">
    <w:abstractNumId w:val="6"/>
  </w:num>
  <w:num w:numId="26">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6923"/>
    <w:rsid w:val="000128C6"/>
    <w:rsid w:val="000179BB"/>
    <w:rsid w:val="00020500"/>
    <w:rsid w:val="00035727"/>
    <w:rsid w:val="000364D6"/>
    <w:rsid w:val="00036871"/>
    <w:rsid w:val="0004114E"/>
    <w:rsid w:val="000421B2"/>
    <w:rsid w:val="00046D74"/>
    <w:rsid w:val="00047D7A"/>
    <w:rsid w:val="000526DB"/>
    <w:rsid w:val="00054AC8"/>
    <w:rsid w:val="000572D1"/>
    <w:rsid w:val="0006599C"/>
    <w:rsid w:val="000844EC"/>
    <w:rsid w:val="00087C85"/>
    <w:rsid w:val="00091514"/>
    <w:rsid w:val="00091C2D"/>
    <w:rsid w:val="00095C44"/>
    <w:rsid w:val="00096BB2"/>
    <w:rsid w:val="000A6849"/>
    <w:rsid w:val="000B1BAB"/>
    <w:rsid w:val="000B4338"/>
    <w:rsid w:val="000C3A69"/>
    <w:rsid w:val="000C5A90"/>
    <w:rsid w:val="000C7DD6"/>
    <w:rsid w:val="000D7C16"/>
    <w:rsid w:val="000E29F5"/>
    <w:rsid w:val="000E2F6C"/>
    <w:rsid w:val="000E484B"/>
    <w:rsid w:val="000E5BD4"/>
    <w:rsid w:val="000E654E"/>
    <w:rsid w:val="000F013A"/>
    <w:rsid w:val="000F0EA8"/>
    <w:rsid w:val="000F3789"/>
    <w:rsid w:val="000F3F69"/>
    <w:rsid w:val="000F40DC"/>
    <w:rsid w:val="000F66A6"/>
    <w:rsid w:val="00100231"/>
    <w:rsid w:val="00104646"/>
    <w:rsid w:val="0010571E"/>
    <w:rsid w:val="00107A0C"/>
    <w:rsid w:val="0011072C"/>
    <w:rsid w:val="001112B0"/>
    <w:rsid w:val="00112357"/>
    <w:rsid w:val="00112B6B"/>
    <w:rsid w:val="001215C7"/>
    <w:rsid w:val="00122E28"/>
    <w:rsid w:val="001232D9"/>
    <w:rsid w:val="00123364"/>
    <w:rsid w:val="00126FF4"/>
    <w:rsid w:val="001301A9"/>
    <w:rsid w:val="00132181"/>
    <w:rsid w:val="00136B09"/>
    <w:rsid w:val="00137073"/>
    <w:rsid w:val="00141738"/>
    <w:rsid w:val="00141B1B"/>
    <w:rsid w:val="00142EB7"/>
    <w:rsid w:val="0015023D"/>
    <w:rsid w:val="00154023"/>
    <w:rsid w:val="00164F6A"/>
    <w:rsid w:val="00170D9E"/>
    <w:rsid w:val="00176DF1"/>
    <w:rsid w:val="00182BEB"/>
    <w:rsid w:val="00182FF6"/>
    <w:rsid w:val="00190924"/>
    <w:rsid w:val="00190B1B"/>
    <w:rsid w:val="001B0F1A"/>
    <w:rsid w:val="001B176D"/>
    <w:rsid w:val="001B21ED"/>
    <w:rsid w:val="001B7282"/>
    <w:rsid w:val="001C4B4E"/>
    <w:rsid w:val="001C61A3"/>
    <w:rsid w:val="001D27D7"/>
    <w:rsid w:val="001D3B0D"/>
    <w:rsid w:val="001D4982"/>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A672D"/>
    <w:rsid w:val="002B0461"/>
    <w:rsid w:val="002C25AE"/>
    <w:rsid w:val="002C45FD"/>
    <w:rsid w:val="002C5517"/>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25FDE"/>
    <w:rsid w:val="00326945"/>
    <w:rsid w:val="0033009B"/>
    <w:rsid w:val="00336E3F"/>
    <w:rsid w:val="00340F1E"/>
    <w:rsid w:val="00341DAB"/>
    <w:rsid w:val="00351473"/>
    <w:rsid w:val="00357B08"/>
    <w:rsid w:val="00361A2D"/>
    <w:rsid w:val="003653F6"/>
    <w:rsid w:val="00367CF9"/>
    <w:rsid w:val="00372BCA"/>
    <w:rsid w:val="003757F4"/>
    <w:rsid w:val="003779D0"/>
    <w:rsid w:val="003838FC"/>
    <w:rsid w:val="003852C5"/>
    <w:rsid w:val="00387B86"/>
    <w:rsid w:val="003968F9"/>
    <w:rsid w:val="003A6D89"/>
    <w:rsid w:val="003A7EE5"/>
    <w:rsid w:val="003B1648"/>
    <w:rsid w:val="003B2B0A"/>
    <w:rsid w:val="003B431B"/>
    <w:rsid w:val="003B4332"/>
    <w:rsid w:val="003B66F4"/>
    <w:rsid w:val="003C14BB"/>
    <w:rsid w:val="003C7BD0"/>
    <w:rsid w:val="003D4775"/>
    <w:rsid w:val="003D7B55"/>
    <w:rsid w:val="003E0F55"/>
    <w:rsid w:val="003E14BF"/>
    <w:rsid w:val="003E6398"/>
    <w:rsid w:val="003E642F"/>
    <w:rsid w:val="003F04F8"/>
    <w:rsid w:val="003F474A"/>
    <w:rsid w:val="003F51DE"/>
    <w:rsid w:val="00402579"/>
    <w:rsid w:val="0040615D"/>
    <w:rsid w:val="00406373"/>
    <w:rsid w:val="00413272"/>
    <w:rsid w:val="004144A2"/>
    <w:rsid w:val="00416C9D"/>
    <w:rsid w:val="004202F9"/>
    <w:rsid w:val="00420B5B"/>
    <w:rsid w:val="0042274F"/>
    <w:rsid w:val="0042665B"/>
    <w:rsid w:val="0043172E"/>
    <w:rsid w:val="00432391"/>
    <w:rsid w:val="00451FB5"/>
    <w:rsid w:val="00455473"/>
    <w:rsid w:val="00455C52"/>
    <w:rsid w:val="00462CB2"/>
    <w:rsid w:val="00470ED1"/>
    <w:rsid w:val="00481E16"/>
    <w:rsid w:val="004860D0"/>
    <w:rsid w:val="004923FF"/>
    <w:rsid w:val="004957F7"/>
    <w:rsid w:val="00495D40"/>
    <w:rsid w:val="00497AAC"/>
    <w:rsid w:val="004A28AA"/>
    <w:rsid w:val="004A6F24"/>
    <w:rsid w:val="004B34FA"/>
    <w:rsid w:val="004B5CEC"/>
    <w:rsid w:val="004D3611"/>
    <w:rsid w:val="004D7D20"/>
    <w:rsid w:val="004E4D6D"/>
    <w:rsid w:val="004F0BEB"/>
    <w:rsid w:val="004F2A66"/>
    <w:rsid w:val="004F32F8"/>
    <w:rsid w:val="004F330F"/>
    <w:rsid w:val="004F4785"/>
    <w:rsid w:val="004F5A70"/>
    <w:rsid w:val="004F7B96"/>
    <w:rsid w:val="0050169A"/>
    <w:rsid w:val="005029BF"/>
    <w:rsid w:val="005042AA"/>
    <w:rsid w:val="00506A38"/>
    <w:rsid w:val="00511D21"/>
    <w:rsid w:val="00523ECE"/>
    <w:rsid w:val="00525346"/>
    <w:rsid w:val="00530949"/>
    <w:rsid w:val="0053118D"/>
    <w:rsid w:val="005329E3"/>
    <w:rsid w:val="005334C5"/>
    <w:rsid w:val="005350F7"/>
    <w:rsid w:val="00541EB5"/>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C4E90"/>
    <w:rsid w:val="005D2E6C"/>
    <w:rsid w:val="005D423D"/>
    <w:rsid w:val="005D678C"/>
    <w:rsid w:val="005E4140"/>
    <w:rsid w:val="005E7BD6"/>
    <w:rsid w:val="005F1CAF"/>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ADE"/>
    <w:rsid w:val="006E46AC"/>
    <w:rsid w:val="006E6A93"/>
    <w:rsid w:val="006F4E8F"/>
    <w:rsid w:val="006F7567"/>
    <w:rsid w:val="007008D6"/>
    <w:rsid w:val="007108BA"/>
    <w:rsid w:val="00712BE2"/>
    <w:rsid w:val="00720853"/>
    <w:rsid w:val="00725A05"/>
    <w:rsid w:val="00730698"/>
    <w:rsid w:val="00733867"/>
    <w:rsid w:val="007407D3"/>
    <w:rsid w:val="00743774"/>
    <w:rsid w:val="0075707F"/>
    <w:rsid w:val="007572D8"/>
    <w:rsid w:val="00761683"/>
    <w:rsid w:val="00763E00"/>
    <w:rsid w:val="007726B5"/>
    <w:rsid w:val="00776E50"/>
    <w:rsid w:val="00783DA9"/>
    <w:rsid w:val="0079014F"/>
    <w:rsid w:val="00796682"/>
    <w:rsid w:val="007A367A"/>
    <w:rsid w:val="007A5603"/>
    <w:rsid w:val="007B4AC6"/>
    <w:rsid w:val="007B5DDD"/>
    <w:rsid w:val="007B68CF"/>
    <w:rsid w:val="007C2893"/>
    <w:rsid w:val="007C7AE4"/>
    <w:rsid w:val="007D6F67"/>
    <w:rsid w:val="007D7C93"/>
    <w:rsid w:val="007E039D"/>
    <w:rsid w:val="007E29BC"/>
    <w:rsid w:val="007E4221"/>
    <w:rsid w:val="007E6849"/>
    <w:rsid w:val="00800BF2"/>
    <w:rsid w:val="00800CCA"/>
    <w:rsid w:val="0080340E"/>
    <w:rsid w:val="00806DA3"/>
    <w:rsid w:val="008075D1"/>
    <w:rsid w:val="008157D4"/>
    <w:rsid w:val="008215A5"/>
    <w:rsid w:val="00822870"/>
    <w:rsid w:val="00822DA7"/>
    <w:rsid w:val="008334C9"/>
    <w:rsid w:val="008359BB"/>
    <w:rsid w:val="00835FA1"/>
    <w:rsid w:val="00845A7E"/>
    <w:rsid w:val="00846DC4"/>
    <w:rsid w:val="00851D35"/>
    <w:rsid w:val="008528B7"/>
    <w:rsid w:val="00860C48"/>
    <w:rsid w:val="0086512F"/>
    <w:rsid w:val="00865714"/>
    <w:rsid w:val="00871EEF"/>
    <w:rsid w:val="00876D58"/>
    <w:rsid w:val="0088351B"/>
    <w:rsid w:val="00887475"/>
    <w:rsid w:val="0088753A"/>
    <w:rsid w:val="008913B8"/>
    <w:rsid w:val="00894E5B"/>
    <w:rsid w:val="008950D0"/>
    <w:rsid w:val="0089798D"/>
    <w:rsid w:val="008A1B90"/>
    <w:rsid w:val="008A23C4"/>
    <w:rsid w:val="008A44AD"/>
    <w:rsid w:val="008B2031"/>
    <w:rsid w:val="008B6910"/>
    <w:rsid w:val="008B734B"/>
    <w:rsid w:val="008C20AA"/>
    <w:rsid w:val="008C2F1A"/>
    <w:rsid w:val="008D21A3"/>
    <w:rsid w:val="008D3A9F"/>
    <w:rsid w:val="008D61F6"/>
    <w:rsid w:val="008E19F9"/>
    <w:rsid w:val="008E2F97"/>
    <w:rsid w:val="008F2D88"/>
    <w:rsid w:val="008F4037"/>
    <w:rsid w:val="008F5BBC"/>
    <w:rsid w:val="00902218"/>
    <w:rsid w:val="00902D03"/>
    <w:rsid w:val="00912FE0"/>
    <w:rsid w:val="009161C4"/>
    <w:rsid w:val="00932C5C"/>
    <w:rsid w:val="0093695E"/>
    <w:rsid w:val="00941937"/>
    <w:rsid w:val="0094253E"/>
    <w:rsid w:val="009436BB"/>
    <w:rsid w:val="00945DA0"/>
    <w:rsid w:val="00951E7C"/>
    <w:rsid w:val="009546FD"/>
    <w:rsid w:val="009577BF"/>
    <w:rsid w:val="0096162E"/>
    <w:rsid w:val="009722A6"/>
    <w:rsid w:val="0097311D"/>
    <w:rsid w:val="00992DB1"/>
    <w:rsid w:val="009A38EF"/>
    <w:rsid w:val="009A592F"/>
    <w:rsid w:val="009A7E4E"/>
    <w:rsid w:val="009B0030"/>
    <w:rsid w:val="009B18B4"/>
    <w:rsid w:val="009B1D7B"/>
    <w:rsid w:val="009B2515"/>
    <w:rsid w:val="009B3063"/>
    <w:rsid w:val="009C0F72"/>
    <w:rsid w:val="009C1459"/>
    <w:rsid w:val="009C31C7"/>
    <w:rsid w:val="009C5D48"/>
    <w:rsid w:val="009C6EF1"/>
    <w:rsid w:val="009D5780"/>
    <w:rsid w:val="009D79DF"/>
    <w:rsid w:val="009E437A"/>
    <w:rsid w:val="009F17A5"/>
    <w:rsid w:val="009F2467"/>
    <w:rsid w:val="009F5BCC"/>
    <w:rsid w:val="00A00BCD"/>
    <w:rsid w:val="00A02C21"/>
    <w:rsid w:val="00A02D37"/>
    <w:rsid w:val="00A0309C"/>
    <w:rsid w:val="00A04487"/>
    <w:rsid w:val="00A05488"/>
    <w:rsid w:val="00A06AD6"/>
    <w:rsid w:val="00A14ACB"/>
    <w:rsid w:val="00A23BE2"/>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3332"/>
    <w:rsid w:val="00AB4134"/>
    <w:rsid w:val="00AB4D97"/>
    <w:rsid w:val="00AC0437"/>
    <w:rsid w:val="00AC65FF"/>
    <w:rsid w:val="00AC6F10"/>
    <w:rsid w:val="00AD2490"/>
    <w:rsid w:val="00AD3C46"/>
    <w:rsid w:val="00AD73C6"/>
    <w:rsid w:val="00AE18D1"/>
    <w:rsid w:val="00AE4567"/>
    <w:rsid w:val="00AE5A74"/>
    <w:rsid w:val="00AF47A8"/>
    <w:rsid w:val="00AF5313"/>
    <w:rsid w:val="00AF6366"/>
    <w:rsid w:val="00AF78B9"/>
    <w:rsid w:val="00B001E3"/>
    <w:rsid w:val="00B05E3A"/>
    <w:rsid w:val="00B14648"/>
    <w:rsid w:val="00B218B0"/>
    <w:rsid w:val="00B21B86"/>
    <w:rsid w:val="00B2422D"/>
    <w:rsid w:val="00B25861"/>
    <w:rsid w:val="00B25A50"/>
    <w:rsid w:val="00B25DB1"/>
    <w:rsid w:val="00B35EEB"/>
    <w:rsid w:val="00B36635"/>
    <w:rsid w:val="00B40657"/>
    <w:rsid w:val="00B409AB"/>
    <w:rsid w:val="00B410D9"/>
    <w:rsid w:val="00B4292C"/>
    <w:rsid w:val="00B545B2"/>
    <w:rsid w:val="00B545E6"/>
    <w:rsid w:val="00B60265"/>
    <w:rsid w:val="00B6365F"/>
    <w:rsid w:val="00B664C3"/>
    <w:rsid w:val="00B807BC"/>
    <w:rsid w:val="00B80819"/>
    <w:rsid w:val="00B81287"/>
    <w:rsid w:val="00B833C0"/>
    <w:rsid w:val="00B84F7E"/>
    <w:rsid w:val="00B91FF4"/>
    <w:rsid w:val="00B92879"/>
    <w:rsid w:val="00B92F01"/>
    <w:rsid w:val="00B944D9"/>
    <w:rsid w:val="00B978E7"/>
    <w:rsid w:val="00B9795D"/>
    <w:rsid w:val="00B97C3D"/>
    <w:rsid w:val="00BB156C"/>
    <w:rsid w:val="00BC07A1"/>
    <w:rsid w:val="00BD2E08"/>
    <w:rsid w:val="00BD4150"/>
    <w:rsid w:val="00BD6DED"/>
    <w:rsid w:val="00BD7B32"/>
    <w:rsid w:val="00BE27BD"/>
    <w:rsid w:val="00BE44E9"/>
    <w:rsid w:val="00BF2D5F"/>
    <w:rsid w:val="00C30550"/>
    <w:rsid w:val="00C453EC"/>
    <w:rsid w:val="00C55687"/>
    <w:rsid w:val="00C60F23"/>
    <w:rsid w:val="00C62E8C"/>
    <w:rsid w:val="00C6727C"/>
    <w:rsid w:val="00C715C7"/>
    <w:rsid w:val="00C73669"/>
    <w:rsid w:val="00C76CFB"/>
    <w:rsid w:val="00C77373"/>
    <w:rsid w:val="00C81B23"/>
    <w:rsid w:val="00C824E0"/>
    <w:rsid w:val="00C92257"/>
    <w:rsid w:val="00C93585"/>
    <w:rsid w:val="00C9402B"/>
    <w:rsid w:val="00C9695A"/>
    <w:rsid w:val="00CA0F26"/>
    <w:rsid w:val="00CA541A"/>
    <w:rsid w:val="00CA778F"/>
    <w:rsid w:val="00CA7D54"/>
    <w:rsid w:val="00CA7E54"/>
    <w:rsid w:val="00CC65B7"/>
    <w:rsid w:val="00CC7BBA"/>
    <w:rsid w:val="00CC7CD1"/>
    <w:rsid w:val="00CD3C7E"/>
    <w:rsid w:val="00CD4DFE"/>
    <w:rsid w:val="00CE2631"/>
    <w:rsid w:val="00CE5BE4"/>
    <w:rsid w:val="00CF5EC2"/>
    <w:rsid w:val="00D044CF"/>
    <w:rsid w:val="00D05B64"/>
    <w:rsid w:val="00D13744"/>
    <w:rsid w:val="00D13F34"/>
    <w:rsid w:val="00D15B15"/>
    <w:rsid w:val="00D17A9E"/>
    <w:rsid w:val="00D21FD5"/>
    <w:rsid w:val="00D22D1B"/>
    <w:rsid w:val="00D242C0"/>
    <w:rsid w:val="00D3034A"/>
    <w:rsid w:val="00D30CA2"/>
    <w:rsid w:val="00D3790B"/>
    <w:rsid w:val="00D37E22"/>
    <w:rsid w:val="00D42570"/>
    <w:rsid w:val="00D44485"/>
    <w:rsid w:val="00D46FED"/>
    <w:rsid w:val="00D47A44"/>
    <w:rsid w:val="00D51156"/>
    <w:rsid w:val="00D55BBD"/>
    <w:rsid w:val="00D60A04"/>
    <w:rsid w:val="00D64FE2"/>
    <w:rsid w:val="00D674B0"/>
    <w:rsid w:val="00D77EF2"/>
    <w:rsid w:val="00D8398E"/>
    <w:rsid w:val="00D85FDF"/>
    <w:rsid w:val="00DA1130"/>
    <w:rsid w:val="00DA2973"/>
    <w:rsid w:val="00DA2CB4"/>
    <w:rsid w:val="00DA4F15"/>
    <w:rsid w:val="00DA68B5"/>
    <w:rsid w:val="00DB328E"/>
    <w:rsid w:val="00DB7ED7"/>
    <w:rsid w:val="00DC037E"/>
    <w:rsid w:val="00DC2C92"/>
    <w:rsid w:val="00DC37D8"/>
    <w:rsid w:val="00DC5331"/>
    <w:rsid w:val="00DD064E"/>
    <w:rsid w:val="00DD11C2"/>
    <w:rsid w:val="00DD3A93"/>
    <w:rsid w:val="00DD5282"/>
    <w:rsid w:val="00DE242C"/>
    <w:rsid w:val="00DE39E9"/>
    <w:rsid w:val="00DE7DE7"/>
    <w:rsid w:val="00DF5C40"/>
    <w:rsid w:val="00E05C8B"/>
    <w:rsid w:val="00E07490"/>
    <w:rsid w:val="00E10871"/>
    <w:rsid w:val="00E269DF"/>
    <w:rsid w:val="00E3079F"/>
    <w:rsid w:val="00E33328"/>
    <w:rsid w:val="00E43303"/>
    <w:rsid w:val="00E43329"/>
    <w:rsid w:val="00E43D99"/>
    <w:rsid w:val="00E65112"/>
    <w:rsid w:val="00E66771"/>
    <w:rsid w:val="00E74E3A"/>
    <w:rsid w:val="00E75396"/>
    <w:rsid w:val="00E82313"/>
    <w:rsid w:val="00E85A44"/>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092"/>
    <w:rsid w:val="00EF5168"/>
    <w:rsid w:val="00F06E77"/>
    <w:rsid w:val="00F12DBE"/>
    <w:rsid w:val="00F172CC"/>
    <w:rsid w:val="00F17D15"/>
    <w:rsid w:val="00F36316"/>
    <w:rsid w:val="00F4103D"/>
    <w:rsid w:val="00F44D4C"/>
    <w:rsid w:val="00F6130E"/>
    <w:rsid w:val="00F65446"/>
    <w:rsid w:val="00F65C09"/>
    <w:rsid w:val="00F72AE5"/>
    <w:rsid w:val="00F72F58"/>
    <w:rsid w:val="00F8098A"/>
    <w:rsid w:val="00F825B4"/>
    <w:rsid w:val="00F97575"/>
    <w:rsid w:val="00FA3485"/>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png"/><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www.bfs.admin.ch/bfs/portal/de/index/infothek/lexikon/lex/0.topic.1.html" TargetMode="External"/><Relationship Id="rId1" Type="http://schemas.openxmlformats.org/officeDocument/2006/relationships/hyperlink" Target="http://www.estv.admin.ch/dokumentation/00075/00076/0070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121471360"/>
        <c:axId val="134812416"/>
      </c:lineChart>
      <c:catAx>
        <c:axId val="121471360"/>
        <c:scaling>
          <c:orientation val="minMax"/>
        </c:scaling>
        <c:delete val="0"/>
        <c:axPos val="b"/>
        <c:numFmt formatCode="General" sourceLinked="1"/>
        <c:majorTickMark val="out"/>
        <c:minorTickMark val="none"/>
        <c:tickLblPos val="nextTo"/>
        <c:crossAx val="134812416"/>
        <c:crosses val="autoZero"/>
        <c:auto val="1"/>
        <c:lblAlgn val="ctr"/>
        <c:lblOffset val="100"/>
        <c:noMultiLvlLbl val="0"/>
      </c:catAx>
      <c:valAx>
        <c:axId val="134812416"/>
        <c:scaling>
          <c:orientation val="minMax"/>
          <c:max val="0.4"/>
          <c:min val="0.2"/>
        </c:scaling>
        <c:delete val="0"/>
        <c:axPos val="l"/>
        <c:majorGridlines/>
        <c:numFmt formatCode="General" sourceLinked="1"/>
        <c:majorTickMark val="out"/>
        <c:minorTickMark val="none"/>
        <c:tickLblPos val="nextTo"/>
        <c:crossAx val="121471360"/>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146815232"/>
        <c:axId val="93319552"/>
      </c:lineChart>
      <c:catAx>
        <c:axId val="146815232"/>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93319552"/>
        <c:crosses val="autoZero"/>
        <c:auto val="1"/>
        <c:lblAlgn val="ctr"/>
        <c:lblOffset val="100"/>
        <c:noMultiLvlLbl val="0"/>
      </c:catAx>
      <c:valAx>
        <c:axId val="93319552"/>
        <c:scaling>
          <c:orientation val="minMax"/>
        </c:scaling>
        <c:delete val="0"/>
        <c:axPos val="l"/>
        <c:majorGridlines/>
        <c:numFmt formatCode="General" sourceLinked="1"/>
        <c:majorTickMark val="out"/>
        <c:minorTickMark val="none"/>
        <c:tickLblPos val="nextTo"/>
        <c:crossAx val="146815232"/>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B42D4-4312-44A9-B728-75944240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24</Pages>
  <Words>11145</Words>
  <Characters>63533</Characters>
  <Application>Microsoft Office Word</Application>
  <DocSecurity>0</DocSecurity>
  <Lines>529</Lines>
  <Paragraphs>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74529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2</cp:revision>
  <cp:lastPrinted>2014-11-28T15:51:00Z</cp:lastPrinted>
  <dcterms:created xsi:type="dcterms:W3CDTF">2015-01-11T18:22:00Z</dcterms:created>
  <dcterms:modified xsi:type="dcterms:W3CDTF">2015-01-11T18:22:00Z</dcterms:modified>
</cp:coreProperties>
</file>