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BD6E58" w14:paraId="66F2ABB3" w14:textId="77777777" w:rsidTr="008A1B90">
        <w:trPr>
          <w:trHeight w:hRule="exact" w:val="11997"/>
        </w:trPr>
        <w:tc>
          <w:tcPr>
            <w:tcW w:w="8392" w:type="dxa"/>
            <w:shd w:val="clear" w:color="auto" w:fill="auto"/>
            <w:tcMar>
              <w:top w:w="284" w:type="dxa"/>
            </w:tcMar>
          </w:tcPr>
          <w:p w14:paraId="76886E46" w14:textId="1C0C2CDE" w:rsidR="009F5BCC" w:rsidRPr="00D044CF" w:rsidRDefault="00D044CF" w:rsidP="00D044CF">
            <w:pPr>
              <w:pStyle w:val="Title"/>
              <w:jc w:val="center"/>
              <w:rPr>
                <w:lang w:val="en-US"/>
              </w:rPr>
            </w:pPr>
            <w:r w:rsidRPr="00D044CF">
              <w:rPr>
                <w:lang w:val="en-US"/>
              </w:rPr>
              <w:t>Assessing inequality</w:t>
            </w:r>
            <w:r w:rsidR="00F17D15">
              <w:rPr>
                <w:lang w:val="en-US"/>
              </w:rPr>
              <w:t xml:space="preserve"> trends</w:t>
            </w:r>
            <w:r w:rsidRPr="00D044CF">
              <w:rPr>
                <w:lang w:val="en-US"/>
              </w:rPr>
              <w:t xml:space="preserve"> with ta</w:t>
            </w:r>
            <w:r w:rsidRPr="00EF5168">
              <w:rPr>
                <w:lang w:val="en-US"/>
              </w:rPr>
              <w:t>x</w:t>
            </w:r>
            <w:r w:rsidR="00E82313">
              <w:rPr>
                <w:lang w:val="en-US"/>
              </w:rPr>
              <w:t xml:space="preserve"> data</w:t>
            </w:r>
          </w:p>
          <w:p w14:paraId="6AFB6F65" w14:textId="681F5404" w:rsidR="009F5BCC" w:rsidRPr="00D044CF" w:rsidRDefault="003757F4" w:rsidP="00D044CF">
            <w:pPr>
              <w:pStyle w:val="Subtitle"/>
              <w:jc w:val="center"/>
              <w:rPr>
                <w:lang w:val="en-US"/>
              </w:rPr>
            </w:pPr>
            <w:bookmarkStart w:id="0"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0"/>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11BB778E" w:rsidR="009F5BCC" w:rsidRPr="00EF5168" w:rsidRDefault="00542029" w:rsidP="00D044CF">
            <w:pPr>
              <w:jc w:val="center"/>
              <w:rPr>
                <w:lang w:val="en-US"/>
              </w:rPr>
            </w:pPr>
            <w:r>
              <w:rPr>
                <w:lang w:val="en-US"/>
              </w:rPr>
              <w:t>January</w:t>
            </w:r>
            <w:r w:rsidRPr="00EF5168">
              <w:rPr>
                <w:lang w:val="en-US"/>
              </w:rPr>
              <w:t xml:space="preserve"> </w:t>
            </w:r>
            <w:r w:rsidR="00D044CF" w:rsidRPr="00EF5168">
              <w:rPr>
                <w:lang w:val="en-US"/>
              </w:rPr>
              <w:t>201</w:t>
            </w:r>
            <w:r>
              <w:rPr>
                <w:lang w:val="en-US"/>
              </w:rPr>
              <w:t>5</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0A3EEBF3" w14:textId="2F80B220" w:rsidR="00470ED1" w:rsidRDefault="00154023" w:rsidP="00ED1A08">
            <w:pPr>
              <w:rPr>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DA1130">
              <w:rPr>
                <w:lang w:val="en-US"/>
              </w:rPr>
              <w:t>not at hand</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tax data is suitable </w:t>
            </w:r>
            <w:r w:rsidR="00EF5092">
              <w:rPr>
                <w:lang w:val="en-US"/>
              </w:rPr>
              <w:t>to address this gap. While concepts used to assess inequality</w:t>
            </w:r>
            <w:r w:rsidR="00DA1130">
              <w:rPr>
                <w:lang w:val="en-US"/>
              </w:rPr>
              <w:t xml:space="preserve"> with tax data</w:t>
            </w:r>
            <w:r w:rsidR="00EF5092">
              <w:rPr>
                <w:lang w:val="en-US"/>
              </w:rPr>
              <w:t xml:space="preserve"> are strongly data-driven and therefore often don’t </w:t>
            </w:r>
            <w:r w:rsidR="00B944D9">
              <w:rPr>
                <w:lang w:val="en-US"/>
              </w:rPr>
              <w:t>correspond to</w:t>
            </w:r>
            <w:r w:rsidR="00EF5092">
              <w:rPr>
                <w:lang w:val="en-US"/>
              </w:rPr>
              <w:t xml:space="preserve"> theoretical </w:t>
            </w:r>
            <w:r w:rsidR="00B944D9">
              <w:rPr>
                <w:lang w:val="en-US"/>
              </w:rPr>
              <w:t xml:space="preserve">defined ideal </w:t>
            </w:r>
            <w:r w:rsidR="00EF5092">
              <w:rPr>
                <w:lang w:val="en-US"/>
              </w:rPr>
              <w:t xml:space="preserve">concepts, the main advantage of tax data </w:t>
            </w:r>
            <w:r w:rsidR="00DA1130">
              <w:rPr>
                <w:lang w:val="en-US"/>
              </w:rPr>
              <w:t>is it’s</w:t>
            </w:r>
            <w:r w:rsidR="00EF5092">
              <w:rPr>
                <w:lang w:val="en-US"/>
              </w:rPr>
              <w:t xml:space="preserve"> availability </w:t>
            </w:r>
            <w:r w:rsidR="009E437A">
              <w:rPr>
                <w:lang w:val="en-US"/>
              </w:rPr>
              <w:t>in regard to</w:t>
            </w:r>
            <w:r w:rsidR="00DA1130">
              <w:rPr>
                <w:lang w:val="en-US"/>
              </w:rPr>
              <w:t xml:space="preserve"> long </w:t>
            </w:r>
            <w:r w:rsidR="009E437A">
              <w:rPr>
                <w:lang w:val="en-US"/>
              </w:rPr>
              <w:t>time series</w:t>
            </w:r>
            <w:r w:rsidR="00DA1130">
              <w:rPr>
                <w:lang w:val="en-US"/>
              </w:rPr>
              <w:t xml:space="preserve">. To sort out major from minor advantages and drawbacks </w:t>
            </w:r>
            <w:r w:rsidR="00470ED1">
              <w:rPr>
                <w:lang w:val="en-US"/>
              </w:rPr>
              <w:t xml:space="preserve">of tax data </w:t>
            </w:r>
            <w:r w:rsidR="00DA1130">
              <w:rPr>
                <w:lang w:val="en-US"/>
              </w:rPr>
              <w:t>we perform several empirical tests with aggregated tax statistics from the Swiss Fed</w:t>
            </w:r>
            <w:r w:rsidR="00B944D9">
              <w:rPr>
                <w:lang w:val="en-US"/>
              </w:rPr>
              <w:t>eral Tax Administration</w:t>
            </w:r>
            <w:r w:rsidR="00470ED1">
              <w:rPr>
                <w:lang w:val="en-US"/>
              </w:rPr>
              <w:t xml:space="preserve"> (FTA)</w:t>
            </w:r>
            <w:r w:rsidR="00B944D9">
              <w:rPr>
                <w:lang w:val="en-US"/>
              </w:rPr>
              <w:t>.</w:t>
            </w:r>
            <w:r w:rsidR="009801C0">
              <w:rPr>
                <w:lang w:val="en-US"/>
              </w:rPr>
              <w:t xml:space="preserve"> Compared </w:t>
            </w:r>
            <w:r w:rsidR="00B944D9">
              <w:rPr>
                <w:lang w:val="en-US"/>
              </w:rPr>
              <w:t>to</w:t>
            </w:r>
            <w:r w:rsidR="009E437A">
              <w:rPr>
                <w:lang w:val="en-US"/>
              </w:rPr>
              <w:t xml:space="preserve"> a Swiss Household Survey</w:t>
            </w:r>
            <w:r w:rsidR="009801C0">
              <w:rPr>
                <w:lang w:val="en-US"/>
              </w:rPr>
              <w:t>, that is used for governmental reports on inequality,</w:t>
            </w:r>
            <w:r w:rsidR="009E437A">
              <w:rPr>
                <w:lang w:val="en-US"/>
              </w:rPr>
              <w:t xml:space="preserve"> </w:t>
            </w:r>
            <w:r w:rsidR="00B944D9">
              <w:rPr>
                <w:lang w:val="en-US"/>
              </w:rPr>
              <w:t>lower and very high incomes are better represented</w:t>
            </w:r>
            <w:r w:rsidR="009E437A">
              <w:rPr>
                <w:lang w:val="en-US"/>
              </w:rPr>
              <w:t xml:space="preserve"> within tax data</w:t>
            </w:r>
            <w:r w:rsidR="00B944D9">
              <w:rPr>
                <w:lang w:val="en-US"/>
              </w:rPr>
              <w:t xml:space="preserve">, </w:t>
            </w:r>
            <w:r w:rsidR="009801C0">
              <w:rPr>
                <w:lang w:val="en-US"/>
              </w:rPr>
              <w:t>which consequently results in higher inequality if assessed with tax data</w:t>
            </w:r>
            <w:r w:rsidR="009E437A">
              <w:rPr>
                <w:lang w:val="en-US"/>
              </w:rPr>
              <w:t>. Then</w:t>
            </w:r>
            <w:r w:rsidR="00B944D9">
              <w:rPr>
                <w:lang w:val="en-US"/>
              </w:rPr>
              <w:t xml:space="preserve"> we </w:t>
            </w:r>
            <w:r w:rsidR="009E437A">
              <w:rPr>
                <w:lang w:val="en-US"/>
              </w:rPr>
              <w:t>see</w:t>
            </w:r>
            <w:r w:rsidR="00B944D9">
              <w:rPr>
                <w:lang w:val="en-US"/>
              </w:rPr>
              <w:t xml:space="preserve"> that concepts used </w:t>
            </w:r>
            <w:r w:rsidR="009801C0">
              <w:rPr>
                <w:lang w:val="en-US"/>
              </w:rPr>
              <w:t xml:space="preserve">with </w:t>
            </w:r>
            <w:r w:rsidR="00B944D9">
              <w:rPr>
                <w:lang w:val="en-US"/>
              </w:rPr>
              <w:t xml:space="preserve">tax data also lead to an overestimation of income inequality. </w:t>
            </w:r>
            <w:r w:rsidR="009E437A">
              <w:rPr>
                <w:lang w:val="en-US"/>
              </w:rPr>
              <w:t xml:space="preserve">First, we show that </w:t>
            </w:r>
            <w:r w:rsidR="00B944D9">
              <w:rPr>
                <w:lang w:val="en-US"/>
              </w:rPr>
              <w:t xml:space="preserve">inequality is </w:t>
            </w:r>
            <w:r w:rsidR="009E437A">
              <w:rPr>
                <w:lang w:val="en-US"/>
              </w:rPr>
              <w:t>higher</w:t>
            </w:r>
            <w:r w:rsidR="00B944D9">
              <w:rPr>
                <w:lang w:val="en-US"/>
              </w:rPr>
              <w:t xml:space="preserve"> among fiscal households </w:t>
            </w:r>
            <w:r w:rsidR="009E437A">
              <w:rPr>
                <w:lang w:val="en-US"/>
              </w:rPr>
              <w:t>than among real households. Second, inequality assessed with taxable income is higher than with disposable income, because the former does not account for redistribution through taxes adequately. Finally</w:t>
            </w:r>
            <w:r w:rsidR="00470ED1">
              <w:rPr>
                <w:lang w:val="en-US"/>
              </w:rPr>
              <w:t>,</w:t>
            </w:r>
            <w:r w:rsidR="009E437A">
              <w:rPr>
                <w:lang w:val="en-US"/>
              </w:rPr>
              <w:t xml:space="preserve"> we show that the missing information on non-taxed subjects can hinder the interpretation of long-time trends </w:t>
            </w:r>
            <w:r w:rsidR="00165CC1">
              <w:rPr>
                <w:lang w:val="en-US"/>
              </w:rPr>
              <w:t>heavily</w:t>
            </w:r>
            <w:r w:rsidR="009E437A">
              <w:rPr>
                <w:lang w:val="en-US"/>
              </w:rPr>
              <w:t>.</w:t>
            </w:r>
            <w:r w:rsidR="00470ED1">
              <w:rPr>
                <w:lang w:val="en-US"/>
              </w:rPr>
              <w:t xml:space="preserve"> </w:t>
            </w:r>
            <w:r w:rsidR="009801C0">
              <w:rPr>
                <w:lang w:val="en-US"/>
              </w:rPr>
              <w:t xml:space="preserve">As a substantial finding for </w:t>
            </w:r>
            <w:r w:rsidR="00470ED1">
              <w:rPr>
                <w:lang w:val="en-US"/>
              </w:rPr>
              <w:t xml:space="preserve">Switzerland tax data analyses at least raises doubts concerning the declining inequality trend reported by survey data for the last decades. </w:t>
            </w:r>
          </w:p>
          <w:p w14:paraId="25E2A455" w14:textId="77777777" w:rsidR="00DA1130" w:rsidRDefault="00DA1130" w:rsidP="00ED1A08">
            <w:pPr>
              <w:rPr>
                <w:lang w:val="en-US"/>
              </w:rPr>
            </w:pPr>
          </w:p>
          <w:p w14:paraId="754158A5" w14:textId="4E7386EC" w:rsidR="00D044CF" w:rsidRPr="002F06DC" w:rsidRDefault="00D044CF" w:rsidP="00ED1A08">
            <w:pPr>
              <w:rPr>
                <w:b/>
                <w:szCs w:val="19"/>
                <w:lang w:val="en-US"/>
              </w:rPr>
            </w:pP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1"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1"/>
          </w:p>
        </w:tc>
      </w:tr>
    </w:tbl>
    <w:p w14:paraId="773E3802" w14:textId="77777777" w:rsidR="00165CC1" w:rsidRDefault="00165CC1" w:rsidP="004F7B96">
      <w:pPr>
        <w:pStyle w:val="Inhaltsverzeichnis"/>
        <w:spacing w:line="100" w:lineRule="atLeast"/>
      </w:pPr>
      <w:bookmarkStart w:id="2" w:name="_Toc406505783"/>
    </w:p>
    <w:p w14:paraId="6A889872" w14:textId="77777777" w:rsidR="008D61F6" w:rsidRDefault="008D61F6" w:rsidP="004F7B96">
      <w:pPr>
        <w:pStyle w:val="Inhaltsverzeichnis"/>
        <w:spacing w:line="100" w:lineRule="atLeast"/>
      </w:pPr>
      <w:r w:rsidRPr="008D61F6">
        <w:t>Inhaltsverzeichnis</w:t>
      </w:r>
      <w:bookmarkEnd w:id="2"/>
    </w:p>
    <w:p w14:paraId="154D4A8C" w14:textId="77777777" w:rsidR="00796682" w:rsidRDefault="00796682"/>
    <w:p w14:paraId="51319D5F" w14:textId="77777777" w:rsidR="004F7B96" w:rsidRPr="008D61F6" w:rsidRDefault="004F7B96"/>
    <w:p w14:paraId="77A1CF7C" w14:textId="3AA04F8F" w:rsidR="008D21A3" w:rsidRDefault="008D21A3">
      <w:pPr>
        <w:pStyle w:val="TOC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BD6E58">
      <w:pPr>
        <w:pStyle w:val="TOC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BD6E58">
      <w:pPr>
        <w:pStyle w:val="TOC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BD6E58">
      <w:pPr>
        <w:pStyle w:val="TOC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BD6E58">
      <w:pPr>
        <w:pStyle w:val="TOC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BD6E58">
      <w:pPr>
        <w:pStyle w:val="TOC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BD6E58">
      <w:pPr>
        <w:pStyle w:val="TOC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BD6E58">
      <w:pPr>
        <w:pStyle w:val="TOC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BD6E58">
      <w:pPr>
        <w:pStyle w:val="TOC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BD6E58">
      <w:pPr>
        <w:pStyle w:val="TOC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BD6E58">
      <w:pPr>
        <w:pStyle w:val="TOC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BD6E58">
      <w:pPr>
        <w:pStyle w:val="TOC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BD6E58">
      <w:pPr>
        <w:pStyle w:val="TOC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BD6E58">
      <w:pPr>
        <w:pStyle w:val="TOC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BD6E58">
      <w:pPr>
        <w:pStyle w:val="TOC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BD6E58">
      <w:pPr>
        <w:pStyle w:val="TOC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Heading1"/>
        <w:rPr>
          <w:lang w:val="en-US"/>
        </w:rPr>
      </w:pPr>
      <w:r>
        <w:br w:type="page"/>
      </w:r>
      <w:bookmarkStart w:id="3" w:name="_Toc406505784"/>
      <w:r w:rsidR="00D044CF" w:rsidRPr="00DE7DE7">
        <w:rPr>
          <w:lang w:val="en-US"/>
        </w:rPr>
        <w:lastRenderedPageBreak/>
        <w:t>Introduction</w:t>
      </w:r>
      <w:bookmarkEnd w:id="3"/>
    </w:p>
    <w:p w14:paraId="6E81AE81" w14:textId="4A62C08A"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w:t>
      </w:r>
      <w:r w:rsidR="00B545E6">
        <w:rPr>
          <w:lang w:val="en-US"/>
        </w:rPr>
        <w:t>from</w:t>
      </w:r>
      <w:r w:rsidRPr="00D044CF">
        <w:rPr>
          <w:lang w:val="en-US"/>
        </w:rPr>
        <w:t xml:space="preserve"> the </w:t>
      </w:r>
      <w:r w:rsidR="00B545E6">
        <w:rPr>
          <w:lang w:val="en-US"/>
        </w:rPr>
        <w:t>perspective of individuals</w:t>
      </w:r>
      <w:r w:rsidRPr="00D044CF">
        <w:rPr>
          <w:lang w:val="en-US"/>
        </w:rPr>
        <w:t xml:space="preserve">, it is rather an issue concerning the whole society. Inequality matters for societies, because it </w:t>
      </w:r>
      <w:r w:rsidR="00B545E6">
        <w:rPr>
          <w:lang w:val="en-US"/>
        </w:rPr>
        <w:t>seems to be</w:t>
      </w:r>
      <w:r w:rsidRPr="00D044CF">
        <w:rPr>
          <w:lang w:val="en-US"/>
        </w:rPr>
        <w:t xml:space="preserve"> related to negative outcomes like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w:t>
      </w:r>
      <w:r w:rsidR="00B545E6" w:rsidRPr="00D044CF">
        <w:rPr>
          <w:lang w:val="en-US"/>
        </w:rPr>
        <w:t>dimension</w:t>
      </w:r>
      <w:r w:rsidRPr="00D044CF">
        <w:rPr>
          <w:lang w:val="en-US"/>
        </w:rPr>
        <w:t xml:space="preserve">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B545E6">
        <w:rPr>
          <w:lang w:val="en-US"/>
        </w:rPr>
        <w:t>tti 2013, Salverda et al. 2014)</w:t>
      </w:r>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2EA2BD7B" w14:textId="2F5D22A6" w:rsidR="00D044CF" w:rsidRDefault="00D044CF" w:rsidP="00D044CF">
      <w:pPr>
        <w:rPr>
          <w:lang w:val="en-US"/>
        </w:rPr>
      </w:pPr>
      <w:r w:rsidRPr="00D044CF">
        <w:rPr>
          <w:lang w:val="en-US"/>
        </w:rPr>
        <w:t xml:space="preserve">Given the importance of the subject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Pr="00D044CF">
        <w:rPr>
          <w:lang w:val="en-US"/>
        </w:rPr>
        <w:t xml:space="preserve">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w:t>
      </w:r>
      <w:r w:rsidR="00763E00">
        <w:rPr>
          <w:lang w:val="en-US"/>
        </w:rPr>
        <w:t xml:space="preserve">2014). </w:t>
      </w:r>
    </w:p>
    <w:p w14:paraId="658ECF60" w14:textId="77777777" w:rsidR="00763E00" w:rsidRPr="00D044CF" w:rsidRDefault="00763E00" w:rsidP="00D044CF">
      <w:pPr>
        <w:rPr>
          <w:lang w:val="en-US"/>
        </w:rPr>
      </w:pPr>
    </w:p>
    <w:p w14:paraId="344BE9C0" w14:textId="1D211BD2"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In section 3 we show in what w</w:t>
      </w:r>
      <w:r w:rsidR="00F471A8">
        <w:rPr>
          <w:lang w:val="en-US"/>
        </w:rPr>
        <w:t>ay</w:t>
      </w:r>
      <w:r w:rsidRPr="00D044CF">
        <w:rPr>
          <w:lang w:val="en-US"/>
        </w:rPr>
        <w:t xml:space="preserve"> </w:t>
      </w:r>
      <w:r w:rsidR="00945DA0">
        <w:rPr>
          <w:lang w:val="en-US"/>
        </w:rPr>
        <w:t xml:space="preserve">either </w:t>
      </w:r>
      <w:r w:rsidRPr="00D044CF">
        <w:rPr>
          <w:lang w:val="en-US"/>
        </w:rPr>
        <w:t>tax or survey data are</w:t>
      </w:r>
      <w:r w:rsidR="00F471A8">
        <w:rPr>
          <w:lang w:val="en-US"/>
        </w:rPr>
        <w:t xml:space="preserve"> theoretically</w:t>
      </w:r>
      <w:r w:rsidRPr="00D044CF">
        <w:rPr>
          <w:lang w:val="en-US"/>
        </w:rPr>
        <w:t xml:space="preserv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00F471A8">
        <w:rPr>
          <w:lang w:val="en-US"/>
        </w:rPr>
        <w:t xml:space="preserve"> This section provides several empirical tests of tax statistic specific concepts, which allows us to distinguish major from minor methodological issues.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 xml:space="preserve">summarize </w:t>
      </w:r>
      <w:r w:rsidR="00F471A8">
        <w:rPr>
          <w:lang w:val="en-US"/>
        </w:rPr>
        <w:t>and discus our findings in a broader perspective.</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4" w:name="_Ref399330537"/>
      <w:bookmarkStart w:id="5"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4"/>
      <w:bookmarkEnd w:id="5"/>
    </w:p>
    <w:p w14:paraId="16B4FAF7" w14:textId="1A34FB5E" w:rsidR="00D3790B" w:rsidRPr="00D3790B" w:rsidRDefault="00D3790B" w:rsidP="00D3790B">
      <w:pPr>
        <w:rPr>
          <w:lang w:val="en-US"/>
        </w:rPr>
      </w:pPr>
      <w:r>
        <w:rPr>
          <w:lang w:val="en-US"/>
        </w:rPr>
        <w:t xml:space="preserve">We identify four </w:t>
      </w:r>
      <w:r w:rsidR="00B545E6">
        <w:rPr>
          <w:lang w:val="en-US"/>
        </w:rPr>
        <w:t xml:space="preserve">crucial areas </w:t>
      </w:r>
      <w:r>
        <w:rPr>
          <w:lang w:val="en-US"/>
        </w:rPr>
        <w:t>concerning the assessment of economic inequality. First of all</w:t>
      </w:r>
      <w:r w:rsidR="00B545E6">
        <w:rPr>
          <w:lang w:val="en-US"/>
        </w:rPr>
        <w:t>,</w:t>
      </w:r>
      <w:r>
        <w:rPr>
          <w:lang w:val="en-US"/>
        </w:rPr>
        <w:t xml:space="preserve"> one has to </w:t>
      </w:r>
      <w:r w:rsidR="00B545E6">
        <w:rPr>
          <w:lang w:val="en-US"/>
        </w:rPr>
        <w:t xml:space="preserve">specify the </w:t>
      </w:r>
      <w:r>
        <w:rPr>
          <w:lang w:val="en-US"/>
        </w:rPr>
        <w:t>type of economic resources</w:t>
      </w:r>
      <w:r w:rsidR="00B545E6">
        <w:rPr>
          <w:lang w:val="en-US"/>
        </w:rPr>
        <w:t xml:space="preserve"> the analysis is focused on </w:t>
      </w:r>
      <w:r>
        <w:rPr>
          <w:lang w:val="en-US"/>
        </w:rPr>
        <w:t xml:space="preserve">(section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B545E6">
        <w:rPr>
          <w:lang w:val="en-US"/>
        </w:rPr>
        <w:t xml:space="preserve">Then one has to decide, how inequality should be measured.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B545E6">
        <w:rPr>
          <w:lang w:val="en-US"/>
        </w:rPr>
        <w:t>To be clear among who</w:t>
      </w:r>
      <w:r w:rsidR="00F471A8">
        <w:rPr>
          <w:lang w:val="en-US"/>
        </w:rPr>
        <w:t>m</w:t>
      </w:r>
      <w:r w:rsidR="00B545E6">
        <w:rPr>
          <w:lang w:val="en-US"/>
        </w:rPr>
        <w:t xml:space="preserve"> inequality occurs one </w:t>
      </w:r>
      <w:r w:rsidR="00B545E6">
        <w:rPr>
          <w:lang w:val="en-US"/>
        </w:rPr>
        <w:lastRenderedPageBreak/>
        <w:t>has to be</w:t>
      </w:r>
      <w:r w:rsidR="00ED60EF">
        <w:rPr>
          <w:lang w:val="en-US"/>
        </w:rPr>
        <w:t xml:space="preserve"> </w:t>
      </w:r>
      <w:r w:rsidR="00036871">
        <w:rPr>
          <w:lang w:val="en-US"/>
        </w:rPr>
        <w:t xml:space="preserve">define the statistical unit </w:t>
      </w:r>
      <w:r w:rsidR="009B1D7B">
        <w:rPr>
          <w:lang w:val="en-US"/>
        </w:rPr>
        <w:t xml:space="preserve">(see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036871">
        <w:rPr>
          <w:lang w:val="en-US"/>
        </w:rPr>
        <w:t xml:space="preserve">finally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Heading2"/>
        <w:rPr>
          <w:lang w:val="en-US"/>
        </w:rPr>
      </w:pPr>
      <w:bookmarkStart w:id="6" w:name="_Ref399337302"/>
      <w:bookmarkStart w:id="7" w:name="_Ref399337312"/>
      <w:bookmarkStart w:id="8" w:name="_Toc406505786"/>
      <w:r w:rsidRPr="00763E00">
        <w:rPr>
          <w:lang w:val="en-US"/>
        </w:rPr>
        <w:t>Concepts on measuring economic resources</w:t>
      </w:r>
      <w:bookmarkEnd w:id="6"/>
      <w:bookmarkEnd w:id="7"/>
      <w:bookmarkEnd w:id="8"/>
    </w:p>
    <w:p w14:paraId="630322AC" w14:textId="27CD1E24"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an internationally agreed framework on micro-level statistics</w:t>
      </w:r>
      <w:r w:rsidR="0054558E">
        <w:rPr>
          <w:rStyle w:val="FootnoteReference"/>
          <w:lang w:val="en-US"/>
        </w:rPr>
        <w:footnoteReference w:id="1"/>
      </w:r>
      <w:r w:rsidRPr="00D044CF">
        <w:rPr>
          <w:lang w:val="en-US"/>
        </w:rPr>
        <w:t>.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vice-versa. </w:t>
      </w:r>
    </w:p>
    <w:p w14:paraId="5AE1D0E4" w14:textId="0623FEA7" w:rsidR="00036871" w:rsidRDefault="00D044CF" w:rsidP="009B2515">
      <w:pPr>
        <w:pStyle w:val="Caption"/>
        <w:rPr>
          <w:sz w:val="19"/>
          <w:szCs w:val="19"/>
          <w:lang w:val="en-US"/>
        </w:rPr>
      </w:pPr>
      <w:r w:rsidRPr="006A2614">
        <w:rPr>
          <w:sz w:val="19"/>
          <w:szCs w:val="19"/>
          <w:lang w:val="en-US"/>
        </w:rPr>
        <w:t xml:space="preserve">Because inequality in income is by far the </w:t>
      </w:r>
      <w:r w:rsidR="00036871">
        <w:rPr>
          <w:sz w:val="19"/>
          <w:szCs w:val="19"/>
          <w:lang w:val="en-US"/>
        </w:rPr>
        <w:t>dimension</w:t>
      </w:r>
      <w:r w:rsidR="001232D9" w:rsidRPr="006A2614">
        <w:rPr>
          <w:sz w:val="19"/>
          <w:szCs w:val="19"/>
          <w:lang w:val="en-US"/>
        </w:rPr>
        <w: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0F3F69" w:rsidRPr="006A2614">
        <w:rPr>
          <w:sz w:val="19"/>
          <w:szCs w:val="19"/>
          <w:lang w:val="en-US"/>
        </w:rPr>
        <w:t xml:space="preserve">: the income measure,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p>
    <w:p w14:paraId="514E71FA" w14:textId="2DECFE6C" w:rsidR="009B2515" w:rsidRPr="005E4140" w:rsidRDefault="009B2515" w:rsidP="009B2515">
      <w:pPr>
        <w:pStyle w:val="Caption"/>
        <w:rPr>
          <w:bCs w:val="0"/>
          <w:sz w:val="19"/>
          <w:szCs w:val="19"/>
          <w:lang w:val="en-US"/>
        </w:rPr>
      </w:pPr>
      <w:r w:rsidRPr="005E4140">
        <w:rPr>
          <w:bCs w:val="0"/>
          <w:sz w:val="19"/>
          <w:szCs w:val="19"/>
          <w:lang w:val="en-US"/>
        </w:rPr>
        <w:t xml:space="preserve">Additionally,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4346B486" w:rsidR="00676E3F" w:rsidRDefault="00E66771" w:rsidP="00676E3F">
      <w:pPr>
        <w:keepNext/>
      </w:pPr>
      <w:r w:rsidRPr="00E66771">
        <w:rPr>
          <w:noProof/>
          <w:lang w:val="en-US"/>
        </w:rPr>
        <w:lastRenderedPageBreak/>
        <w:drawing>
          <wp:inline distT="0" distB="0" distL="0" distR="0" wp14:anchorId="0A885A64" wp14:editId="2C005C69">
            <wp:extent cx="5972810" cy="4610735"/>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610735"/>
                    </a:xfrm>
                    <a:prstGeom prst="rect">
                      <a:avLst/>
                    </a:prstGeom>
                    <a:noFill/>
                    <a:ln>
                      <a:noFill/>
                    </a:ln>
                    <a:effectLst/>
                    <a:extLst/>
                  </pic:spPr>
                </pic:pic>
              </a:graphicData>
            </a:graphic>
          </wp:inline>
        </w:drawing>
      </w:r>
    </w:p>
    <w:p w14:paraId="672B86C8" w14:textId="6F192C39" w:rsidR="009B2515" w:rsidRPr="00DD5282" w:rsidRDefault="00DD5282" w:rsidP="006A2614">
      <w:pPr>
        <w:pStyle w:val="Caption"/>
        <w:rPr>
          <w:sz w:val="24"/>
          <w:szCs w:val="24"/>
          <w:lang w:val="en-US"/>
        </w:rPr>
      </w:pPr>
      <w:bookmarkStart w:id="9" w:name="_Ref406511993"/>
      <w:bookmarkStart w:id="10"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9"/>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10"/>
    </w:p>
    <w:p w14:paraId="0A79EC9B" w14:textId="77777777" w:rsidR="00676E3F" w:rsidRPr="008B734B" w:rsidRDefault="00676E3F" w:rsidP="00676E3F">
      <w:pPr>
        <w:pStyle w:val="Heading2"/>
        <w:rPr>
          <w:lang w:val="en-US"/>
        </w:rPr>
      </w:pPr>
      <w:bookmarkStart w:id="11" w:name="_Ref399841803"/>
      <w:bookmarkStart w:id="12" w:name="_Ref399849930"/>
      <w:bookmarkStart w:id="13" w:name="_Toc406505787"/>
      <w:r w:rsidRPr="008B734B">
        <w:rPr>
          <w:lang w:val="en-US"/>
        </w:rPr>
        <w:t>Measuring inequality</w:t>
      </w:r>
      <w:bookmarkEnd w:id="11"/>
      <w:bookmarkEnd w:id="12"/>
      <w:bookmarkEnd w:id="13"/>
    </w:p>
    <w:p w14:paraId="0276AC69" w14:textId="77E94016"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57E8E885"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2F29857"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228F224"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68DE693C" w:rsidR="001D27D7" w:rsidRDefault="00361A2D" w:rsidP="00B14648">
      <w:pPr>
        <w:rPr>
          <w:lang w:val="en-US"/>
        </w:rPr>
      </w:pPr>
      <w:r>
        <w:rPr>
          <w:lang w:val="en-US"/>
        </w:rPr>
        <w:t xml:space="preserve">Given this plethora of inequality measure, how </w:t>
      </w:r>
      <w:r w:rsidR="00FB64F2">
        <w:rPr>
          <w:lang w:val="en-US"/>
        </w:rPr>
        <w:t>should the right one be cho</w:t>
      </w:r>
      <w:r>
        <w:rPr>
          <w:lang w:val="en-US"/>
        </w:rPr>
        <w:t>se</w:t>
      </w:r>
      <w:r w:rsidR="00FB64F2">
        <w:rPr>
          <w:lang w:val="en-US"/>
        </w:rPr>
        <w:t>n</w:t>
      </w:r>
      <w:r>
        <w:rPr>
          <w:lang w:val="en-US"/>
        </w:rPr>
        <w:t xml:space="preserve">? In general this has to be decided </w:t>
      </w:r>
      <w:r w:rsidR="00091514">
        <w:rPr>
          <w:lang w:val="en-US"/>
        </w:rPr>
        <w:t>considering</w:t>
      </w:r>
      <w:r>
        <w:rPr>
          <w:lang w:val="en-US"/>
        </w:rPr>
        <w:t xml:space="preserve">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14" w:name="_Ref406405239"/>
      <w:bookmarkStart w:id="15" w:name="_Toc406505788"/>
      <w:r w:rsidRPr="00676E3F">
        <w:t>Statistical Units</w:t>
      </w:r>
      <w:bookmarkEnd w:id="14"/>
      <w:bookmarkEnd w:id="15"/>
    </w:p>
    <w:p w14:paraId="47E640C9" w14:textId="6E8E7FB0" w:rsidR="001D27D7" w:rsidRPr="00676E3F" w:rsidRDefault="001D27D7" w:rsidP="001D27D7">
      <w:pPr>
        <w:rPr>
          <w:lang w:val="en-US"/>
        </w:rPr>
      </w:pPr>
      <w:r w:rsidRPr="00676E3F">
        <w:rPr>
          <w:lang w:val="en-US"/>
        </w:rPr>
        <w:t xml:space="preserve">The agreed standard on </w:t>
      </w:r>
      <w:r w:rsidR="00FB64F2">
        <w:rPr>
          <w:lang w:val="en-US"/>
        </w:rPr>
        <w:t xml:space="preserve">statistical units for </w:t>
      </w:r>
      <w:r w:rsidRPr="00676E3F">
        <w:rPr>
          <w:lang w:val="en-US"/>
        </w:rPr>
        <w:t xml:space="preserve">inequality analysis, are households not individuals (OECD, 2013, 60). Indeed it </w:t>
      </w:r>
      <w:r>
        <w:rPr>
          <w:lang w:val="en-US"/>
        </w:rPr>
        <w:t>are</w:t>
      </w:r>
      <w:r w:rsidRPr="00676E3F">
        <w:rPr>
          <w:lang w:val="en-US"/>
        </w:rPr>
        <w:t xml:space="preserve"> individuals, who receive income, own assets and experience economic well-being, but their possibility to do so, is strongly tied to the concept of household. This comprises all </w:t>
      </w:r>
      <w:r w:rsidRPr="00676E3F">
        <w:rPr>
          <w:lang w:val="en-US"/>
        </w:rPr>
        <w:lastRenderedPageBreak/>
        <w:t xml:space="preserve">persons under the same housing arrangement. The basic underlying assumption for collecting data on household level instead of individual level is, that people in the same household share resources and therefore pool their incomes (when two or more earners live together) and use the household income to provide the essentials of living for every household member (also non-earning members, like children). Additionally, there are economies of scale </w:t>
      </w:r>
      <w:r w:rsidR="00FB64F2">
        <w:rPr>
          <w:lang w:val="en-US"/>
        </w:rPr>
        <w:t>for</w:t>
      </w:r>
      <w:r w:rsidRPr="00676E3F">
        <w:rPr>
          <w:lang w:val="en-US"/>
        </w:rPr>
        <w:t xml:space="preserve"> people </w:t>
      </w:r>
      <w:r w:rsidR="00FB64F2" w:rsidRPr="00676E3F">
        <w:rPr>
          <w:lang w:val="en-US"/>
        </w:rPr>
        <w:t>shari</w:t>
      </w:r>
      <w:r w:rsidR="00FB64F2">
        <w:rPr>
          <w:lang w:val="en-US"/>
        </w:rPr>
        <w:t>ng</w:t>
      </w:r>
      <w:r w:rsidRPr="00676E3F">
        <w:rPr>
          <w:lang w:val="en-US"/>
        </w:rPr>
        <w:t xml:space="preserve"> living space and commodities. To compare the individual economic well-being among individuals living in different households usually equivalence scales are used </w:t>
      </w:r>
      <w:r>
        <w:rPr>
          <w:lang w:val="en-US"/>
        </w:rPr>
        <w:t xml:space="preserve">as </w:t>
      </w:r>
      <w:r w:rsidR="00A15967">
        <w:rPr>
          <w:lang w:val="en-US"/>
        </w:rPr>
        <w:t xml:space="preserve">already </w:t>
      </w:r>
      <w:r>
        <w:rPr>
          <w:lang w:val="en-US"/>
        </w:rPr>
        <w:t>mentioned above.</w:t>
      </w:r>
    </w:p>
    <w:p w14:paraId="674F52DF" w14:textId="77777777" w:rsidR="00676E3F" w:rsidRDefault="00676E3F" w:rsidP="00676E3F">
      <w:pPr>
        <w:pStyle w:val="Heading2"/>
        <w:rPr>
          <w:lang w:val="en-US"/>
        </w:rPr>
      </w:pPr>
      <w:bookmarkStart w:id="16" w:name="_Ref399841861"/>
      <w:bookmarkStart w:id="17" w:name="_Toc406505789"/>
      <w:r w:rsidRPr="00676E3F">
        <w:rPr>
          <w:lang w:val="en-US"/>
        </w:rPr>
        <w:t>Coverage Issues</w:t>
      </w:r>
      <w:bookmarkEnd w:id="16"/>
      <w:bookmarkEnd w:id="17"/>
    </w:p>
    <w:p w14:paraId="0001B184" w14:textId="2BC938AF"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w:t>
      </w:r>
      <w:r w:rsidR="00091514">
        <w:rPr>
          <w:lang w:val="en-US"/>
        </w:rPr>
        <w:t xml:space="preserve"> and/or options</w:t>
      </w:r>
      <w:r w:rsidR="00CA0F26" w:rsidRPr="00406373">
        <w:rPr>
          <w:lang w:val="en-US"/>
        </w:rPr>
        <w:t xml:space="preserve">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xml:space="preserve">.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18" w:name="_Ref399330540"/>
      <w:bookmarkStart w:id="19" w:name="_Toc406505790"/>
      <w:r w:rsidRPr="00B14648">
        <w:rPr>
          <w:lang w:val="en-US"/>
        </w:rPr>
        <w:t>Comparison of tax data and survey data – overview of advantages and shortcomings</w:t>
      </w:r>
      <w:bookmarkEnd w:id="18"/>
      <w:bookmarkEnd w:id="19"/>
    </w:p>
    <w:p w14:paraId="09876D70" w14:textId="49C7448C"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20"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20"/>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21C4D1F2"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 xml:space="preserve">Taxable </w:t>
      </w:r>
      <w:r w:rsidR="00BC07A1">
        <w:rPr>
          <w:rFonts w:ascii="Lucida Sans" w:hAnsi="Lucida Sans"/>
          <w:sz w:val="19"/>
          <w:szCs w:val="19"/>
          <w:lang w:val="en-US"/>
        </w:rPr>
        <w:lastRenderedPageBreak/>
        <w:t>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447152D"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190D1DB5"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 there are constellations where members of the same household hand in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14ED3573"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r w:rsidRPr="00B14648">
        <w:rPr>
          <w:rFonts w:ascii="Lucida Sans" w:hAnsi="Lucida Sans"/>
          <w:sz w:val="19"/>
          <w:szCs w:val="19"/>
          <w:lang w:val="en-US"/>
        </w:rPr>
        <w:t>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are discussed in the literature (Särndal et al., 2003), but 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is tax evasion, which definitely can bias the assessment of inequality. </w:t>
      </w:r>
      <w:r w:rsidR="00B978E7">
        <w:rPr>
          <w:rFonts w:ascii="Lucida Sans" w:hAnsi="Lucida Sans"/>
          <w:sz w:val="19"/>
          <w:szCs w:val="19"/>
          <w:lang w:val="en-US"/>
        </w:rPr>
        <w:t xml:space="preserve">Alvaredo and Saez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can occur, when individuals try not to fill tax returns</w:t>
      </w:r>
      <w:r w:rsidR="005D2E6C">
        <w:rPr>
          <w:rFonts w:ascii="Lucida Sans" w:hAnsi="Lucida Sans"/>
          <w:sz w:val="19"/>
          <w:szCs w:val="19"/>
          <w:lang w:val="en-US"/>
        </w:rPr>
        <w:t xml:space="preserve"> or by misreporting of incomes.</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21" w:name="_Toc406505791"/>
      <w:bookmarkStart w:id="22" w:name="_Ref406677101"/>
      <w:bookmarkStart w:id="23" w:name="_Ref406686090"/>
      <w:r>
        <w:rPr>
          <w:lang w:val="en-US"/>
        </w:rPr>
        <w:t>Different trends for income inequality in Switzerland</w:t>
      </w:r>
      <w:r w:rsidR="00A440C5">
        <w:rPr>
          <w:lang w:val="en-US"/>
        </w:rPr>
        <w:t xml:space="preserve"> due to methodological differences?</w:t>
      </w:r>
      <w:bookmarkEnd w:id="21"/>
      <w:bookmarkEnd w:id="22"/>
      <w:bookmarkEnd w:id="23"/>
    </w:p>
    <w:p w14:paraId="462D907A" w14:textId="465BE927"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xml:space="preserve">. As a Non-EU member </w:t>
      </w:r>
      <w:r w:rsidR="00B14648" w:rsidRPr="00B14648">
        <w:rPr>
          <w:lang w:val="en-US"/>
        </w:rPr>
        <w:t xml:space="preserve">Switzerland </w:t>
      </w:r>
      <w:r w:rsidR="00B14648" w:rsidRPr="00B14648">
        <w:rPr>
          <w:lang w:val="en-US"/>
        </w:rPr>
        <w:lastRenderedPageBreak/>
        <w:t>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informations</w:t>
      </w:r>
      <w:r w:rsidR="00B14648" w:rsidRPr="00B14648">
        <w:rPr>
          <w:lang w:val="en-US"/>
        </w:rPr>
        <w:t xml:space="preserve">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92879" w:rsidRPr="008E19F9">
        <w:rPr>
          <w:noProof/>
          <w:lang w:val="en-US" w:eastAsia="de-CH"/>
        </w:rPr>
        <w:t xml:space="preserve"> </w:t>
      </w:r>
      <w:r>
        <w:rPr>
          <w:noProof/>
          <w:lang w:val="en-US"/>
        </w:rPr>
        <w:drawing>
          <wp:inline distT="0" distB="0" distL="0" distR="0" wp14:anchorId="6019ECC0" wp14:editId="17F30B76">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45DDA2" w14:textId="18C9365F" w:rsidR="005E7BD6" w:rsidRPr="005E7BD6" w:rsidRDefault="00616B27" w:rsidP="005E7BD6">
      <w:pPr>
        <w:pStyle w:val="Caption"/>
        <w:rPr>
          <w:sz w:val="24"/>
          <w:szCs w:val="24"/>
          <w:lang w:val="en-US"/>
        </w:rPr>
      </w:pPr>
      <w:bookmarkStart w:id="24" w:name="_Ref406511415"/>
      <w:bookmarkStart w:id="25"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24"/>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25"/>
    </w:p>
    <w:p w14:paraId="3F539B9A" w14:textId="5C0B22F8"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w:t>
      </w:r>
      <w:r w:rsidR="003B431B">
        <w:rPr>
          <w:lang w:val="en-US"/>
        </w:rPr>
        <w:t xml:space="preserve">did </w:t>
      </w:r>
      <w:r w:rsidR="001119D4">
        <w:rPr>
          <w:lang w:val="en-US"/>
        </w:rPr>
        <w:t>raise.</w:t>
      </w:r>
      <w:r w:rsidRPr="00B14648">
        <w:rPr>
          <w:lang w:val="en-US"/>
        </w:rPr>
        <w:t xml:space="preserve"> </w:t>
      </w:r>
      <w:r w:rsidR="001119D4">
        <w:rPr>
          <w:lang w:val="en-US"/>
        </w:rPr>
        <w:t>T</w:t>
      </w:r>
      <w:r w:rsidRPr="00B14648">
        <w:rPr>
          <w:lang w:val="en-US"/>
        </w:rPr>
        <w:t xml:space="preserve">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3C0AF236"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is rising. </w:t>
      </w:r>
      <w:r w:rsidR="00860C48">
        <w:rPr>
          <w:lang w:val="en-US"/>
        </w:rPr>
        <w:t xml:space="preserve">Differences </w:t>
      </w:r>
      <w:r w:rsidR="00860C48" w:rsidRPr="00B14648">
        <w:rPr>
          <w:lang w:val="en-US"/>
        </w:rPr>
        <w:t>can be explained with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Following Leigh (2007:600) “top income shares are far from perfect as a measure of distribution of income across </w:t>
      </w:r>
      <w:r w:rsidR="00126FF4">
        <w:rPr>
          <w:lang w:val="en-US"/>
        </w:rPr>
        <w:t>society</w:t>
      </w:r>
      <w:r w:rsidR="00FA3485">
        <w:rPr>
          <w:lang w:val="en-US"/>
        </w:rPr>
        <w:t xml:space="preserve">”, although he finds a strong positive correlation with other inequality measures. </w:t>
      </w:r>
      <w:r w:rsidR="000F66A6" w:rsidRPr="00B14648">
        <w:rPr>
          <w:lang w:val="en-US"/>
        </w:rPr>
        <w:t>Third, different income concepts were used.</w:t>
      </w:r>
      <w:r w:rsidR="00126FF4">
        <w:rPr>
          <w:lang w:val="en-US"/>
        </w:rPr>
        <w:t xml:space="preserve"> The top income studies work with taxable incomes while the surveys rely on </w:t>
      </w:r>
      <w:r w:rsidR="00126FF4">
        <w:rPr>
          <w:lang w:val="en-US"/>
        </w:rPr>
        <w:lastRenderedPageBreak/>
        <w:t>disposable income.</w:t>
      </w:r>
      <w:r w:rsidR="000F66A6" w:rsidRPr="00B14648">
        <w:rPr>
          <w:lang w:val="en-US"/>
        </w:rPr>
        <w:t xml:space="preserve"> As it is shown by Modetta and Müller (2012) income distribution </w:t>
      </w:r>
      <w:r w:rsidR="00126FF4">
        <w:rPr>
          <w:lang w:val="en-US"/>
        </w:rPr>
        <w:t>can</w:t>
      </w:r>
      <w:r w:rsidR="000F66A6" w:rsidRPr="00B14648">
        <w:rPr>
          <w:lang w:val="en-US"/>
        </w:rPr>
        <w:t xml:space="preserve"> strongly </w:t>
      </w:r>
      <w:r w:rsidR="00126FF4">
        <w:rPr>
          <w:lang w:val="en-US"/>
        </w:rPr>
        <w:t xml:space="preserve">be </w:t>
      </w:r>
      <w:r w:rsidR="000F66A6" w:rsidRPr="00B14648">
        <w:rPr>
          <w:lang w:val="en-US"/>
        </w:rPr>
        <w:t>affected by governmental redistribution through social transfers and taxes, red</w:t>
      </w:r>
      <w:r w:rsidR="001119D4">
        <w:rPr>
          <w:lang w:val="en-US"/>
        </w:rPr>
        <w:t>ucing inequality substantially.</w:t>
      </w:r>
      <w:r w:rsidR="00126FF4">
        <w:rPr>
          <w:lang w:val="en-US"/>
        </w:rPr>
        <w:t xml:space="preserve"> </w:t>
      </w:r>
      <w:r w:rsidR="001119D4">
        <w:rPr>
          <w:lang w:val="en-US"/>
        </w:rPr>
        <w:t>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Heading1"/>
        <w:rPr>
          <w:lang w:val="en-US"/>
        </w:rPr>
      </w:pPr>
      <w:bookmarkStart w:id="26" w:name="_Toc406505792"/>
      <w:r w:rsidRPr="00B14648">
        <w:rPr>
          <w:lang w:val="en-US"/>
        </w:rPr>
        <w:t>Assessing income inequality trend</w:t>
      </w:r>
      <w:r w:rsidR="00341DAB">
        <w:rPr>
          <w:lang w:val="en-US"/>
        </w:rPr>
        <w:t>s</w:t>
      </w:r>
      <w:r w:rsidRPr="00B14648">
        <w:rPr>
          <w:lang w:val="en-US"/>
        </w:rPr>
        <w:t xml:space="preserve"> with tax data for Switzerland</w:t>
      </w:r>
      <w:bookmarkEnd w:id="26"/>
    </w:p>
    <w:p w14:paraId="1B2BAD3F" w14:textId="62F7654B"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w:t>
      </w:r>
      <w:r w:rsidR="001119D4">
        <w:rPr>
          <w:lang w:val="en-US"/>
        </w:rPr>
        <w:t xml:space="preserve"> substantial</w:t>
      </w:r>
      <w:r>
        <w:rPr>
          <w:lang w:val="en-US"/>
        </w:rPr>
        <w:t xml:space="preserve">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1119D4">
        <w:rPr>
          <w:lang w:val="en-US"/>
        </w:rPr>
        <w:t xml:space="preserve"> units and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this we show which issues are relevant when working with tax data in more general perspective and</w:t>
      </w:r>
      <w:r w:rsidR="00887475">
        <w:rPr>
          <w:lang w:val="en-US"/>
        </w:rPr>
        <w:t xml:space="preserve"> in the same time </w:t>
      </w:r>
      <w:r w:rsidR="00126FF4">
        <w:rPr>
          <w:lang w:val="en-US"/>
        </w:rPr>
        <w:t xml:space="preserve">we try to </w:t>
      </w:r>
      <w:r w:rsidR="00887475">
        <w:rPr>
          <w:lang w:val="en-US"/>
        </w:rPr>
        <w:t xml:space="preserve">shed </w:t>
      </w:r>
      <w:r w:rsidR="001119D4">
        <w:rPr>
          <w:lang w:val="en-US"/>
        </w:rPr>
        <w:t xml:space="preserve">more </w:t>
      </w:r>
      <w:r w:rsidR="00887475">
        <w:rPr>
          <w:lang w:val="en-US"/>
        </w:rPr>
        <w:t>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w:t>
      </w:r>
      <w:r w:rsidR="001119D4">
        <w:rPr>
          <w:lang w:val="en-US"/>
        </w:rPr>
        <w:t>tests prestented</w:t>
      </w:r>
      <w:r w:rsidR="00C92257">
        <w:rPr>
          <w:lang w:val="en-US"/>
        </w:rPr>
        <w:t xml:space="preserve">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26DDD269"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1226A2EB" w:rsidR="00F06E77" w:rsidRPr="000E2F6C" w:rsidRDefault="00763E00" w:rsidP="00763E00">
      <w:pPr>
        <w:pStyle w:val="Caption"/>
        <w:rPr>
          <w:sz w:val="24"/>
          <w:szCs w:val="24"/>
          <w:lang w:val="en-US"/>
        </w:rPr>
      </w:pPr>
      <w:bookmarkStart w:id="27" w:name="_Ref406507901"/>
      <w:bookmarkStart w:id="28" w:name="_Ref406507897"/>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2</w:t>
      </w:r>
      <w:r w:rsidRPr="00763E00">
        <w:rPr>
          <w:sz w:val="24"/>
          <w:szCs w:val="24"/>
          <w:lang w:val="en-US"/>
        </w:rPr>
        <w:fldChar w:fldCharType="end"/>
      </w:r>
      <w:bookmarkEnd w:id="27"/>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bookmarkEnd w:id="28"/>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BD6E58"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BD6E58"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BD6E58"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BD6E58"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05F24F50"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r w:rsidR="00C77373">
              <w:rPr>
                <w:rFonts w:eastAsia="Times New Roman"/>
                <w:color w:val="000000"/>
                <w:szCs w:val="19"/>
                <w:lang w:val="en-US"/>
              </w:rPr>
              <w:t xml:space="preserve"> (own calculation)</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BD6E58"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BD6E58"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BD6E58"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BD6E58"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29" w:name="_Toc406505793"/>
      <w:r w:rsidRPr="00154023">
        <w:rPr>
          <w:lang w:val="en-US"/>
        </w:rPr>
        <w:t>Defining Economic resources</w:t>
      </w:r>
      <w:bookmarkEnd w:id="29"/>
    </w:p>
    <w:p w14:paraId="6B13BC32" w14:textId="6D20898C"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Pr="00154023">
        <w:rPr>
          <w:lang w:val="en-US"/>
        </w:rPr>
        <w:lastRenderedPageBreak/>
        <w:t>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w:t>
      </w:r>
      <w:r w:rsidR="009E3507">
        <w:rPr>
          <w:lang w:val="en-US"/>
        </w:rPr>
        <w:t>Additionally</w:t>
      </w:r>
      <w:r w:rsidRPr="00154023">
        <w:rPr>
          <w:lang w:val="en-US"/>
        </w:rPr>
        <w:t xml:space="preserve"> measures </w:t>
      </w:r>
      <w:r w:rsidR="009E3507">
        <w:rPr>
          <w:lang w:val="en-US"/>
        </w:rPr>
        <w:t>on</w:t>
      </w:r>
      <w:r w:rsidRPr="00154023">
        <w:rPr>
          <w:lang w:val="en-US"/>
        </w:rPr>
        <w:t xml:space="preserve"> consumption are missing in tax data</w:t>
      </w:r>
      <w:r w:rsidR="009E3507">
        <w:rPr>
          <w:lang w:val="en-US"/>
        </w:rPr>
        <w:t>. B</w:t>
      </w:r>
      <w:r w:rsidR="00AD73C6">
        <w:rPr>
          <w:lang w:val="en-US"/>
        </w:rPr>
        <w:t xml:space="preserve">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30" w:name="_Ref404961105"/>
      <w:bookmarkStart w:id="31" w:name="_Toc406505794"/>
      <w:r>
        <w:rPr>
          <w:i/>
          <w:lang w:val="en-US"/>
        </w:rPr>
        <w:t>Income definitions within tax data</w:t>
      </w:r>
      <w:bookmarkEnd w:id="30"/>
      <w:bookmarkEnd w:id="31"/>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6"/>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7"/>
      </w:r>
    </w:p>
    <w:p w14:paraId="3B6F4962" w14:textId="2133DB54"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1449C16A"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6162040A"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Then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Heading3"/>
        <w:rPr>
          <w:i/>
          <w:lang w:val="en-US"/>
        </w:rPr>
      </w:pPr>
      <w:bookmarkStart w:id="32" w:name="_Ref404961181"/>
      <w:bookmarkStart w:id="33" w:name="_Toc406505795"/>
      <w:r>
        <w:rPr>
          <w:i/>
          <w:lang w:val="en-US"/>
        </w:rPr>
        <w:t xml:space="preserve">Using </w:t>
      </w:r>
      <w:r w:rsidR="0040615D" w:rsidRPr="0040615D">
        <w:rPr>
          <w:i/>
          <w:lang w:val="en-US"/>
        </w:rPr>
        <w:t>Income corrected with an equivalence scale based on tax information</w:t>
      </w:r>
      <w:bookmarkEnd w:id="32"/>
      <w:bookmarkEnd w:id="33"/>
    </w:p>
    <w:p w14:paraId="42C46ED0" w14:textId="216C4AAE"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w:t>
      </w:r>
      <w:r w:rsidR="007B5DDD">
        <w:rPr>
          <w:lang w:val="en-US"/>
        </w:rPr>
        <w:lastRenderedPageBreak/>
        <w:t>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6E4B8970"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9E3507">
        <w:rPr>
          <w:lang w:val="en-US"/>
        </w:rPr>
        <w:t>scale</w:t>
      </w:r>
      <w:r w:rsidRPr="003B2B0A">
        <w:rPr>
          <w:lang w:val="en-US"/>
        </w:rPr>
        <w:t xml:space="preserve"> has </w:t>
      </w:r>
      <w:r w:rsidR="009E3507">
        <w:rPr>
          <w:lang w:val="en-US"/>
        </w:rPr>
        <w:t>already 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val="en-US"/>
        </w:rPr>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34"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34"/>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35" w:name="_Ref399518083"/>
      <w:bookmarkStart w:id="36" w:name="_Toc406505796"/>
      <w:r w:rsidRPr="00154023">
        <w:rPr>
          <w:lang w:val="en-US"/>
        </w:rPr>
        <w:t>Measuring inequality</w:t>
      </w:r>
      <w:bookmarkEnd w:id="35"/>
      <w:bookmarkEnd w:id="36"/>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37" w:name="_Ref405912025"/>
      <w:bookmarkStart w:id="38" w:name="_Toc406505797"/>
      <w:r w:rsidRPr="00E90501">
        <w:rPr>
          <w:i/>
          <w:lang w:val="en-US"/>
        </w:rPr>
        <w:lastRenderedPageBreak/>
        <w:t>Change over time: difference between one population measures</w:t>
      </w:r>
      <w:bookmarkEnd w:id="37"/>
      <w:bookmarkEnd w:id="38"/>
    </w:p>
    <w:p w14:paraId="5765C286" w14:textId="675CA33D"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BD6E58"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of </w:t>
      </w:r>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parameter </w:t>
      </w:r>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BD6E58"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982689C"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xml:space="preserve">, but it’s value lies in the interval [0, log(n)], where 0 equals a </w:t>
      </w:r>
      <w:r w:rsidR="009E3507">
        <w:rPr>
          <w:lang w:val="en-US"/>
        </w:rPr>
        <w:t>complete</w:t>
      </w:r>
      <w:r w:rsidR="00255FA6">
        <w:rPr>
          <w:lang w:val="en-US"/>
        </w:rPr>
        <w:t xml:space="preserve"> even distribution and log(n)</w:t>
      </w:r>
      <w:r w:rsidR="009E3507">
        <w:rPr>
          <w:lang w:val="en-US"/>
        </w:rPr>
        <w:t xml:space="preserve"> equals</w:t>
      </w:r>
      <w:r w:rsidR="00255FA6">
        <w:rPr>
          <w:lang w:val="en-US"/>
        </w:rPr>
        <w:t xml:space="preserve">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19014000"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(GE(</w:t>
      </w:r>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because we don’t want to focus on the extremes. Cowell and Fla</w:t>
      </w:r>
      <w:r w:rsidR="00D60A04">
        <w:rPr>
          <w:lang w:val="en-US"/>
        </w:rPr>
        <w:t xml:space="preserve">chair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52FB4BB4"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w:t>
      </w:r>
      <w:r w:rsidR="00912ED7">
        <w:rPr>
          <w:lang w:val="en-US"/>
        </w:rPr>
        <w:t xml:space="preserve"> anymore</w:t>
      </w:r>
      <w:r>
        <w:rPr>
          <w:lang w:val="en-US"/>
        </w:rPr>
        <w:t xml:space="preserve">, but </w:t>
      </w:r>
      <w:r w:rsidR="004A6F24">
        <w:rPr>
          <w:lang w:val="en-US"/>
        </w:rPr>
        <w:t>changes over time are</w:t>
      </w:r>
      <w:r>
        <w:rPr>
          <w:lang w:val="en-US"/>
        </w:rPr>
        <w:t xml:space="preserve"> comparable between each </w:t>
      </w:r>
      <w:r w:rsidR="00912ED7">
        <w:rPr>
          <w:lang w:val="en-US"/>
        </w:rPr>
        <w:t>series</w:t>
      </w:r>
      <w:r>
        <w:rPr>
          <w:lang w:val="en-US"/>
        </w:rPr>
        <w:t>.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Heading3"/>
        <w:rPr>
          <w:i/>
          <w:lang w:val="en-US"/>
        </w:rPr>
      </w:pPr>
      <w:bookmarkStart w:id="39" w:name="_Ref405912071"/>
      <w:bookmarkStart w:id="40" w:name="_Toc406505798"/>
      <w:r w:rsidRPr="00E90501">
        <w:rPr>
          <w:i/>
          <w:lang w:val="en-US"/>
        </w:rPr>
        <w:lastRenderedPageBreak/>
        <w:t xml:space="preserve">Change over time: </w:t>
      </w:r>
      <w:r>
        <w:rPr>
          <w:i/>
          <w:lang w:val="en-US"/>
        </w:rPr>
        <w:t>One population measures vs relative distribution</w:t>
      </w:r>
      <w:bookmarkEnd w:id="39"/>
      <w:bookmarkEnd w:id="40"/>
    </w:p>
    <w:p w14:paraId="394641CA" w14:textId="0E0D7D69"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953A3D">
        <w:rPr>
          <w:lang w:val="en-US"/>
        </w:rPr>
        <w:t xml:space="preserve"> </w:t>
      </w:r>
      <w:r w:rsidR="00AC0437">
        <w:rPr>
          <w:lang w:val="en-US"/>
        </w:rPr>
        <w:t>)</w:t>
      </w:r>
      <w:r w:rsidR="00542029">
        <w:rPr>
          <w:rStyle w:val="FootnoteReference"/>
          <w:lang w:val="en-US"/>
        </w:rPr>
        <w:footnoteReference w:id="11"/>
      </w:r>
      <w:r w:rsidR="00AC0437">
        <w:rPr>
          <w:lang w:val="en-US"/>
        </w:rPr>
        <w:t>.</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535D77"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w:t>
      </w:r>
      <w:r w:rsidR="00471BDB">
        <w:rPr>
          <w:lang w:val="en-US"/>
        </w:rPr>
        <w:t>distribution</w:t>
      </w:r>
      <w:r w:rsidR="00154023" w:rsidRPr="00154023">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471BDB">
        <w:rPr>
          <w:lang w:val="en-US"/>
        </w:rPr>
        <w:t xml:space="preserve">distribution </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is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1906599D"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decile</w:t>
      </w:r>
      <w:r w:rsidR="0079014F">
        <w:rPr>
          <w:lang w:val="en-US"/>
        </w:rPr>
        <w:t>s.</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w:t>
      </w:r>
      <w:r w:rsidR="00154023" w:rsidRPr="00154023">
        <w:rPr>
          <w:lang w:val="en-US"/>
        </w:rPr>
        <w:lastRenderedPageBreak/>
        <w:t>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w:t>
      </w:r>
      <w:r w:rsidR="00B04FEA">
        <w:rPr>
          <w:lang w:val="en-US"/>
        </w:rPr>
        <w:t xml:space="preserve"> described polarization indices and get following figures:</w:t>
      </w:r>
      <w:r w:rsidR="00BD6DED">
        <w:rPr>
          <w:lang w:val="en-US"/>
        </w:rPr>
        <w:t xml:space="preserve">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42" w:name="_Ref406511075"/>
      <w:bookmarkStart w:id="43"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42"/>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43"/>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44" w:name="_Toc406505799"/>
      <w:r w:rsidRPr="00154023">
        <w:rPr>
          <w:lang w:val="en-US"/>
        </w:rPr>
        <w:t>Statistical units</w:t>
      </w:r>
      <w:bookmarkEnd w:id="44"/>
    </w:p>
    <w:p w14:paraId="7DE741DD" w14:textId="28A9E6E4"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w:t>
      </w:r>
      <w:r w:rsidRPr="00154023">
        <w:rPr>
          <w:lang w:val="en-US"/>
        </w:rPr>
        <w:lastRenderedPageBreak/>
        <w:t>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43DB6B33"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w:t>
      </w:r>
      <w:r w:rsidR="00B04FEA">
        <w:rPr>
          <w:lang w:val="en-US"/>
        </w:rPr>
        <w:t>tp</w:t>
      </w:r>
      <w:r w:rsidR="00F6130E">
        <w:rPr>
          <w:lang w:val="en-US"/>
        </w:rPr>
        <w:t xml:space="preserve"> </w:t>
      </w:r>
      <w:r>
        <w:rPr>
          <w:lang w:val="en-US"/>
        </w:rPr>
        <w:t xml:space="preserve">construct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460895BB"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6E3400">
        <w:rPr>
          <w:lang w:val="en-US"/>
        </w:rPr>
        <w:t>66</w:t>
      </w:r>
      <w:r>
        <w:rPr>
          <w:lang w:val="en-US"/>
        </w:rPr>
        <w:t>.</w:t>
      </w:r>
      <w:r w:rsidR="006E3400">
        <w:rPr>
          <w:lang w:val="en-US"/>
        </w:rPr>
        <w:t>1</w:t>
      </w:r>
      <w:r>
        <w:rPr>
          <w:lang w:val="en-US"/>
        </w:rPr>
        <w:t xml:space="preserve">% are taxed as single person tax units, while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When we switch from tax units to households, the share of person effectively living alone decreases drastically. </w:t>
      </w:r>
      <w:r w:rsidR="00D05B64">
        <w:rPr>
          <w:lang w:val="en-US"/>
        </w:rPr>
        <w:t>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45" w:name="_Toc406505800"/>
      <w:bookmarkStart w:id="46" w:name="_Ref408579088"/>
      <w:r w:rsidRPr="006C3A86">
        <w:rPr>
          <w:lang w:val="en-US"/>
        </w:rPr>
        <w:t>Coverage issues</w:t>
      </w:r>
      <w:bookmarkEnd w:id="45"/>
      <w:bookmarkEnd w:id="46"/>
    </w:p>
    <w:p w14:paraId="10889638" w14:textId="444FD628"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w:t>
      </w:r>
      <w:r w:rsidR="00154023" w:rsidRPr="00154023">
        <w:rPr>
          <w:lang w:val="en-US"/>
        </w:rPr>
        <w:lastRenderedPageBreak/>
        <w:t>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6864E7B8"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76F45C9C" w:rsidR="00236B84" w:rsidRPr="005E7BD6" w:rsidRDefault="00A40C08" w:rsidP="005E7BD6">
      <w:pPr>
        <w:pStyle w:val="Heading3"/>
        <w:rPr>
          <w:i/>
          <w:lang w:val="en-US"/>
        </w:rPr>
      </w:pPr>
      <w:bookmarkStart w:id="47" w:name="_Toc406505801"/>
      <w:r>
        <w:rPr>
          <w:i/>
          <w:lang w:val="en-US"/>
        </w:rPr>
        <w:t>Superior</w:t>
      </w:r>
      <w:r w:rsidR="00902D03">
        <w:rPr>
          <w:i/>
          <w:lang w:val="en-US"/>
        </w:rPr>
        <w:t xml:space="preserve"> coverage with tax data than with survey data</w:t>
      </w:r>
      <w:bookmarkEnd w:id="47"/>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4CEB551C"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w:t>
      </w:r>
      <w:r w:rsidR="00132181">
        <w:rPr>
          <w:lang w:val="en-US"/>
        </w:rPr>
        <w:t xml:space="preserve"> </w:t>
      </w:r>
      <w:r w:rsidR="000C7DD6">
        <w:rPr>
          <w:lang w:val="en-US"/>
        </w:rPr>
        <w:t>”</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 xml:space="preserve">But </w:t>
      </w:r>
      <w:r w:rsidR="00B04FEA">
        <w:rPr>
          <w:lang w:val="en-US"/>
        </w:rPr>
        <w:t>this</w:t>
      </w:r>
      <w:r w:rsidR="00F44D4C">
        <w:rPr>
          <w:lang w:val="en-US"/>
        </w:rPr>
        <w:t xml:space="preserv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w:t>
      </w:r>
      <w:r w:rsidR="000C7DD6">
        <w:rPr>
          <w:lang w:val="en-US"/>
        </w:rPr>
        <w:lastRenderedPageBreak/>
        <w:t xml:space="preserve">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Heading3"/>
        <w:rPr>
          <w:i/>
          <w:lang w:val="en-US"/>
        </w:rPr>
      </w:pPr>
      <w:r w:rsidRPr="008E2F97">
        <w:rPr>
          <w:i/>
          <w:lang w:val="en-US"/>
        </w:rPr>
        <w:t xml:space="preserve"> </w:t>
      </w:r>
      <w:bookmarkStart w:id="48" w:name="_Toc406505802"/>
      <w:r>
        <w:rPr>
          <w:i/>
          <w:lang w:val="en-US"/>
        </w:rPr>
        <w:t>Influence of special tax subjects</w:t>
      </w:r>
      <w:bookmarkEnd w:id="48"/>
    </w:p>
    <w:p w14:paraId="7BF7B66A" w14:textId="42F594B9" w:rsidR="00497AAC" w:rsidRDefault="00881D6F" w:rsidP="000B1BAB">
      <w:pPr>
        <w:rPr>
          <w:lang w:val="en-US"/>
        </w:rPr>
      </w:pPr>
      <w:r>
        <w:rPr>
          <w:lang w:val="en-US"/>
        </w:rPr>
        <w:t>Tax statistics</w:t>
      </w:r>
      <w:r w:rsidR="00497AAC" w:rsidRPr="00497AAC">
        <w:rPr>
          <w:lang w:val="en-US"/>
        </w:rPr>
        <w:t xml:space="preserve"> distinguishes </w:t>
      </w:r>
      <w:r w:rsidR="00D8426B">
        <w:rPr>
          <w:lang w:val="en-US"/>
        </w:rPr>
        <w:t xml:space="preserve">between </w:t>
      </w:r>
      <w:r w:rsidR="00497AAC" w:rsidRPr="00497AAC">
        <w:rPr>
          <w:lang w:val="en-US"/>
        </w:rPr>
        <w:t xml:space="preserve">normal </w:t>
      </w:r>
      <w:r w:rsidR="00F44D4C">
        <w:rPr>
          <w:lang w:val="en-US"/>
        </w:rPr>
        <w:t>and</w:t>
      </w:r>
      <w:r w:rsidR="00F44D4C" w:rsidRPr="00497AAC">
        <w:rPr>
          <w:lang w:val="en-US"/>
        </w:rPr>
        <w:t xml:space="preserve"> </w:t>
      </w:r>
      <w:r w:rsidR="00497AAC" w:rsidRPr="00497AAC">
        <w:rPr>
          <w:lang w:val="en-US"/>
        </w:rPr>
        <w:t xml:space="preserve">special cases. To test </w:t>
      </w:r>
      <w:r w:rsidR="00676EE6">
        <w:rPr>
          <w:lang w:val="en-US"/>
        </w:rPr>
        <w:t xml:space="preserve">the </w:t>
      </w:r>
      <w:r w:rsidR="00B04FEA">
        <w:rPr>
          <w:lang w:val="en-US"/>
        </w:rPr>
        <w:t xml:space="preserve">influence of the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00497AAC" w:rsidRPr="00497AAC">
        <w:rPr>
          <w:lang w:val="en-US"/>
        </w:rPr>
        <w:t xml:space="preserve"> does 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0E6282B4" w14:textId="3B7A31EE" w:rsidR="00F1209C" w:rsidRPr="00F1209C" w:rsidRDefault="00497AAC" w:rsidP="00F1209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B04FEA">
        <w:rPr>
          <w:lang w:val="en-US"/>
        </w:rPr>
        <w:t>on</w:t>
      </w:r>
      <w:r w:rsidR="008F4037">
        <w:rPr>
          <w:lang w:val="en-US"/>
        </w:rPr>
        <w:t xml:space="preserve">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xml:space="preserve">). </w:t>
      </w:r>
      <w:r w:rsidR="00835FA1">
        <w:rPr>
          <w:lang w:val="en-US"/>
        </w:rPr>
        <w:t>Put simply: the population of special cases 1993/94 hold considerably more tax units with low incomes than does the population of normal cases</w:t>
      </w:r>
      <w:r w:rsidRPr="00497AAC">
        <w:rPr>
          <w:lang w:val="en-US"/>
        </w:rPr>
        <w:t>.  201</w:t>
      </w:r>
      <w:r w:rsidR="004A6F24">
        <w:rPr>
          <w:lang w:val="en-US"/>
        </w:rPr>
        <w:t>1</w:t>
      </w:r>
      <w:r w:rsidRPr="00497AAC">
        <w:rPr>
          <w:lang w:val="en-US"/>
        </w:rPr>
        <w:t xml:space="preserve"> the picture is similar</w:t>
      </w:r>
      <w:r w:rsidR="00D04316">
        <w:rPr>
          <w:lang w:val="en-US"/>
        </w:rPr>
        <w:t>:</w:t>
      </w:r>
      <w:r w:rsidRPr="00497AAC">
        <w:rPr>
          <w:lang w:val="en-US"/>
        </w:rPr>
        <w:t xml:space="preserve"> Special cases appear more frequent around the lower percentiles of the pooled distribution, however 201</w:t>
      </w:r>
      <w:r w:rsidR="004A6F24">
        <w:rPr>
          <w:lang w:val="en-US"/>
        </w:rPr>
        <w:t>1</w:t>
      </w:r>
      <w:r w:rsidRPr="00497AAC">
        <w:rPr>
          <w:lang w:val="en-US"/>
        </w:rPr>
        <w:t xml:space="preserve"> is a more noteworthy effect 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r w:rsidR="00980148" w:rsidRPr="00DD5282">
        <w:rPr>
          <w:lang w:val="en-US"/>
        </w:rPr>
        <w:t>Figure 4</w:t>
      </w:r>
      <w:r w:rsidR="00980148">
        <w:rPr>
          <w:lang w:val="en-US"/>
        </w:rPr>
        <w:fldChar w:fldCharType="end"/>
      </w:r>
      <w:r w:rsidR="00980148">
        <w:rPr>
          <w:lang w:val="en-US"/>
        </w:rPr>
        <w:t xml:space="preserve"> top right)</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 xml:space="preserve">we can attribute this effect to the top percentiles. </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are </w:t>
      </w:r>
      <w:r w:rsidR="00676EE6">
        <w:rPr>
          <w:lang w:val="en-US"/>
        </w:rPr>
        <w:t xml:space="preserve">individuals who are taxed according to expenditures. More precise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They therefore occur 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r w:rsidR="007720EF" w:rsidRPr="00D8426B">
        <w:rPr>
          <w:lang w:val="en-US"/>
        </w:rPr>
        <w:t>Table 3</w:t>
      </w:r>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gives credibility to the thesis that rich immigrants lead to an increase </w:t>
      </w:r>
      <w:r w:rsidR="00D8426B">
        <w:rPr>
          <w:lang w:val="en-US"/>
        </w:rPr>
        <w:t>of inequality in recent years.</w:t>
      </w:r>
      <w:r w:rsidR="00F1209C">
        <w:rPr>
          <w:lang w:val="en-US"/>
        </w:rPr>
        <w:t xml:space="preserve"> Inequality is also increased with foreign country activity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Common are individuals who moved to or departed from Switzerland and therefore are not liable to taxation for a whole year.</w:t>
      </w:r>
      <w:r w:rsidR="00C26CB0">
        <w:rPr>
          <w:lang w:val="en-US"/>
        </w:rPr>
        <w:t xml:space="preserve"> Their income in Switzerland gets extrapolated to a 12 month income. Therefore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 xml:space="preserve">Lastly foreigners are liable to taxes if they own businesses </w:t>
      </w:r>
    </w:p>
    <w:p w14:paraId="16720A43" w14:textId="6B6D6839" w:rsidR="00F1209C" w:rsidRDefault="00F1209C" w:rsidP="00881D6F">
      <w:pPr>
        <w:rPr>
          <w:lang w:val="en-US"/>
        </w:rPr>
      </w:pPr>
      <w:r w:rsidRPr="00F1209C">
        <w:rPr>
          <w:lang w:val="en-US"/>
        </w:rPr>
        <w:t>establishments</w:t>
      </w:r>
      <w:r>
        <w:rPr>
          <w:lang w:val="en-US"/>
        </w:rPr>
        <w:t xml:space="preserve"> or property</w:t>
      </w:r>
      <w:r w:rsidR="00C26CB0">
        <w:rPr>
          <w:lang w:val="en-US"/>
        </w:rPr>
        <w:t xml:space="preserve"> </w:t>
      </w:r>
      <w:r>
        <w:rPr>
          <w:lang w:val="en-US"/>
        </w:rPr>
        <w:t>in Switzerland. Because these persons only have</w:t>
      </w:r>
      <w:r w:rsidR="00881D6F">
        <w:rPr>
          <w:lang w:val="en-US"/>
        </w:rPr>
        <w:t xml:space="preserve"> to</w:t>
      </w:r>
      <w:r>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49" w:name="_Ref408824189"/>
      <w:bookmarkStart w:id="50"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Pr="008D0864">
        <w:rPr>
          <w:sz w:val="24"/>
          <w:szCs w:val="24"/>
          <w:lang w:val="en-US"/>
        </w:rPr>
        <w:t>3</w:t>
      </w:r>
      <w:r w:rsidRPr="008D0864">
        <w:rPr>
          <w:sz w:val="24"/>
          <w:szCs w:val="24"/>
          <w:lang w:val="en-US"/>
        </w:rPr>
        <w:fldChar w:fldCharType="end"/>
      </w:r>
      <w:bookmarkEnd w:id="49"/>
      <w:r>
        <w:rPr>
          <w:sz w:val="24"/>
          <w:szCs w:val="24"/>
          <w:lang w:val="en-US"/>
        </w:rPr>
        <w:t>: Numbers of taxed normal and special cases 1993/1994 and 2011</w:t>
      </w:r>
      <w:bookmarkEnd w:id="50"/>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2FE0A705" w:rsidR="00881D6F" w:rsidRDefault="00F216BD" w:rsidP="00F216BD">
      <w:pPr>
        <w:rPr>
          <w:lang w:val="en-US"/>
        </w:rPr>
      </w:pPr>
      <w:r>
        <w:rPr>
          <w:lang w:val="en-US"/>
        </w:rPr>
        <w:t xml:space="preserve">All in all, special cases are </w:t>
      </w:r>
      <w:r w:rsidR="004710F6">
        <w:rPr>
          <w:lang w:val="en-US"/>
        </w:rPr>
        <w:t xml:space="preserve">natives and foreigners, who’s are related to a </w:t>
      </w:r>
      <w:r>
        <w:rPr>
          <w:lang w:val="en-US"/>
        </w:rPr>
        <w:t>foreign country but are nonetheless part of Swiss society.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77777777" w:rsidR="00881D6F" w:rsidRPr="00F216BD" w:rsidRDefault="00881D6F" w:rsidP="00881D6F">
      <w:pPr>
        <w:rPr>
          <w:lang w:val="en-US"/>
        </w:rPr>
      </w:pPr>
      <w:r>
        <w:rPr>
          <w:lang w:val="en-US"/>
        </w:rPr>
        <w:lastRenderedPageBreak/>
        <w:t xml:space="preserve">To be clear it has to be mentioned that individuals who are taxed at source are not covered in the tax statistics. These includes migrants, who are liable to taxes in Switzerland but who did not yet receive </w:t>
      </w:r>
    </w:p>
    <w:p w14:paraId="1380D35F" w14:textId="4D98D556" w:rsidR="00881D6F" w:rsidRDefault="00881D6F" w:rsidP="00881D6F">
      <w:pPr>
        <w:rPr>
          <w:lang w:val="en-US"/>
        </w:rPr>
      </w:pPr>
      <w:r>
        <w:rPr>
          <w:lang w:val="en-US"/>
        </w:rPr>
        <w:t>a r</w:t>
      </w:r>
      <w:r w:rsidRPr="00F216BD">
        <w:rPr>
          <w:lang w:val="en-US"/>
        </w:rPr>
        <w:t>esidence permit</w:t>
      </w:r>
      <w:r w:rsidR="004710F6">
        <w:rPr>
          <w:lang w:val="en-US"/>
        </w:rPr>
        <w:t xml:space="preserve"> yet</w:t>
      </w:r>
      <w:r>
        <w:rPr>
          <w:lang w:val="en-US"/>
        </w:rPr>
        <w:t xml:space="preserve">. As this is a very common case and these individuals often stay several years in Switzerland and probably have very diverse incomes it would be interesting to see, how their inclusion would affect the income distribution. Also taxed by source and therefore not included in the tax statistics are individuals who don’t have a permanent residence in Switzerland. This includes for 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6FE9C133" w:rsidR="00455C52" w:rsidRPr="00616B27" w:rsidRDefault="00902D03" w:rsidP="00616B27">
      <w:pPr>
        <w:pStyle w:val="Heading3"/>
        <w:rPr>
          <w:i/>
          <w:lang w:val="en-US"/>
        </w:rPr>
      </w:pPr>
      <w:bookmarkStart w:id="51" w:name="_Ref405910412"/>
      <w:bookmarkStart w:id="52" w:name="_Toc406505803"/>
      <w:r>
        <w:rPr>
          <w:i/>
          <w:lang w:val="en-US"/>
        </w:rPr>
        <w:t>Influence of non-taxed</w:t>
      </w:r>
      <w:bookmarkEnd w:id="51"/>
      <w:bookmarkEnd w:id="52"/>
    </w:p>
    <w:p w14:paraId="096F9DF3" w14:textId="2DFE1DFF"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7B3D20ED"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ootnoteReference"/>
          <w:lang w:val="en-US"/>
        </w:rPr>
        <w:footnoteReference w:id="13"/>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37E33C2" w:rsidR="006956E1" w:rsidRDefault="006956E1" w:rsidP="001232D9">
      <w:pPr>
        <w:rPr>
          <w:lang w:val="en-US"/>
        </w:rPr>
      </w:pPr>
      <w:r>
        <w:rPr>
          <w:lang w:val="en-US"/>
        </w:rPr>
        <w:t xml:space="preserve">A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statement </w:t>
      </w:r>
      <w:r w:rsidR="00876D58">
        <w:rPr>
          <w:lang w:val="en-US"/>
        </w:rPr>
        <w:t>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07B5421F"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A14ACB">
        <w:rPr>
          <w:lang w:val="en-US"/>
        </w:rPr>
        <w:t>e</w:t>
      </w:r>
      <w:r w:rsidR="006A2614">
        <w:rPr>
          <w:lang w:val="en-US"/>
        </w:rPr>
        <w:t xml:space="preserve">s </w:t>
      </w:r>
      <w:r w:rsidR="007572D8">
        <w:rPr>
          <w:lang w:val="en-US"/>
        </w:rPr>
        <w:t>based on only a small fraction of the population is appropriate.</w:t>
      </w:r>
    </w:p>
    <w:p w14:paraId="5EDE6949" w14:textId="77777777" w:rsidR="008F4037" w:rsidRDefault="008F4037" w:rsidP="001232D9">
      <w:pPr>
        <w:rPr>
          <w:lang w:val="en-US"/>
        </w:rPr>
      </w:pPr>
    </w:p>
    <w:p w14:paraId="743F023D" w14:textId="2760B1AE" w:rsidR="00497AAC" w:rsidRPr="00B36635" w:rsidRDefault="0042665B" w:rsidP="00497AAC">
      <w:pPr>
        <w:pStyle w:val="Heading1"/>
        <w:rPr>
          <w:lang w:val="en-US"/>
        </w:rPr>
      </w:pPr>
      <w:bookmarkStart w:id="53" w:name="_Toc406505804"/>
      <w:r>
        <w:rPr>
          <w:lang w:val="en-US"/>
        </w:rPr>
        <w:t xml:space="preserve">Summary and </w:t>
      </w:r>
      <w:r w:rsidR="00154023">
        <w:rPr>
          <w:lang w:val="en-US"/>
        </w:rPr>
        <w:t>Conclusion</w:t>
      </w:r>
      <w:bookmarkEnd w:id="53"/>
    </w:p>
    <w:p w14:paraId="4E5BF984" w14:textId="3D2081AA"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w:t>
      </w:r>
      <w:r w:rsidR="00887475">
        <w:rPr>
          <w:rFonts w:ascii="Lucida Sans" w:hAnsi="Lucida Sans"/>
          <w:sz w:val="19"/>
          <w:szCs w:val="19"/>
          <w:lang w:val="en-US"/>
        </w:rPr>
        <w:t xml:space="preserve">real </w:t>
      </w:r>
      <w:r w:rsidRPr="008B2031">
        <w:rPr>
          <w:rFonts w:ascii="Lucida Sans" w:hAnsi="Lucida Sans"/>
          <w:sz w:val="19"/>
          <w:szCs w:val="19"/>
          <w:lang w:val="en-US"/>
        </w:rPr>
        <w:t xml:space="preserve">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w:t>
      </w:r>
      <w:r w:rsidR="00026920">
        <w:rPr>
          <w:rFonts w:ascii="Lucida Sans" w:hAnsi="Lucida Sans"/>
          <w:sz w:val="19"/>
          <w:szCs w:val="19"/>
          <w:lang w:val="en-US"/>
        </w:rPr>
        <w:t>this</w:t>
      </w:r>
      <w:r w:rsidR="00190924">
        <w:rPr>
          <w:rFonts w:ascii="Lucida Sans" w:hAnsi="Lucida Sans"/>
          <w:sz w:val="19"/>
          <w:szCs w:val="19"/>
          <w:lang w:val="en-US"/>
        </w:rPr>
        <w:t xml:space="preserve">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887475">
        <w:rPr>
          <w:rFonts w:ascii="Lucida Sans" w:hAnsi="Lucida Sans"/>
          <w:sz w:val="19"/>
          <w:szCs w:val="19"/>
          <w:lang w:val="en-US"/>
        </w:rPr>
        <w:t>, to show how methodological issues can influence substantial conclusion</w:t>
      </w:r>
      <w:r w:rsidR="009B7C2F">
        <w:rPr>
          <w:rFonts w:ascii="Lucida Sans" w:hAnsi="Lucida Sans"/>
          <w:sz w:val="19"/>
          <w:szCs w:val="19"/>
          <w:lang w:val="en-US"/>
        </w:rPr>
        <w:t>s</w:t>
      </w:r>
      <w:r w:rsidR="00887475">
        <w:rPr>
          <w:rFonts w:ascii="Lucida Sans" w:hAnsi="Lucida Sans"/>
          <w:sz w:val="19"/>
          <w:szCs w:val="19"/>
          <w:lang w:val="en-US"/>
        </w:rPr>
        <w:t>.</w:t>
      </w:r>
    </w:p>
    <w:p w14:paraId="364C892C" w14:textId="4268B5D1" w:rsidR="007E29BC" w:rsidRDefault="007E29BC" w:rsidP="005350F7">
      <w:pPr>
        <w:pStyle w:val="Standard1"/>
        <w:rPr>
          <w:rFonts w:ascii="Lucida Sans" w:hAnsi="Lucida Sans"/>
          <w:sz w:val="19"/>
          <w:szCs w:val="19"/>
          <w:lang w:val="en-US"/>
        </w:rPr>
      </w:pPr>
      <w:r>
        <w:rPr>
          <w:rFonts w:ascii="Lucida Sans" w:hAnsi="Lucida Sans"/>
          <w:sz w:val="19"/>
          <w:szCs w:val="19"/>
          <w:lang w:val="en-US"/>
        </w:rPr>
        <w:lastRenderedPageBreak/>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 xml:space="preserve">mentioned. While the state of the art </w:t>
      </w:r>
      <w:r w:rsidR="00351473">
        <w:rPr>
          <w:rFonts w:ascii="Lucida Sans" w:hAnsi="Lucida Sans"/>
          <w:sz w:val="19"/>
          <w:szCs w:val="19"/>
          <w:lang w:val="en-US"/>
        </w:rPr>
        <w:t xml:space="preserve">concepts </w:t>
      </w:r>
      <w:r>
        <w:rPr>
          <w:rFonts w:ascii="Lucida Sans" w:hAnsi="Lucida Sans"/>
          <w:sz w:val="19"/>
          <w:szCs w:val="19"/>
          <w:lang w:val="en-US"/>
        </w:rPr>
        <w:t>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05BF6942"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ootnoteReference"/>
          <w:rFonts w:ascii="Lucida Sans" w:hAnsi="Lucida Sans"/>
          <w:sz w:val="19"/>
          <w:szCs w:val="19"/>
          <w:lang w:val="en-US"/>
        </w:rPr>
        <w:footnoteReference w:id="14"/>
      </w:r>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0A51DD53"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We don’t understand 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argue that this </w:t>
      </w:r>
      <w:r w:rsidR="00C60F23">
        <w:rPr>
          <w:rFonts w:ascii="Lucida Sans" w:hAnsi="Lucida Sans"/>
          <w:sz w:val="19"/>
          <w:szCs w:val="19"/>
          <w:lang w:val="en-US"/>
        </w:rPr>
        <w:t>difference stems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redistributional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summarum to an </w:t>
      </w:r>
      <w:r w:rsidR="00182BEB">
        <w:rPr>
          <w:rFonts w:ascii="Lucida Sans" w:hAnsi="Lucida Sans"/>
          <w:sz w:val="19"/>
          <w:szCs w:val="19"/>
          <w:lang w:val="en-US"/>
        </w:rPr>
        <w:lastRenderedPageBreak/>
        <w:t>overestimation of inequality based on taxable income. Compared to the other issues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needed to catch the effect of recent immigration of rich individuals, who get tax privileges by getting taxed according to expenses. </w:t>
      </w:r>
    </w:p>
    <w:p w14:paraId="50A5E082" w14:textId="4BE80959"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07CFAE98"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presented contradiction in regard to the current state of research concerning the income inequality trend in Switzerland?</w:t>
      </w:r>
      <w:r w:rsidR="00CE5BE4" w:rsidRPr="009C0F72">
        <w:rPr>
          <w:rFonts w:ascii="Lucida Sans" w:hAnsi="Lucida Sans"/>
          <w:sz w:val="19"/>
          <w:szCs w:val="19"/>
          <w:lang w:val="en-US"/>
        </w:rPr>
        <w:t xml:space="preserve"> Figure 5 displays the </w:t>
      </w:r>
      <w:r w:rsidR="00CE5BE4">
        <w:rPr>
          <w:rFonts w:ascii="Lucida Sans" w:hAnsi="Lucida Sans"/>
          <w:sz w:val="19"/>
          <w:szCs w:val="19"/>
          <w:lang w:val="en-US"/>
        </w:rPr>
        <w:t xml:space="preserve">longest </w:t>
      </w:r>
      <w:r w:rsidR="00005884">
        <w:rPr>
          <w:rFonts w:ascii="Lucida Sans" w:hAnsi="Lucida Sans"/>
          <w:sz w:val="19"/>
          <w:szCs w:val="19"/>
          <w:lang w:val="en-US"/>
        </w:rPr>
        <w:t>meaningful</w:t>
      </w:r>
      <w:r w:rsidR="0075707F">
        <w:rPr>
          <w:rFonts w:ascii="Lucida Sans" w:hAnsi="Lucida Sans"/>
          <w:sz w:val="19"/>
          <w:szCs w:val="19"/>
          <w:lang w:val="en-US"/>
        </w:rPr>
        <w:t xml:space="preserv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r w:rsidR="00005884">
        <w:rPr>
          <w:rStyle w:val="FootnoteReference"/>
          <w:rFonts w:ascii="Lucida Sans" w:hAnsi="Lucida Sans"/>
          <w:sz w:val="19"/>
          <w:szCs w:val="19"/>
          <w:lang w:val="en-US"/>
        </w:rPr>
        <w:footnoteReference w:id="15"/>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Caption"/>
        <w:rPr>
          <w:sz w:val="24"/>
          <w:szCs w:val="24"/>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6E1A1E90" w:rsidR="001B176D" w:rsidRDefault="00B978E7" w:rsidP="0075707F">
      <w:pPr>
        <w:pStyle w:val="Standard1"/>
        <w:rPr>
          <w:rFonts w:ascii="Lucida Sans" w:hAnsi="Lucida Sans"/>
          <w:sz w:val="19"/>
          <w:szCs w:val="19"/>
          <w:lang w:val="en-US"/>
        </w:rPr>
      </w:pPr>
      <w:r>
        <w:rPr>
          <w:rFonts w:ascii="Lucida Sans" w:hAnsi="Lucida Sans"/>
          <w:sz w:val="19"/>
          <w:szCs w:val="19"/>
          <w:lang w:val="en-US"/>
        </w:rPr>
        <w:lastRenderedPageBreak/>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2A672D">
        <w:rPr>
          <w:rFonts w:ascii="Lucida Sans" w:hAnsi="Lucida Sans"/>
          <w:sz w:val="19"/>
          <w:szCs w:val="19"/>
          <w:lang w:val="en-US"/>
        </w:rPr>
        <w:t xml:space="preserve">Following the estimations of the share of taxed (Dell et al.; 2007) it is somehow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interpretation is that high income percentiles overproportionally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 xml:space="preserve">t seems </w:t>
      </w:r>
      <w:r w:rsidR="004F32F8">
        <w:rPr>
          <w:rFonts w:ascii="Lucida Sans" w:hAnsi="Lucida Sans"/>
          <w:sz w:val="19"/>
          <w:szCs w:val="19"/>
          <w:lang w:val="en-US"/>
        </w:rPr>
        <w:t xml:space="preserve">feasible </w:t>
      </w:r>
      <w:r w:rsidR="004F32F8">
        <w:rPr>
          <w:rFonts w:ascii="Lucida Sans" w:hAnsi="Lucida Sans"/>
          <w:sz w:val="19"/>
          <w:szCs w:val="19"/>
          <w:lang w:val="en-US"/>
        </w:rPr>
        <w:t>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performed by Gornick and Jäntti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6560A8AB"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it up: tax data does deviate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r w:rsidR="0075707F">
        <w:rPr>
          <w:rFonts w:ascii="Lucida Sans" w:hAnsi="Lucida Sans"/>
          <w:sz w:val="19"/>
          <w:szCs w:val="19"/>
          <w:lang w:val="en-US"/>
        </w:rPr>
        <w:t xml:space="preserve">The research project: </w:t>
      </w:r>
      <w:r w:rsidR="0075707F" w:rsidRPr="00806DA3">
        <w:rPr>
          <w:rFonts w:ascii="Lucida Sans" w:hAnsi="Lucida Sans"/>
          <w:i/>
          <w:sz w:val="19"/>
          <w:szCs w:val="19"/>
          <w:lang w:val="en-US"/>
        </w:rPr>
        <w:t>Inequality of incomes and wealth in Switzerland</w:t>
      </w:r>
      <w:r w:rsidR="0075707F">
        <w:rPr>
          <w:rStyle w:val="FootnoteReference"/>
          <w:rFonts w:ascii="Lucida Sans" w:hAnsi="Lucida Sans"/>
          <w:i/>
          <w:sz w:val="19"/>
          <w:szCs w:val="19"/>
          <w:lang w:val="en-US"/>
        </w:rPr>
        <w:footnoteReference w:id="16"/>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r w:rsidR="00100231">
        <w:rPr>
          <w:rFonts w:ascii="Lucida Sans" w:hAnsi="Lucida Sans"/>
          <w:sz w:val="19"/>
          <w:szCs w:val="19"/>
          <w:lang w:val="en-US"/>
        </w:rPr>
        <w:t>:</w:t>
      </w:r>
      <w:r w:rsidR="0075707F">
        <w:rPr>
          <w:rFonts w:ascii="Lucida Sans" w:hAnsi="Lucida Sans"/>
          <w:sz w:val="19"/>
          <w:szCs w:val="19"/>
          <w:lang w:val="en-US"/>
        </w:rPr>
        <w:t xml:space="preserve"> the cantons. But budget </w:t>
      </w:r>
      <w:r w:rsidR="00B40657">
        <w:rPr>
          <w:rFonts w:ascii="Lucida Sans" w:hAnsi="Lucida Sans"/>
          <w:sz w:val="19"/>
          <w:szCs w:val="19"/>
          <w:lang w:val="en-US"/>
        </w:rPr>
        <w:t xml:space="preserve">and technological </w:t>
      </w:r>
      <w:r w:rsidR="0075707F">
        <w:rPr>
          <w:rFonts w:ascii="Lucida Sans" w:hAnsi="Lucida Sans"/>
          <w:sz w:val="19"/>
          <w:szCs w:val="19"/>
          <w:lang w:val="en-US"/>
        </w:rPr>
        <w:t xml:space="preserve">restrictions reduce the possibility to archive such data. Furthermore privacy regulations differ on the federal level and sometimes prohibit the use of micro tax data for scientific purpose completely. Hence, for Switzerland it is only possible to get information starting </w:t>
      </w:r>
      <w:r w:rsidR="00100231">
        <w:rPr>
          <w:rFonts w:ascii="Lucida Sans" w:hAnsi="Lucida Sans"/>
          <w:sz w:val="19"/>
          <w:szCs w:val="19"/>
          <w:lang w:val="en-US"/>
        </w:rPr>
        <w:t xml:space="preserve">in the </w:t>
      </w:r>
      <w:r w:rsidR="0075707F">
        <w:rPr>
          <w:rFonts w:ascii="Lucida Sans" w:hAnsi="Lucida Sans"/>
          <w:sz w:val="19"/>
          <w:szCs w:val="19"/>
          <w:lang w:val="en-US"/>
        </w:rPr>
        <w:t>1990i</w:t>
      </w:r>
      <w:r w:rsidR="00100231">
        <w:rPr>
          <w:rFonts w:ascii="Lucida Sans" w:hAnsi="Lucida Sans"/>
          <w:sz w:val="19"/>
          <w:szCs w:val="19"/>
          <w:lang w:val="en-US"/>
        </w:rPr>
        <w:t>e</w:t>
      </w:r>
      <w:r w:rsidR="0075707F">
        <w:rPr>
          <w:rFonts w:ascii="Lucida Sans" w:hAnsi="Lucida Sans"/>
          <w:sz w:val="19"/>
          <w:szCs w:val="19"/>
          <w:lang w:val="en-US"/>
        </w:rPr>
        <w:t xml:space="preserve">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xml:space="preserve">. The aggregated tax statistics from the FTA </w:t>
      </w:r>
      <w:r w:rsidR="00100231">
        <w:rPr>
          <w:rFonts w:ascii="Lucida Sans" w:hAnsi="Lucida Sans"/>
          <w:sz w:val="19"/>
          <w:szCs w:val="19"/>
          <w:lang w:val="en-US"/>
        </w:rPr>
        <w:t>are</w:t>
      </w:r>
      <w:r w:rsidR="0075707F">
        <w:rPr>
          <w:rFonts w:ascii="Lucida Sans" w:hAnsi="Lucida Sans"/>
          <w:sz w:val="19"/>
          <w:szCs w:val="19"/>
          <w:lang w:val="en-US"/>
        </w:rPr>
        <w:t xml:space="preserve"> therefore the source with the longest </w:t>
      </w:r>
      <w:r w:rsidR="00100231">
        <w:rPr>
          <w:rFonts w:ascii="Lucida Sans" w:hAnsi="Lucida Sans"/>
          <w:sz w:val="19"/>
          <w:szCs w:val="19"/>
          <w:lang w:val="en-US"/>
        </w:rPr>
        <w:t>record</w:t>
      </w:r>
      <w:r w:rsidR="0075707F">
        <w:rPr>
          <w:rFonts w:ascii="Lucida Sans" w:hAnsi="Lucida Sans"/>
          <w:sz w:val="19"/>
          <w:szCs w:val="19"/>
          <w:lang w:val="en-US"/>
        </w:rPr>
        <w:t xml:space="preserv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54" w:name="_Toc406505805"/>
      <w:r w:rsidRPr="00511D21">
        <w:lastRenderedPageBreak/>
        <w:t>Literaturverzeichnis</w:t>
      </w:r>
      <w:bookmarkEnd w:id="54"/>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Alvaredo, F., Atkinson, A. B., Piketty, T., &amp; Saez, E. (2013). The Top 1 Percent in International and Historical Perspective.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Alvaredo, F., &amp; Saez, E. (2009). Income and Wealth Concentration in Spain from a Historical and Fiscal Perspective.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On the measurement of inequality.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Foreword. In J. C. Gornick &amp; M. Jäntti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(2007).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&amp; Piketty, T. (2010).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Bethlehem, J., Cobben, F., &amp; Schouten, B. (2011). </w:t>
      </w:r>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Brandolini, A., &amp; Smeeding, T. M. (2009). Income inequality in richer and OECD countries.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Brülhart, M. (n.d.). Proposal Sinergia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t xml:space="preserve">Buhmann, B., Rainwater, L., Schmaus, G., &amp; Smeeding, T. M. (1988). </w:t>
      </w:r>
      <w:r w:rsidRPr="00542029">
        <w:rPr>
          <w:rFonts w:ascii="Times New Roman" w:eastAsia="Times New Roman" w:hAnsi="Times New Roman"/>
          <w:sz w:val="24"/>
          <w:szCs w:val="24"/>
          <w:lang w:val="en-US"/>
        </w:rPr>
        <w:t xml:space="preserve">Equivalence Scales, Well-Being, Inequality, and Poverty: Sensitivity Estimates Across Ten Countries Using the </w:t>
      </w:r>
      <w:r w:rsidRPr="00542029">
        <w:rPr>
          <w:rFonts w:ascii="Times New Roman" w:eastAsia="Times New Roman" w:hAnsi="Times New Roman"/>
          <w:sz w:val="24"/>
          <w:szCs w:val="24"/>
          <w:lang w:val="en-US"/>
        </w:rPr>
        <w:lastRenderedPageBreak/>
        <w:t xml:space="preserve">Luxembourg Income Study (lis)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Flachaire,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The measurement of the inequality of incomes.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Dell, F., Piketty, T., &amp; Saez, E. (2007). Income and wealth concentration in Switzerland over the 20th century.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Maio, F. G. (2007). Income inequality measures.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Feld, L. P., &amp; Frey, B. S. (2006).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Foellmi, R., &amp; Martínez, I. (2013). Volatile Top Income Shares in Switzerland? St. Gallen.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Gornick, J. C., &amp; Jäntti.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Grabka,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Handcock, M., &amp; Morris, M. (1999). </w:t>
      </w:r>
      <w:r w:rsidRPr="00542029">
        <w:rPr>
          <w:rFonts w:ascii="Times New Roman" w:eastAsia="Times New Roman" w:hAnsi="Times New Roman"/>
          <w:i/>
          <w:iCs/>
          <w:sz w:val="24"/>
          <w:szCs w:val="24"/>
          <w:lang w:val="en-US"/>
        </w:rPr>
        <w:t>Relative Distribution Methods in the Social Sciences (Statistics for Social Science and Behavorial Sciences)</w:t>
      </w:r>
      <w:r w:rsidRPr="00542029">
        <w:rPr>
          <w:rFonts w:ascii="Times New Roman" w:eastAsia="Times New Roman" w:hAnsi="Times New Roman"/>
          <w:sz w:val="24"/>
          <w:szCs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Hao, L., &amp; Naiman, D. Q. (2010). </w:t>
      </w:r>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International Labour Organisation (ILO). (n.d.). </w:t>
      </w:r>
      <w:r w:rsidRPr="00542029">
        <w:rPr>
          <w:rFonts w:ascii="Times New Roman" w:eastAsia="Times New Roman" w:hAnsi="Times New Roman"/>
          <w:i/>
          <w:iCs/>
          <w:sz w:val="24"/>
          <w:szCs w:val="24"/>
          <w:lang w:val="en-US"/>
        </w:rPr>
        <w:t>Final report of the 17th International Conference of Labour Statisticians</w:t>
      </w:r>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Kolm, S.-C., &amp; others. (1969). The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Korinek, A., Mistiaen, J. A., &amp; Ravallion, M. (2006). Survey nonresponse and the distribution of income.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(1), 33–55. doi:10.1007/s10888-005-1089-4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Economic growth and income inequality.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The Economic Journal</w:t>
      </w:r>
      <w:r w:rsidRPr="009E5AF2">
        <w:rPr>
          <w:rFonts w:ascii="Times New Roman" w:eastAsia="Times New Roman" w:hAnsi="Times New Roman"/>
          <w:sz w:val="24"/>
          <w:szCs w:val="24"/>
        </w:rPr>
        <w:t>, (117), 589–603.</w:t>
      </w:r>
    </w:p>
    <w:p w14:paraId="1F197A5D"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Modetta, C., &amp; Müller, B. (2012). Einkommensungleichheit und staatliche Umverteilung. </w:t>
      </w:r>
      <w:r w:rsidRPr="009E5AF2">
        <w:rPr>
          <w:rFonts w:ascii="Times New Roman" w:eastAsia="Times New Roman" w:hAnsi="Times New Roman"/>
          <w:i/>
          <w:iCs/>
          <w:sz w:val="24"/>
          <w:szCs w:val="24"/>
        </w:rPr>
        <w:t>Bundesamt Für Statistik, Neuchâtel</w:t>
      </w:r>
      <w:r w:rsidRPr="009E5AF2">
        <w:rPr>
          <w:rFonts w:ascii="Times New Roman" w:eastAsia="Times New Roman" w:hAnsi="Times New Roman"/>
          <w:sz w:val="24"/>
          <w:szCs w:val="24"/>
        </w:rPr>
        <w:t>.</w:t>
      </w:r>
    </w:p>
    <w:p w14:paraId="2F7801B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rPr>
        <w:t xml:space="preserve">Müller, A., &amp; Schoch, T. (2014). </w:t>
      </w:r>
      <w:r w:rsidRPr="009E5AF2">
        <w:rPr>
          <w:rFonts w:ascii="Times New Roman" w:eastAsia="Times New Roman" w:hAnsi="Times New Roman"/>
          <w:i/>
          <w:iCs/>
          <w:sz w:val="24"/>
          <w:szCs w:val="24"/>
        </w:rPr>
        <w:t>Vermögenslage der privaten Haushalte</w:t>
      </w:r>
      <w:r w:rsidRPr="009E5AF2">
        <w:rPr>
          <w:rFonts w:ascii="Times New Roman" w:eastAsia="Times New Roman" w:hAnsi="Times New Roman"/>
          <w:sz w:val="24"/>
          <w:szCs w:val="24"/>
        </w:rPr>
        <w:t xml:space="preserve">. </w:t>
      </w:r>
      <w:r w:rsidRPr="00542029">
        <w:rPr>
          <w:rFonts w:ascii="Times New Roman" w:eastAsia="Times New Roman" w:hAnsi="Times New Roman"/>
          <w:sz w:val="24"/>
          <w:szCs w:val="24"/>
          <w:lang w:val="en-US"/>
        </w:rPr>
        <w:t>Neuchatel: Bundesamt für Statistik (BFS).</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(2008). </w:t>
      </w:r>
      <w:r w:rsidRPr="00542029">
        <w:rPr>
          <w:rFonts w:ascii="Times New Roman" w:eastAsia="Times New Roman" w:hAnsi="Times New Roman"/>
          <w:i/>
          <w:iCs/>
          <w:sz w:val="24"/>
          <w:szCs w:val="24"/>
          <w:lang w:val="en-US"/>
        </w:rPr>
        <w:t>Growing Unequal? Income Distribution and Poverty in OECD Countries</w:t>
      </w:r>
      <w:r w:rsidRPr="00542029">
        <w:rPr>
          <w:rFonts w:ascii="Times New Roman" w:eastAsia="Times New Roman" w:hAnsi="Times New Roman"/>
          <w:sz w:val="24"/>
          <w:szCs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OECD.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542029">
        <w:rPr>
          <w:rFonts w:ascii="Times New Roman" w:eastAsia="Times New Roman" w:hAnsi="Times New Roman"/>
          <w:sz w:val="24"/>
          <w:szCs w:val="24"/>
          <w:lang w:val="en-US"/>
        </w:rPr>
        <w:t xml:space="preserve">OECD. (2013b).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OECD Publishing.</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l’impöt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Les hauts revenus en France au XXe siècle: inégalités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Paris: Grasset.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lastRenderedPageBreak/>
        <w:t xml:space="preserve">Piketty, T. (2003).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Piketty, T., &amp; Saez, E. (2003). Income inequality in the United States, 1913–1998.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Salverda, W., Nolan, B., Checchi, D., Marx, I., McKnight, A., &amp; Toth, I. G. (2014). </w:t>
      </w:r>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Särndal, C.-E., Swensson, B., &amp; Wretman, J. (2003). </w:t>
      </w:r>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On economic inequality. </w:t>
      </w:r>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Shorrocks, A., &amp; Slottje, D. (2002). Approximating unanimity orderings: An application to Lorenz dominance.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SNA. (2008).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Stiglitz, J. E. (2012). </w:t>
      </w:r>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UNECE, &amp; EUROSTAT. (2006).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United Nations. (2011). </w:t>
      </w:r>
      <w:r w:rsidRPr="00542029">
        <w:rPr>
          <w:rFonts w:ascii="Times New Roman" w:eastAsia="Times New Roman" w:hAnsi="Times New Roman"/>
          <w:i/>
          <w:iCs/>
          <w:sz w:val="24"/>
          <w:szCs w:val="24"/>
          <w:lang w:val="en-US"/>
        </w:rPr>
        <w:t>Canberra Group. Handbook on Household Income Statistics</w:t>
      </w:r>
      <w:r w:rsidRPr="00542029">
        <w:rPr>
          <w:rFonts w:ascii="Times New Roman" w:eastAsia="Times New Roman" w:hAnsi="Times New Roman"/>
          <w:sz w:val="24"/>
          <w:szCs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Wilkinson, R. G., &amp; Pickett, K. E. (2009). Income inequality and social dysfunction.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World Economic Forum. (2013). </w:t>
      </w:r>
      <w:r w:rsidRPr="00542029">
        <w:rPr>
          <w:rFonts w:ascii="Times New Roman" w:eastAsia="Times New Roman" w:hAnsi="Times New Roman"/>
          <w:i/>
          <w:iCs/>
          <w:sz w:val="24"/>
          <w:szCs w:val="24"/>
          <w:lang w:val="en-US"/>
        </w:rPr>
        <w:t>Global Risks 2013. Eighth Edition.</w:t>
      </w:r>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5"/>
      <w:footerReference w:type="default" r:id="rId16"/>
      <w:headerReference w:type="first" r:id="rId17"/>
      <w:pgSz w:w="11906" w:h="16838" w:code="9"/>
      <w:pgMar w:top="1758" w:right="1004" w:bottom="680" w:left="1435" w:header="709" w:footer="51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744C" w15:done="0"/>
  <w15:commentEx w15:paraId="38DECCD9"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76076043"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C69FC" w14:textId="77777777" w:rsidR="002F337A" w:rsidRDefault="002F337A" w:rsidP="006312E0">
      <w:pPr>
        <w:spacing w:line="240" w:lineRule="auto"/>
      </w:pPr>
      <w:r>
        <w:separator/>
      </w:r>
    </w:p>
  </w:endnote>
  <w:endnote w:type="continuationSeparator" w:id="0">
    <w:p w14:paraId="66D7D2E4" w14:textId="77777777" w:rsidR="002F337A" w:rsidRDefault="002F337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BD6E58" w:rsidRPr="007407D3" w:rsidRDefault="00BD6E58"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BD6E58" w:rsidRPr="003B1648" w:rsidRDefault="00BD6E5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E5AF2">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BD6E58" w:rsidRPr="003B1648" w:rsidRDefault="00BD6E5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9E5AF2">
                      <w:rPr>
                        <w:noProof/>
                        <w:sz w:val="16"/>
                        <w:szCs w:val="16"/>
                      </w:rPr>
                      <w:t>2</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51C1E4" w14:textId="77777777" w:rsidR="002F337A" w:rsidRDefault="002F337A" w:rsidP="006312E0">
      <w:pPr>
        <w:spacing w:line="240" w:lineRule="auto"/>
      </w:pPr>
    </w:p>
  </w:footnote>
  <w:footnote w:type="continuationSeparator" w:id="0">
    <w:p w14:paraId="5130F779" w14:textId="77777777" w:rsidR="002F337A" w:rsidRDefault="002F337A" w:rsidP="006312E0">
      <w:pPr>
        <w:spacing w:line="240" w:lineRule="auto"/>
      </w:pPr>
      <w:r>
        <w:continuationSeparator/>
      </w:r>
    </w:p>
  </w:footnote>
  <w:footnote w:id="1">
    <w:p w14:paraId="49571FB3" w14:textId="3487E576" w:rsidR="00BD6E58" w:rsidRPr="006A2614" w:rsidRDefault="00BD6E58">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BD6E58" w:rsidRDefault="00BD6E58">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0B45F872" w14:textId="3B9500E6" w:rsidR="00BD6E58" w:rsidRDefault="00BD6E58">
      <w:pPr>
        <w:pStyle w:val="FootnoteText"/>
        <w:rPr>
          <w:lang w:val="en-US"/>
        </w:rPr>
      </w:pPr>
      <w:r w:rsidRPr="00763E00">
        <w:rPr>
          <w:lang w:val="en-US"/>
        </w:rPr>
        <w:t>(2)</w:t>
      </w:r>
      <w:r>
        <w:rPr>
          <w:lang w:val="en-US"/>
        </w:rPr>
        <w:t xml:space="preserve"> strong principle of transfers,</w:t>
      </w:r>
    </w:p>
    <w:p w14:paraId="6928CE79" w14:textId="5E5042EE" w:rsidR="00BD6E58" w:rsidRDefault="00BD6E58">
      <w:pPr>
        <w:pStyle w:val="FootnoteText"/>
        <w:rPr>
          <w:lang w:val="en-US"/>
        </w:rPr>
      </w:pPr>
      <w:r w:rsidRPr="00763E00">
        <w:rPr>
          <w:lang w:val="en-US"/>
        </w:rPr>
        <w:t xml:space="preserve">(3) scale invariance, </w:t>
      </w:r>
    </w:p>
    <w:p w14:paraId="423D4416" w14:textId="77777777" w:rsidR="00BD6E58" w:rsidRDefault="00BD6E58">
      <w:pPr>
        <w:pStyle w:val="FootnoteText"/>
        <w:rPr>
          <w:lang w:val="en-US"/>
        </w:rPr>
      </w:pPr>
      <w:r w:rsidRPr="00763E00">
        <w:rPr>
          <w:lang w:val="en-US"/>
        </w:rPr>
        <w:t xml:space="preserve">(4) the principle of population and </w:t>
      </w:r>
    </w:p>
    <w:p w14:paraId="4A0CADFD" w14:textId="4AE4787F" w:rsidR="00BD6E58" w:rsidRPr="00763E00" w:rsidRDefault="00BD6E58">
      <w:pPr>
        <w:pStyle w:val="FootnoteText"/>
        <w:rPr>
          <w:lang w:val="en-US"/>
        </w:rPr>
      </w:pPr>
      <w:r w:rsidRPr="00763E00">
        <w:rPr>
          <w:lang w:val="en-US"/>
        </w:rPr>
        <w:t>(5) Decomposability.</w:t>
      </w:r>
    </w:p>
  </w:footnote>
  <w:footnote w:id="3">
    <w:p w14:paraId="23F29DAE" w14:textId="19236006" w:rsidR="009E5AF2" w:rsidRPr="00406373" w:rsidRDefault="00BD6E58">
      <w:pPr>
        <w:pStyle w:val="FootnoteText"/>
        <w:rPr>
          <w:lang w:val="en-US"/>
        </w:rPr>
      </w:pPr>
      <w:r>
        <w:rPr>
          <w:rStyle w:val="FootnoteReference"/>
        </w:rPr>
        <w:footnoteRef/>
      </w:r>
      <w:r w:rsidRPr="00406373">
        <w:rPr>
          <w:lang w:val="en-US"/>
        </w:rPr>
        <w:t xml:space="preserve"> </w:t>
      </w:r>
      <w:r w:rsidR="009E5AF2" w:rsidRPr="009E5AF2">
        <w:rPr>
          <w:lang w:val="en-US"/>
        </w:rPr>
        <w:t>http://www.estv.admin.ch/dokumentation/00075/00076/00701/index.htm</w:t>
      </w:r>
    </w:p>
  </w:footnote>
  <w:footnote w:id="4">
    <w:p w14:paraId="302D27B3" w14:textId="151B3EDB" w:rsidR="00BD6E58" w:rsidRPr="006003AB" w:rsidRDefault="00BD6E58" w:rsidP="00FD406E">
      <w:pPr>
        <w:pStyle w:val="FootnoteText"/>
        <w:rPr>
          <w:lang w:val="en-US"/>
        </w:rPr>
      </w:pPr>
      <w:r>
        <w:rPr>
          <w:rStyle w:val="FootnoteReference"/>
        </w:rPr>
        <w:footnoteRef/>
      </w:r>
      <w:r w:rsidRPr="006003AB">
        <w:rPr>
          <w:lang w:val="en-US"/>
        </w:rPr>
        <w:t xml:space="preserve"> </w:t>
      </w:r>
      <w:r>
        <w:rPr>
          <w:lang w:val="en-US"/>
        </w:rPr>
        <w:t xml:space="preserve">We didn’t use tax data before 1945 albeit it is accessible until 1917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(Praenumerando-System) was implemented. Before 1993 tax periods comprise two years, because taxes were levied with the Postnumerando-System (taxation based on income generated two years in the past).  Cantons implemented the change in different years, that’s why there is no exact data available for Switzerland in the transition period. </w:t>
      </w:r>
    </w:p>
  </w:footnote>
  <w:footnote w:id="5">
    <w:p w14:paraId="4F58C68F" w14:textId="77777777" w:rsidR="00BD6E58" w:rsidRPr="008C2F1A" w:rsidRDefault="00BD6E58" w:rsidP="00FD406E">
      <w:pPr>
        <w:pStyle w:val="FootnoteText"/>
        <w:rPr>
          <w:lang w:val="en-US"/>
        </w:rPr>
      </w:pPr>
      <w:r>
        <w:rPr>
          <w:rStyle w:val="FootnoteReference"/>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6">
    <w:p w14:paraId="1D0D6370" w14:textId="537145F1" w:rsidR="00BD6E58" w:rsidRPr="00190B1B" w:rsidRDefault="00BD6E58">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r w:rsidRPr="0088351B">
        <w:rPr>
          <w:lang w:val="en-US"/>
        </w:rPr>
        <w:t>Säule 3a'', buying into the pension plan</w:t>
      </w:r>
      <w:r>
        <w:rPr>
          <w:lang w:val="en-US"/>
        </w:rPr>
        <w:t>, medical expenses and</w:t>
      </w:r>
      <w:r>
        <w:rPr>
          <w:lang w:val="en-US"/>
        </w:rPr>
        <w:t xml:space="preserve"> </w:t>
      </w:r>
      <w:r>
        <w:rPr>
          <w:lang w:val="en-US"/>
        </w:rPr>
        <w:t>charitable donations</w:t>
      </w:r>
    </w:p>
  </w:footnote>
  <w:footnote w:id="7">
    <w:p w14:paraId="25AC8419" w14:textId="55D209C8" w:rsidR="00BD6E58" w:rsidRPr="00190B1B" w:rsidRDefault="00BD6E58">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earned by savings, deductions for children and supported persons, second earner deductions.</w:t>
      </w:r>
    </w:p>
  </w:footnote>
  <w:footnote w:id="8">
    <w:p w14:paraId="726C0BEE" w14:textId="77777777" w:rsidR="00BD6E58" w:rsidRDefault="00BD6E58"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BD6E58" w:rsidRDefault="00BD6E58" w:rsidP="00C81B23">
      <w:pPr>
        <w:pStyle w:val="FootnoteText"/>
        <w:ind w:left="708" w:hanging="708"/>
        <w:rPr>
          <w:lang w:val="en-US"/>
        </w:rPr>
      </w:pPr>
      <w:r>
        <w:rPr>
          <w:lang w:val="en-US"/>
        </w:rPr>
        <w:t>federal taxes, which is a sort of pseudo disposable income, if deductions are understood as obligatory expenses. But  its</w:t>
      </w:r>
    </w:p>
    <w:p w14:paraId="1449DC0D" w14:textId="77777777" w:rsidR="00BD6E58" w:rsidRDefault="00BD6E58" w:rsidP="00C81B23">
      <w:pPr>
        <w:pStyle w:val="Footnote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BD6E58" w:rsidRPr="00190B1B" w:rsidRDefault="00BD6E58" w:rsidP="00C81B23">
      <w:pPr>
        <w:pStyle w:val="FootnoteText"/>
        <w:ind w:left="708" w:hanging="708"/>
        <w:rPr>
          <w:lang w:val="en-US"/>
        </w:rPr>
      </w:pPr>
      <w:r>
        <w:rPr>
          <w:lang w:val="en-US"/>
        </w:rPr>
        <w:t>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BD6E58" w:rsidRPr="00783DA9" w:rsidRDefault="00BD6E58">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BD6E58" w:rsidRPr="00497AAC" w:rsidRDefault="00BD6E58"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320EF75C" w14:textId="77777777" w:rsidR="00BD6E58" w:rsidRPr="008B734B" w:rsidRDefault="00BD6E58" w:rsidP="00542029">
      <w:pPr>
        <w:pStyle w:val="FootnoteText"/>
        <w:rPr>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sidRPr="008B734B">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bookmarkStart w:id="41" w:name="_GoBack"/>
    </w:p>
    <w:bookmarkEnd w:id="41"/>
  </w:footnote>
  <w:footnote w:id="12">
    <w:p w14:paraId="79B2738E" w14:textId="045750F6" w:rsidR="00BD6E58" w:rsidRPr="007108BA" w:rsidRDefault="00BD6E58">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3">
    <w:p w14:paraId="4AC67833" w14:textId="743E26D6" w:rsidR="00BD6E58" w:rsidRPr="006956E1" w:rsidRDefault="00BD6E58">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4">
    <w:p w14:paraId="0B79CBF4" w14:textId="6CEC25C9" w:rsidR="00BD6E58" w:rsidRPr="00BD6E58" w:rsidRDefault="00BD6E58">
      <w:pPr>
        <w:pStyle w:val="FootnoteText"/>
        <w:rPr>
          <w:lang w:val="en-US"/>
        </w:rPr>
      </w:pPr>
      <w:r>
        <w:rPr>
          <w:rStyle w:val="FootnoteReference"/>
        </w:rPr>
        <w:footnoteRef/>
      </w:r>
      <w:r w:rsidRPr="00BD6E58">
        <w:rPr>
          <w:lang w:val="en-US"/>
        </w:rPr>
        <w:t xml:space="preserve"> </w:t>
      </w:r>
      <w:r>
        <w:rPr>
          <w:lang w:val="en-US"/>
        </w:rPr>
        <w:t xml:space="preserve">Difference </w:t>
      </w:r>
      <w:r w:rsidR="00026920">
        <w:rPr>
          <w:lang w:val="en-US"/>
        </w:rPr>
        <w:t>to the</w:t>
      </w:r>
      <w:r>
        <w:rPr>
          <w:lang w:val="en-US"/>
        </w:rPr>
        <w:t xml:space="preserve"> imputed series.</w:t>
      </w:r>
    </w:p>
  </w:footnote>
  <w:footnote w:id="15">
    <w:p w14:paraId="06CD4BE5" w14:textId="641A421C" w:rsidR="00005884" w:rsidRPr="00005884" w:rsidRDefault="00005884">
      <w:pPr>
        <w:pStyle w:val="FootnoteText"/>
        <w:rPr>
          <w:lang w:val="en-US"/>
        </w:rPr>
      </w:pPr>
      <w:r>
        <w:rPr>
          <w:rStyle w:val="FootnoteReference"/>
        </w:rPr>
        <w:footnoteRef/>
      </w:r>
      <w:r w:rsidRPr="00005884">
        <w:rPr>
          <w:lang w:val="en-US"/>
        </w:rPr>
        <w:t xml:space="preserve"> We don’t show time points before</w:t>
      </w:r>
      <w:r>
        <w:rPr>
          <w:lang w:val="en-US"/>
        </w:rPr>
        <w:t xml:space="preserve"> 1943/44</w:t>
      </w:r>
      <w:r w:rsidRPr="00005884">
        <w:rPr>
          <w:lang w:val="en-US"/>
        </w:rPr>
        <w:t>, albeit theoretically</w:t>
      </w:r>
      <w:r>
        <w:rPr>
          <w:lang w:val="en-US"/>
        </w:rPr>
        <w:t xml:space="preserve"> information is available, because in this period only small fraction of potential tax units are covered in the tax statistics.</w:t>
      </w:r>
    </w:p>
  </w:footnote>
  <w:footnote w:id="16">
    <w:p w14:paraId="3C3FA50A" w14:textId="3F413147" w:rsidR="00BD6E58" w:rsidRDefault="00BD6E58" w:rsidP="0075707F">
      <w:pPr>
        <w:pStyle w:val="FootnoteText"/>
        <w:rPr>
          <w:lang w:val="en-US"/>
        </w:rPr>
      </w:pPr>
      <w:r>
        <w:rPr>
          <w:rStyle w:val="FootnoteReference"/>
        </w:rPr>
        <w:footnoteRef/>
      </w:r>
      <w:r w:rsidRPr="00A06AD6">
        <w:rPr>
          <w:lang w:val="en-US"/>
        </w:rPr>
        <w:t xml:space="preserve"> </w:t>
      </w:r>
      <w:r>
        <w:fldChar w:fldCharType="begin"/>
      </w:r>
      <w:r w:rsidRPr="008B734B">
        <w:rPr>
          <w:lang w:val="en-US"/>
        </w:rPr>
        <w:instrText xml:space="preserve"> "http://p3.snf.ch/Project-143399" </w:instrText>
      </w:r>
      <w:r>
        <w:fldChar w:fldCharType="separate"/>
      </w:r>
      <w:r w:rsidRPr="003A2F8E">
        <w:rPr>
          <w:rStyle w:val="Hyperlink"/>
          <w:lang w:val="en-US"/>
        </w:rPr>
        <w:t>http://p3.snf.ch/Project-143399</w:t>
      </w:r>
      <w:r>
        <w:rPr>
          <w:rStyle w:val="Hyperlink"/>
          <w:lang w:val="en-US"/>
        </w:rPr>
        <w:fldChar w:fldCharType="end"/>
      </w:r>
    </w:p>
    <w:p w14:paraId="70AB50D7" w14:textId="77777777" w:rsidR="00BD6E58" w:rsidRPr="00A06AD6" w:rsidRDefault="00BD6E58" w:rsidP="0075707F">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BD6E58" w:rsidRPr="001F1B9C" w:rsidRDefault="00BD6E58"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BD6E58" w:rsidRDefault="00BD6E58"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9BB"/>
    <w:rsid w:val="00020500"/>
    <w:rsid w:val="00026920"/>
    <w:rsid w:val="00035727"/>
    <w:rsid w:val="000364D6"/>
    <w:rsid w:val="00036871"/>
    <w:rsid w:val="0004114E"/>
    <w:rsid w:val="000421B2"/>
    <w:rsid w:val="00046D74"/>
    <w:rsid w:val="00047D7A"/>
    <w:rsid w:val="000526DB"/>
    <w:rsid w:val="00054AC8"/>
    <w:rsid w:val="000572D1"/>
    <w:rsid w:val="0006599C"/>
    <w:rsid w:val="000844EC"/>
    <w:rsid w:val="00087C85"/>
    <w:rsid w:val="00091514"/>
    <w:rsid w:val="00091C2D"/>
    <w:rsid w:val="00095C44"/>
    <w:rsid w:val="00096BB2"/>
    <w:rsid w:val="000A6849"/>
    <w:rsid w:val="000B1BAB"/>
    <w:rsid w:val="000B4338"/>
    <w:rsid w:val="000C3A69"/>
    <w:rsid w:val="000C5A90"/>
    <w:rsid w:val="000C7DD6"/>
    <w:rsid w:val="000D7C16"/>
    <w:rsid w:val="000E29F5"/>
    <w:rsid w:val="000E2F6C"/>
    <w:rsid w:val="000E484B"/>
    <w:rsid w:val="000E5BD4"/>
    <w:rsid w:val="000E654E"/>
    <w:rsid w:val="000F013A"/>
    <w:rsid w:val="000F0EA8"/>
    <w:rsid w:val="000F22C6"/>
    <w:rsid w:val="000F3789"/>
    <w:rsid w:val="000F3F69"/>
    <w:rsid w:val="000F40DC"/>
    <w:rsid w:val="000F66A6"/>
    <w:rsid w:val="00100231"/>
    <w:rsid w:val="00104646"/>
    <w:rsid w:val="0010571E"/>
    <w:rsid w:val="00107A0C"/>
    <w:rsid w:val="0011072C"/>
    <w:rsid w:val="001112B0"/>
    <w:rsid w:val="001119D4"/>
    <w:rsid w:val="00112357"/>
    <w:rsid w:val="00112B6B"/>
    <w:rsid w:val="001215C7"/>
    <w:rsid w:val="00122E28"/>
    <w:rsid w:val="001232D9"/>
    <w:rsid w:val="00123364"/>
    <w:rsid w:val="00126FF4"/>
    <w:rsid w:val="001301A9"/>
    <w:rsid w:val="00132181"/>
    <w:rsid w:val="00136B09"/>
    <w:rsid w:val="00137073"/>
    <w:rsid w:val="00141738"/>
    <w:rsid w:val="00141B1B"/>
    <w:rsid w:val="00142EB7"/>
    <w:rsid w:val="0015023D"/>
    <w:rsid w:val="00154023"/>
    <w:rsid w:val="00164F6A"/>
    <w:rsid w:val="00165CC1"/>
    <w:rsid w:val="00170D9E"/>
    <w:rsid w:val="00176DF1"/>
    <w:rsid w:val="00182BEB"/>
    <w:rsid w:val="00182FF6"/>
    <w:rsid w:val="00190924"/>
    <w:rsid w:val="00190B1B"/>
    <w:rsid w:val="001B0F1A"/>
    <w:rsid w:val="001B176D"/>
    <w:rsid w:val="001B21ED"/>
    <w:rsid w:val="001B7282"/>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2F337A"/>
    <w:rsid w:val="00300BA3"/>
    <w:rsid w:val="003010C0"/>
    <w:rsid w:val="003038E7"/>
    <w:rsid w:val="00311B54"/>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52C5"/>
    <w:rsid w:val="00387B86"/>
    <w:rsid w:val="003968F9"/>
    <w:rsid w:val="003A6D89"/>
    <w:rsid w:val="003A7EE5"/>
    <w:rsid w:val="003B1648"/>
    <w:rsid w:val="003B2B0A"/>
    <w:rsid w:val="003B431B"/>
    <w:rsid w:val="003B4332"/>
    <w:rsid w:val="003B5F19"/>
    <w:rsid w:val="003B66F4"/>
    <w:rsid w:val="003C14BB"/>
    <w:rsid w:val="003C7BD0"/>
    <w:rsid w:val="003D4775"/>
    <w:rsid w:val="003D7B55"/>
    <w:rsid w:val="003E0F55"/>
    <w:rsid w:val="003E14BF"/>
    <w:rsid w:val="003E6398"/>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5787F"/>
    <w:rsid w:val="00462CB2"/>
    <w:rsid w:val="00470ED1"/>
    <w:rsid w:val="004710F6"/>
    <w:rsid w:val="00471BDB"/>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06A38"/>
    <w:rsid w:val="00511D21"/>
    <w:rsid w:val="00523ECE"/>
    <w:rsid w:val="00525346"/>
    <w:rsid w:val="00530949"/>
    <w:rsid w:val="0053118D"/>
    <w:rsid w:val="005329E3"/>
    <w:rsid w:val="005334C5"/>
    <w:rsid w:val="005350F7"/>
    <w:rsid w:val="00541EB5"/>
    <w:rsid w:val="00542029"/>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2E6C"/>
    <w:rsid w:val="005D423D"/>
    <w:rsid w:val="005D678C"/>
    <w:rsid w:val="005E4140"/>
    <w:rsid w:val="005E7BD6"/>
    <w:rsid w:val="005F1CAF"/>
    <w:rsid w:val="005F3856"/>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6EE6"/>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400"/>
    <w:rsid w:val="006E3ADE"/>
    <w:rsid w:val="006E46AC"/>
    <w:rsid w:val="006E6A93"/>
    <w:rsid w:val="006F4E8F"/>
    <w:rsid w:val="006F7567"/>
    <w:rsid w:val="007008D6"/>
    <w:rsid w:val="007108BA"/>
    <w:rsid w:val="00712BE2"/>
    <w:rsid w:val="00720853"/>
    <w:rsid w:val="00725A05"/>
    <w:rsid w:val="00730698"/>
    <w:rsid w:val="00733867"/>
    <w:rsid w:val="007360C5"/>
    <w:rsid w:val="007407D3"/>
    <w:rsid w:val="00743774"/>
    <w:rsid w:val="0075707F"/>
    <w:rsid w:val="007572D8"/>
    <w:rsid w:val="00761683"/>
    <w:rsid w:val="00763E00"/>
    <w:rsid w:val="007720EF"/>
    <w:rsid w:val="007726B5"/>
    <w:rsid w:val="00776E50"/>
    <w:rsid w:val="00783DA9"/>
    <w:rsid w:val="0079014F"/>
    <w:rsid w:val="00796682"/>
    <w:rsid w:val="007A367A"/>
    <w:rsid w:val="007A5603"/>
    <w:rsid w:val="007B4AC6"/>
    <w:rsid w:val="007B5DDD"/>
    <w:rsid w:val="007B68CF"/>
    <w:rsid w:val="007C2893"/>
    <w:rsid w:val="007C7AE4"/>
    <w:rsid w:val="007D6F67"/>
    <w:rsid w:val="007D7C93"/>
    <w:rsid w:val="007E039D"/>
    <w:rsid w:val="007E29BC"/>
    <w:rsid w:val="007E4221"/>
    <w:rsid w:val="007E6849"/>
    <w:rsid w:val="00800BF2"/>
    <w:rsid w:val="00800CCA"/>
    <w:rsid w:val="0080340E"/>
    <w:rsid w:val="00806DA3"/>
    <w:rsid w:val="008075D1"/>
    <w:rsid w:val="008157D4"/>
    <w:rsid w:val="008215A5"/>
    <w:rsid w:val="00822870"/>
    <w:rsid w:val="00822DA7"/>
    <w:rsid w:val="008334C9"/>
    <w:rsid w:val="008359BB"/>
    <w:rsid w:val="00835FA1"/>
    <w:rsid w:val="00845A7E"/>
    <w:rsid w:val="00846DC4"/>
    <w:rsid w:val="00851D35"/>
    <w:rsid w:val="008528B7"/>
    <w:rsid w:val="00860C48"/>
    <w:rsid w:val="0086512F"/>
    <w:rsid w:val="00865714"/>
    <w:rsid w:val="00871EEF"/>
    <w:rsid w:val="00876D58"/>
    <w:rsid w:val="00881D6F"/>
    <w:rsid w:val="0088351B"/>
    <w:rsid w:val="00887475"/>
    <w:rsid w:val="0088753A"/>
    <w:rsid w:val="008913B8"/>
    <w:rsid w:val="00894E5B"/>
    <w:rsid w:val="008950D0"/>
    <w:rsid w:val="0089798D"/>
    <w:rsid w:val="008A1B90"/>
    <w:rsid w:val="008A23C4"/>
    <w:rsid w:val="008A44AD"/>
    <w:rsid w:val="008B2031"/>
    <w:rsid w:val="008B6910"/>
    <w:rsid w:val="008B734B"/>
    <w:rsid w:val="008C20AA"/>
    <w:rsid w:val="008C2F1A"/>
    <w:rsid w:val="008D21A3"/>
    <w:rsid w:val="008D3A9F"/>
    <w:rsid w:val="008D61F6"/>
    <w:rsid w:val="008E19F9"/>
    <w:rsid w:val="008E2F97"/>
    <w:rsid w:val="008F2D88"/>
    <w:rsid w:val="008F4037"/>
    <w:rsid w:val="008F5BBC"/>
    <w:rsid w:val="00902218"/>
    <w:rsid w:val="00902D03"/>
    <w:rsid w:val="00912ED7"/>
    <w:rsid w:val="00912FE0"/>
    <w:rsid w:val="009161C4"/>
    <w:rsid w:val="00932C5C"/>
    <w:rsid w:val="0093695E"/>
    <w:rsid w:val="00937AFD"/>
    <w:rsid w:val="00941937"/>
    <w:rsid w:val="0094253E"/>
    <w:rsid w:val="009436BB"/>
    <w:rsid w:val="00945DA0"/>
    <w:rsid w:val="00951E7C"/>
    <w:rsid w:val="00953A3D"/>
    <w:rsid w:val="009546FD"/>
    <w:rsid w:val="009577BF"/>
    <w:rsid w:val="0096162E"/>
    <w:rsid w:val="009722A6"/>
    <w:rsid w:val="0097311D"/>
    <w:rsid w:val="00980148"/>
    <w:rsid w:val="009801C0"/>
    <w:rsid w:val="00992DB1"/>
    <w:rsid w:val="009A38EF"/>
    <w:rsid w:val="009A592F"/>
    <w:rsid w:val="009A7E4E"/>
    <w:rsid w:val="009B0030"/>
    <w:rsid w:val="009B18B4"/>
    <w:rsid w:val="009B1D7B"/>
    <w:rsid w:val="009B2515"/>
    <w:rsid w:val="009B3063"/>
    <w:rsid w:val="009B7C2F"/>
    <w:rsid w:val="009C0F72"/>
    <w:rsid w:val="009C1459"/>
    <w:rsid w:val="009C31C7"/>
    <w:rsid w:val="009C5D48"/>
    <w:rsid w:val="009C6EF1"/>
    <w:rsid w:val="009D5780"/>
    <w:rsid w:val="009D79DF"/>
    <w:rsid w:val="009E3507"/>
    <w:rsid w:val="009E437A"/>
    <w:rsid w:val="009E5AF2"/>
    <w:rsid w:val="009F17A5"/>
    <w:rsid w:val="009F2467"/>
    <w:rsid w:val="009F5BCC"/>
    <w:rsid w:val="00A00BCD"/>
    <w:rsid w:val="00A02C21"/>
    <w:rsid w:val="00A02D37"/>
    <w:rsid w:val="00A0309C"/>
    <w:rsid w:val="00A04487"/>
    <w:rsid w:val="00A05488"/>
    <w:rsid w:val="00A06AD6"/>
    <w:rsid w:val="00A14ACB"/>
    <w:rsid w:val="00A15967"/>
    <w:rsid w:val="00A2214B"/>
    <w:rsid w:val="00A23BE2"/>
    <w:rsid w:val="00A24E9E"/>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4A8B"/>
    <w:rsid w:val="00A8628A"/>
    <w:rsid w:val="00A922E4"/>
    <w:rsid w:val="00A93CB4"/>
    <w:rsid w:val="00A96D39"/>
    <w:rsid w:val="00AA10D7"/>
    <w:rsid w:val="00AB3332"/>
    <w:rsid w:val="00AB4134"/>
    <w:rsid w:val="00AB4D97"/>
    <w:rsid w:val="00AC0437"/>
    <w:rsid w:val="00AC65FF"/>
    <w:rsid w:val="00AC6F10"/>
    <w:rsid w:val="00AD2490"/>
    <w:rsid w:val="00AD3C46"/>
    <w:rsid w:val="00AD73C6"/>
    <w:rsid w:val="00AE18D1"/>
    <w:rsid w:val="00AE4567"/>
    <w:rsid w:val="00AE5A74"/>
    <w:rsid w:val="00AF47A8"/>
    <w:rsid w:val="00AF5313"/>
    <w:rsid w:val="00AF6366"/>
    <w:rsid w:val="00AF78B9"/>
    <w:rsid w:val="00B001E3"/>
    <w:rsid w:val="00B04FEA"/>
    <w:rsid w:val="00B05E3A"/>
    <w:rsid w:val="00B14648"/>
    <w:rsid w:val="00B218B0"/>
    <w:rsid w:val="00B21B86"/>
    <w:rsid w:val="00B2422D"/>
    <w:rsid w:val="00B25861"/>
    <w:rsid w:val="00B25A50"/>
    <w:rsid w:val="00B25DB1"/>
    <w:rsid w:val="00B35EEB"/>
    <w:rsid w:val="00B36635"/>
    <w:rsid w:val="00B40657"/>
    <w:rsid w:val="00B409AB"/>
    <w:rsid w:val="00B410D9"/>
    <w:rsid w:val="00B4292C"/>
    <w:rsid w:val="00B545B2"/>
    <w:rsid w:val="00B545E6"/>
    <w:rsid w:val="00B60265"/>
    <w:rsid w:val="00B6365F"/>
    <w:rsid w:val="00B664C3"/>
    <w:rsid w:val="00B807BC"/>
    <w:rsid w:val="00B80819"/>
    <w:rsid w:val="00B81287"/>
    <w:rsid w:val="00B833C0"/>
    <w:rsid w:val="00B84F7E"/>
    <w:rsid w:val="00B91FF4"/>
    <w:rsid w:val="00B92879"/>
    <w:rsid w:val="00B92F01"/>
    <w:rsid w:val="00B944D9"/>
    <w:rsid w:val="00B978E7"/>
    <w:rsid w:val="00B9795D"/>
    <w:rsid w:val="00B97C3D"/>
    <w:rsid w:val="00BB156C"/>
    <w:rsid w:val="00BC07A1"/>
    <w:rsid w:val="00BD2E08"/>
    <w:rsid w:val="00BD4150"/>
    <w:rsid w:val="00BD6DED"/>
    <w:rsid w:val="00BD6E58"/>
    <w:rsid w:val="00BD7B32"/>
    <w:rsid w:val="00BE27BD"/>
    <w:rsid w:val="00BE44E9"/>
    <w:rsid w:val="00BF2D5F"/>
    <w:rsid w:val="00C12A89"/>
    <w:rsid w:val="00C26CB0"/>
    <w:rsid w:val="00C30550"/>
    <w:rsid w:val="00C453EC"/>
    <w:rsid w:val="00C55687"/>
    <w:rsid w:val="00C60F23"/>
    <w:rsid w:val="00C62E8C"/>
    <w:rsid w:val="00C6727C"/>
    <w:rsid w:val="00C715C7"/>
    <w:rsid w:val="00C73669"/>
    <w:rsid w:val="00C76CFB"/>
    <w:rsid w:val="00C77373"/>
    <w:rsid w:val="00C81B23"/>
    <w:rsid w:val="00C824E0"/>
    <w:rsid w:val="00C92257"/>
    <w:rsid w:val="00C92DCD"/>
    <w:rsid w:val="00C93585"/>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316"/>
    <w:rsid w:val="00D044CF"/>
    <w:rsid w:val="00D05B64"/>
    <w:rsid w:val="00D13744"/>
    <w:rsid w:val="00D13F3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426B"/>
    <w:rsid w:val="00D85FDF"/>
    <w:rsid w:val="00DA1130"/>
    <w:rsid w:val="00DA2973"/>
    <w:rsid w:val="00DA2CB4"/>
    <w:rsid w:val="00DA4F15"/>
    <w:rsid w:val="00DA68B5"/>
    <w:rsid w:val="00DB2A9D"/>
    <w:rsid w:val="00DB328E"/>
    <w:rsid w:val="00DB7ED7"/>
    <w:rsid w:val="00DC037E"/>
    <w:rsid w:val="00DC2C92"/>
    <w:rsid w:val="00DC37D8"/>
    <w:rsid w:val="00DC5331"/>
    <w:rsid w:val="00DD064E"/>
    <w:rsid w:val="00DD11C2"/>
    <w:rsid w:val="00DD3A93"/>
    <w:rsid w:val="00DD5282"/>
    <w:rsid w:val="00DE242C"/>
    <w:rsid w:val="00DE39E9"/>
    <w:rsid w:val="00DE67DC"/>
    <w:rsid w:val="00DE7DE7"/>
    <w:rsid w:val="00DF5C40"/>
    <w:rsid w:val="00E05C8B"/>
    <w:rsid w:val="00E07490"/>
    <w:rsid w:val="00E10871"/>
    <w:rsid w:val="00E269DF"/>
    <w:rsid w:val="00E3079F"/>
    <w:rsid w:val="00E33328"/>
    <w:rsid w:val="00E43303"/>
    <w:rsid w:val="00E43329"/>
    <w:rsid w:val="00E43D99"/>
    <w:rsid w:val="00E6465E"/>
    <w:rsid w:val="00E65112"/>
    <w:rsid w:val="00E66771"/>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092"/>
    <w:rsid w:val="00EF5168"/>
    <w:rsid w:val="00F06E77"/>
    <w:rsid w:val="00F1209C"/>
    <w:rsid w:val="00F12DBE"/>
    <w:rsid w:val="00F172CC"/>
    <w:rsid w:val="00F17D15"/>
    <w:rsid w:val="00F216BD"/>
    <w:rsid w:val="00F21B4B"/>
    <w:rsid w:val="00F36316"/>
    <w:rsid w:val="00F4103D"/>
    <w:rsid w:val="00F44D4C"/>
    <w:rsid w:val="00F471A8"/>
    <w:rsid w:val="00F6130E"/>
    <w:rsid w:val="00F65446"/>
    <w:rsid w:val="00F65C09"/>
    <w:rsid w:val="00F72AE5"/>
    <w:rsid w:val="00F72F58"/>
    <w:rsid w:val="00F8098A"/>
    <w:rsid w:val="00F825B4"/>
    <w:rsid w:val="00F97575"/>
    <w:rsid w:val="00FA3485"/>
    <w:rsid w:val="00FB64F2"/>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48214784"/>
        <c:axId val="48216320"/>
      </c:lineChart>
      <c:catAx>
        <c:axId val="48214784"/>
        <c:scaling>
          <c:orientation val="minMax"/>
        </c:scaling>
        <c:delete val="0"/>
        <c:axPos val="b"/>
        <c:numFmt formatCode="General" sourceLinked="1"/>
        <c:majorTickMark val="out"/>
        <c:minorTickMark val="none"/>
        <c:tickLblPos val="nextTo"/>
        <c:crossAx val="48216320"/>
        <c:crosses val="autoZero"/>
        <c:auto val="1"/>
        <c:lblAlgn val="ctr"/>
        <c:lblOffset val="100"/>
        <c:noMultiLvlLbl val="0"/>
      </c:catAx>
      <c:valAx>
        <c:axId val="48216320"/>
        <c:scaling>
          <c:orientation val="minMax"/>
          <c:max val="0.4"/>
          <c:min val="0.2"/>
        </c:scaling>
        <c:delete val="0"/>
        <c:axPos val="l"/>
        <c:majorGridlines/>
        <c:numFmt formatCode="General" sourceLinked="1"/>
        <c:majorTickMark val="out"/>
        <c:minorTickMark val="none"/>
        <c:tickLblPos val="nextTo"/>
        <c:crossAx val="48214784"/>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48225664"/>
        <c:axId val="182822016"/>
      </c:lineChart>
      <c:catAx>
        <c:axId val="48225664"/>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182822016"/>
        <c:crosses val="autoZero"/>
        <c:auto val="1"/>
        <c:lblAlgn val="ctr"/>
        <c:lblOffset val="100"/>
        <c:noMultiLvlLbl val="0"/>
      </c:catAx>
      <c:valAx>
        <c:axId val="182822016"/>
        <c:scaling>
          <c:orientation val="minMax"/>
        </c:scaling>
        <c:delete val="0"/>
        <c:axPos val="l"/>
        <c:majorGridlines/>
        <c:numFmt formatCode="General" sourceLinked="1"/>
        <c:majorTickMark val="out"/>
        <c:minorTickMark val="none"/>
        <c:tickLblPos val="nextTo"/>
        <c:crossAx val="48225664"/>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C4C69-7C0F-4A10-AC87-B56B27B1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27</Pages>
  <Words>12607</Words>
  <Characters>71862</Characters>
  <Application>Microsoft Office Word</Application>
  <DocSecurity>0</DocSecurity>
  <Lines>598</Lines>
  <Paragraphs>168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2</cp:revision>
  <cp:lastPrinted>2014-11-28T15:51:00Z</cp:lastPrinted>
  <dcterms:created xsi:type="dcterms:W3CDTF">2015-01-13T09:21:00Z</dcterms:created>
  <dcterms:modified xsi:type="dcterms:W3CDTF">2015-01-13T09:21:00Z</dcterms:modified>
</cp:coreProperties>
</file>