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FA53EC" w14:paraId="79D4C329" w14:textId="77777777" w:rsidTr="00B57CCB">
        <w:trPr>
          <w:trHeight w:hRule="exact" w:val="11997"/>
        </w:trPr>
        <w:tc>
          <w:tcPr>
            <w:tcW w:w="8392" w:type="dxa"/>
            <w:shd w:val="clear" w:color="auto" w:fill="auto"/>
            <w:tcMar>
              <w:top w:w="284" w:type="dxa"/>
            </w:tcMar>
          </w:tcPr>
          <w:p w14:paraId="5755E644" w14:textId="65149CAE" w:rsidR="00B57CCB" w:rsidRPr="00264D81" w:rsidRDefault="00FA53EC" w:rsidP="00B57CCB">
            <w:pPr>
              <w:pStyle w:val="Title"/>
              <w:jc w:val="center"/>
              <w:rPr>
                <w:sz w:val="40"/>
                <w:szCs w:val="40"/>
                <w:lang w:val="en-US"/>
              </w:rPr>
            </w:pPr>
            <w:r w:rsidRPr="00264D81">
              <w:rPr>
                <w:sz w:val="40"/>
                <w:szCs w:val="40"/>
                <w:lang w:val="en-US"/>
              </w:rPr>
              <w:t xml:space="preserve">Are </w:t>
            </w:r>
            <w:r w:rsidR="00F10C8A" w:rsidRPr="00264D81">
              <w:rPr>
                <w:sz w:val="40"/>
                <w:szCs w:val="40"/>
                <w:lang w:val="en-US"/>
              </w:rPr>
              <w:t>tax data suitable to assess inequality trends?</w:t>
            </w:r>
          </w:p>
          <w:p w14:paraId="156FA462" w14:textId="77777777" w:rsidR="00B57CCB" w:rsidRPr="00D044CF" w:rsidRDefault="00B57CCB" w:rsidP="00B57CCB">
            <w:pPr>
              <w:pStyle w:val="Subtitle"/>
              <w:jc w:val="center"/>
              <w:rPr>
                <w:lang w:val="en-US"/>
              </w:rPr>
            </w:pPr>
            <w:bookmarkStart w:id="0" w:name="_Toc406505782"/>
            <w:r>
              <w:rPr>
                <w:lang w:val="en-US"/>
              </w:rPr>
              <w:t xml:space="preserve">Income Inequality in </w:t>
            </w:r>
            <w:r w:rsidRPr="00D044CF">
              <w:rPr>
                <w:lang w:val="en-US"/>
              </w:rPr>
              <w:t>Switzerland from 19</w:t>
            </w:r>
            <w:r>
              <w:rPr>
                <w:lang w:val="en-US"/>
              </w:rPr>
              <w:t>45</w:t>
            </w:r>
            <w:r w:rsidRPr="00D044CF">
              <w:rPr>
                <w:lang w:val="en-US"/>
              </w:rPr>
              <w:t xml:space="preserve"> to 201</w:t>
            </w:r>
            <w:r>
              <w:rPr>
                <w:lang w:val="en-US"/>
              </w:rPr>
              <w:t>1</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ins w:id="1" w:author="Hümbelin Oliver" w:date="2015-01-21T10:44:00Z"/>
                <w:lang w:val="en-US"/>
              </w:rPr>
            </w:pPr>
          </w:p>
          <w:p w14:paraId="6DFBC680" w14:textId="6272F0CA" w:rsidR="00B57CCB" w:rsidRDefault="00B57CCB" w:rsidP="00C368ED">
            <w:pPr>
              <w:jc w:val="center"/>
              <w:rPr>
                <w:b/>
                <w:lang w:val="en-US"/>
              </w:rPr>
            </w:pPr>
            <w:r>
              <w:rPr>
                <w:lang w:val="en-US"/>
              </w:rPr>
              <w:t>January</w:t>
            </w:r>
            <w:r w:rsidRPr="00EF5168">
              <w:rPr>
                <w:lang w:val="en-US"/>
              </w:rPr>
              <w:t xml:space="preserve"> 201</w:t>
            </w:r>
            <w:r>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3803DB87" w:rsidR="0093785D" w:rsidRDefault="00B57CCB" w:rsidP="000C23D4">
            <w:pPr>
              <w:rPr>
                <w:lang w:val="en-US"/>
              </w:rPr>
            </w:pPr>
            <w:r w:rsidRPr="00154023">
              <w:rPr>
                <w:lang w:val="en-US"/>
              </w:rPr>
              <w:t xml:space="preserve">In many countries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93785D">
              <w:rPr>
                <w:lang w:val="en-US"/>
              </w:rPr>
              <w:t xml:space="preserve"> </w:t>
            </w:r>
            <w:r>
              <w:rPr>
                <w:lang w:val="en-US"/>
              </w:rPr>
              <w:t xml:space="preserve">concepts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inequality analysis. Second</w:t>
            </w:r>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93785D">
              <w:rPr>
                <w:lang w:val="en-US"/>
              </w:rPr>
              <w:t xml:space="preserve"> </w:t>
            </w:r>
            <w:bookmarkStart w:id="2" w:name="_GoBack"/>
            <w:bookmarkEnd w:id="2"/>
            <w:r w:rsidR="0093785D">
              <w:rPr>
                <w:lang w:val="en-US"/>
              </w:rPr>
              <w:t xml:space="preserve">with aggregated tax statistics from the Swiss Federal Tax Administration (FTA).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is a</w:t>
            </w:r>
            <w:r w:rsidR="00F10C8A">
              <w:rPr>
                <w:lang w:val="en-US"/>
              </w:rPr>
              <w:t>n</w:t>
            </w:r>
            <w:r w:rsidR="000C23D4">
              <w:rPr>
                <w:lang w:val="en-US"/>
              </w:rPr>
              <w:t xml:space="preserve"> </w:t>
            </w:r>
            <w:r w:rsidR="00F10C8A" w:rsidRPr="00F10C8A">
              <w:rPr>
                <w:lang w:val="en-US"/>
              </w:rPr>
              <w:t>indispensable</w:t>
            </w:r>
            <w:r w:rsidR="00F10C8A" w:rsidRPr="00F10C8A" w:rsidDel="00F10C8A">
              <w:rPr>
                <w:lang w:val="en-US"/>
              </w:rPr>
              <w:t xml:space="preserve"> </w:t>
            </w:r>
            <w:r w:rsidR="00F10C8A">
              <w:rPr>
                <w:lang w:val="en-US"/>
              </w:rPr>
              <w:t>source 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3"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rPr>
          <w:ins w:id="4" w:author="Hümbelin Oliver" w:date="2015-01-19T15:51:00Z"/>
        </w:rPr>
      </w:pPr>
      <w:bookmarkStart w:id="5" w:name="_Toc406505783"/>
    </w:p>
    <w:p w14:paraId="54C47683" w14:textId="77777777" w:rsidR="00DD120E" w:rsidRDefault="00DD120E" w:rsidP="004F7B96">
      <w:pPr>
        <w:pStyle w:val="Inhaltsverzeichnis"/>
        <w:spacing w:line="100" w:lineRule="atLeast"/>
        <w:rPr>
          <w:ins w:id="6" w:author="Hümbelin Oliver" w:date="2015-01-19T15:51:00Z"/>
        </w:rPr>
      </w:pPr>
    </w:p>
    <w:p w14:paraId="10035FE0" w14:textId="77777777" w:rsidR="00DD120E" w:rsidRDefault="00DD120E" w:rsidP="004F7B96">
      <w:pPr>
        <w:pStyle w:val="Inhaltsverzeichnis"/>
        <w:spacing w:line="100" w:lineRule="atLeast"/>
        <w:rPr>
          <w:ins w:id="7" w:author="Hümbelin Oliver" w:date="2015-01-19T15:51:00Z"/>
        </w:rPr>
      </w:pPr>
    </w:p>
    <w:p w14:paraId="6C81D782" w14:textId="77777777" w:rsidR="00DD120E" w:rsidRDefault="00DD120E" w:rsidP="004F7B96">
      <w:pPr>
        <w:pStyle w:val="Inhaltsverzeichnis"/>
        <w:spacing w:line="100" w:lineRule="atLeast"/>
        <w:rPr>
          <w:ins w:id="8" w:author="Hümbelin Oliver" w:date="2015-01-19T15:51:00Z"/>
        </w:rPr>
      </w:pPr>
    </w:p>
    <w:p w14:paraId="4C358CD6" w14:textId="77777777" w:rsidR="00DD120E" w:rsidRDefault="00DD120E" w:rsidP="004F7B96">
      <w:pPr>
        <w:pStyle w:val="Inhaltsverzeichnis"/>
        <w:spacing w:line="100" w:lineRule="atLeast"/>
        <w:rPr>
          <w:ins w:id="9" w:author="Hümbelin Oliver" w:date="2015-01-19T15:51:00Z"/>
        </w:rPr>
      </w:pPr>
    </w:p>
    <w:p w14:paraId="3D68DC43" w14:textId="77777777" w:rsidR="00DD120E" w:rsidRDefault="00DD120E" w:rsidP="004F7B96">
      <w:pPr>
        <w:pStyle w:val="Inhaltsverzeichnis"/>
        <w:spacing w:line="100" w:lineRule="atLeast"/>
        <w:rPr>
          <w:ins w:id="10" w:author="Hümbelin Oliver" w:date="2015-01-19T15:51:00Z"/>
        </w:rPr>
      </w:pPr>
    </w:p>
    <w:p w14:paraId="7AD6CD1B" w14:textId="77777777" w:rsidR="00DD120E" w:rsidRDefault="00DD120E" w:rsidP="004F7B96">
      <w:pPr>
        <w:pStyle w:val="Inhaltsverzeichnis"/>
        <w:spacing w:line="100" w:lineRule="atLeast"/>
        <w:rPr>
          <w:ins w:id="11" w:author="Hümbelin Oliver" w:date="2015-01-19T15:51:00Z"/>
        </w:rPr>
      </w:pPr>
    </w:p>
    <w:p w14:paraId="1D876BB0" w14:textId="77777777" w:rsidR="00DD120E" w:rsidRDefault="00DD120E" w:rsidP="004F7B96">
      <w:pPr>
        <w:pStyle w:val="Inhaltsverzeichnis"/>
        <w:spacing w:line="100" w:lineRule="atLeast"/>
        <w:rPr>
          <w:ins w:id="12" w:author="Hümbelin Oliver" w:date="2015-01-19T15:51:00Z"/>
        </w:rPr>
      </w:pPr>
    </w:p>
    <w:p w14:paraId="6F3B018C" w14:textId="77777777" w:rsidR="00DD120E" w:rsidRDefault="00DD120E" w:rsidP="004F7B96">
      <w:pPr>
        <w:pStyle w:val="Inhaltsverzeichnis"/>
        <w:spacing w:line="100" w:lineRule="atLeast"/>
        <w:rPr>
          <w:ins w:id="13" w:author="Hümbelin Oliver" w:date="2015-01-19T15:51:00Z"/>
        </w:rPr>
      </w:pPr>
    </w:p>
    <w:p w14:paraId="45B7440E" w14:textId="77777777" w:rsidR="00DD120E" w:rsidRDefault="00DD120E" w:rsidP="004F7B96">
      <w:pPr>
        <w:pStyle w:val="Inhaltsverzeichnis"/>
        <w:spacing w:line="100" w:lineRule="atLeast"/>
        <w:rPr>
          <w:ins w:id="14" w:author="Hümbelin Oliver" w:date="2015-01-19T15:51:00Z"/>
        </w:rPr>
      </w:pPr>
    </w:p>
    <w:p w14:paraId="22BAB204" w14:textId="77777777" w:rsidR="00DD120E" w:rsidRDefault="00DD120E" w:rsidP="004F7B96">
      <w:pPr>
        <w:pStyle w:val="Inhaltsverzeichnis"/>
        <w:spacing w:line="100" w:lineRule="atLeast"/>
        <w:rPr>
          <w:ins w:id="15" w:author="Hümbelin Oliver" w:date="2015-01-19T15:51:00Z"/>
        </w:rPr>
      </w:pPr>
    </w:p>
    <w:p w14:paraId="6F4C10A0" w14:textId="77777777" w:rsidR="00DD120E" w:rsidRDefault="00DD120E" w:rsidP="004F7B96">
      <w:pPr>
        <w:pStyle w:val="Inhaltsverzeichnis"/>
        <w:spacing w:line="100" w:lineRule="atLeast"/>
        <w:rPr>
          <w:ins w:id="16" w:author="Hümbelin Oliver" w:date="2015-01-19T15:51:00Z"/>
        </w:rPr>
      </w:pPr>
    </w:p>
    <w:p w14:paraId="5426CDC6" w14:textId="77777777" w:rsidR="00DD120E" w:rsidRDefault="00DD120E" w:rsidP="004F7B96">
      <w:pPr>
        <w:pStyle w:val="Inhaltsverzeichnis"/>
        <w:spacing w:line="100" w:lineRule="atLeast"/>
        <w:rPr>
          <w:ins w:id="17" w:author="Hümbelin Oliver" w:date="2015-01-19T15:51:00Z"/>
        </w:rPr>
      </w:pPr>
    </w:p>
    <w:p w14:paraId="6FB10450" w14:textId="77777777" w:rsidR="00DD120E" w:rsidRDefault="00DD120E" w:rsidP="004F7B96">
      <w:pPr>
        <w:pStyle w:val="Inhaltsverzeichnis"/>
        <w:spacing w:line="100" w:lineRule="atLeast"/>
        <w:rPr>
          <w:ins w:id="18" w:author="Hümbelin Oliver" w:date="2015-01-19T15:51:00Z"/>
        </w:rPr>
      </w:pPr>
    </w:p>
    <w:p w14:paraId="74FF53AA" w14:textId="77777777" w:rsidR="00DD120E" w:rsidRDefault="00DD120E" w:rsidP="004F7B96">
      <w:pPr>
        <w:pStyle w:val="Inhaltsverzeichnis"/>
        <w:spacing w:line="100" w:lineRule="atLeast"/>
        <w:rPr>
          <w:ins w:id="19" w:author="Hümbelin Oliver" w:date="2015-01-19T15:51:00Z"/>
        </w:rPr>
      </w:pPr>
    </w:p>
    <w:p w14:paraId="0239A276" w14:textId="77777777" w:rsidR="00DD120E" w:rsidRDefault="00DD120E" w:rsidP="004F7B96">
      <w:pPr>
        <w:pStyle w:val="Inhaltsverzeichnis"/>
        <w:spacing w:line="100" w:lineRule="atLeast"/>
        <w:rPr>
          <w:ins w:id="20" w:author="Hümbelin Oliver" w:date="2015-01-19T15:51:00Z"/>
        </w:rPr>
      </w:pPr>
    </w:p>
    <w:p w14:paraId="781A4C86" w14:textId="77777777" w:rsidR="00DD120E" w:rsidRDefault="00DD120E" w:rsidP="004F7B96">
      <w:pPr>
        <w:pStyle w:val="Inhaltsverzeichnis"/>
        <w:spacing w:line="100" w:lineRule="atLeast"/>
        <w:rPr>
          <w:ins w:id="21" w:author="Hümbelin Oliver" w:date="2015-01-19T15:51:00Z"/>
        </w:rPr>
      </w:pPr>
    </w:p>
    <w:p w14:paraId="23F6B1B6" w14:textId="77777777" w:rsidR="00DD120E" w:rsidRDefault="00DD120E" w:rsidP="004F7B96">
      <w:pPr>
        <w:pStyle w:val="Inhaltsverzeichnis"/>
        <w:spacing w:line="100" w:lineRule="atLeast"/>
        <w:rPr>
          <w:ins w:id="22" w:author="Hümbelin Oliver" w:date="2015-01-19T15:51:00Z"/>
        </w:rPr>
      </w:pPr>
    </w:p>
    <w:p w14:paraId="4A0C5547" w14:textId="77777777" w:rsidR="00DD120E" w:rsidRDefault="00DD120E" w:rsidP="004F7B96">
      <w:pPr>
        <w:pStyle w:val="Inhaltsverzeichnis"/>
        <w:spacing w:line="100" w:lineRule="atLeast"/>
        <w:rPr>
          <w:ins w:id="23" w:author="Hümbelin Oliver" w:date="2015-01-19T15:51:00Z"/>
        </w:rPr>
      </w:pPr>
    </w:p>
    <w:p w14:paraId="56306D8B" w14:textId="77777777" w:rsidR="00DD120E" w:rsidRDefault="00DD120E" w:rsidP="004F7B96">
      <w:pPr>
        <w:pStyle w:val="Inhaltsverzeichnis"/>
        <w:spacing w:line="100" w:lineRule="atLeast"/>
        <w:rPr>
          <w:ins w:id="24" w:author="Hümbelin Oliver" w:date="2015-01-19T15:51:00Z"/>
        </w:rPr>
      </w:pPr>
    </w:p>
    <w:p w14:paraId="1AE744CA" w14:textId="77777777" w:rsidR="00DD120E" w:rsidRDefault="00DD120E" w:rsidP="004F7B96">
      <w:pPr>
        <w:pStyle w:val="Inhaltsverzeichnis"/>
        <w:spacing w:line="100" w:lineRule="atLeast"/>
        <w:rPr>
          <w:ins w:id="25" w:author="Hümbelin Oliver" w:date="2015-01-19T15:51:00Z"/>
        </w:rPr>
      </w:pPr>
    </w:p>
    <w:p w14:paraId="3546C450" w14:textId="77777777" w:rsidR="00DD120E" w:rsidRDefault="00DD120E" w:rsidP="004F7B96">
      <w:pPr>
        <w:pStyle w:val="Inhaltsverzeichnis"/>
        <w:spacing w:line="100" w:lineRule="atLeast"/>
        <w:rPr>
          <w:ins w:id="26" w:author="Hümbelin Oliver" w:date="2015-01-19T15:51:00Z"/>
        </w:rPr>
      </w:pPr>
    </w:p>
    <w:p w14:paraId="76E5FD1D" w14:textId="77777777" w:rsidR="00DD120E" w:rsidRDefault="00DD120E" w:rsidP="004F7B96">
      <w:pPr>
        <w:pStyle w:val="Inhaltsverzeichnis"/>
        <w:spacing w:line="100" w:lineRule="atLeast"/>
        <w:rPr>
          <w:ins w:id="27" w:author="Hümbelin Oliver" w:date="2015-01-19T15:51:00Z"/>
        </w:rPr>
      </w:pPr>
    </w:p>
    <w:p w14:paraId="702C2962" w14:textId="77777777" w:rsidR="00DD120E" w:rsidRDefault="00DD120E" w:rsidP="004F7B96">
      <w:pPr>
        <w:pStyle w:val="Inhaltsverzeichnis"/>
        <w:spacing w:line="100" w:lineRule="atLeast"/>
        <w:rPr>
          <w:ins w:id="28" w:author="Hümbelin Oliver" w:date="2015-01-19T15:51:00Z"/>
        </w:rPr>
      </w:pPr>
    </w:p>
    <w:p w14:paraId="693C8B5C" w14:textId="77777777" w:rsidR="00DD120E" w:rsidRDefault="00DD120E" w:rsidP="004F7B96">
      <w:pPr>
        <w:pStyle w:val="Inhaltsverzeichnis"/>
        <w:spacing w:line="100" w:lineRule="atLeast"/>
        <w:rPr>
          <w:ins w:id="29" w:author="Hümbelin Oliver" w:date="2015-01-19T15:51:00Z"/>
        </w:rPr>
      </w:pPr>
    </w:p>
    <w:p w14:paraId="52BB44E0" w14:textId="77777777" w:rsidR="00DD120E" w:rsidRDefault="00DD120E" w:rsidP="004F7B96">
      <w:pPr>
        <w:pStyle w:val="Inhaltsverzeichnis"/>
        <w:spacing w:line="100" w:lineRule="atLeast"/>
        <w:rPr>
          <w:ins w:id="30" w:author="Hümbelin Oliver" w:date="2015-01-19T15:51:00Z"/>
        </w:rPr>
      </w:pPr>
    </w:p>
    <w:p w14:paraId="754E3A43" w14:textId="77777777" w:rsidR="00DD120E" w:rsidRDefault="00DD120E" w:rsidP="004F7B96">
      <w:pPr>
        <w:pStyle w:val="Inhaltsverzeichnis"/>
        <w:spacing w:line="100" w:lineRule="atLeast"/>
        <w:rPr>
          <w:ins w:id="31" w:author="Hümbelin Oliver" w:date="2015-01-19T15:51:00Z"/>
        </w:rPr>
      </w:pPr>
    </w:p>
    <w:p w14:paraId="551E03F7" w14:textId="77777777" w:rsidR="00DD120E" w:rsidRDefault="00DD120E" w:rsidP="004F7B96">
      <w:pPr>
        <w:pStyle w:val="Inhaltsverzeichnis"/>
        <w:spacing w:line="100" w:lineRule="atLeast"/>
        <w:rPr>
          <w:ins w:id="32" w:author="Hümbelin Oliver" w:date="2015-01-19T15:51:00Z"/>
        </w:rPr>
      </w:pPr>
    </w:p>
    <w:p w14:paraId="7B8AFCA9" w14:textId="77777777" w:rsidR="00DD120E" w:rsidRDefault="00DD120E" w:rsidP="004F7B96">
      <w:pPr>
        <w:pStyle w:val="Inhaltsverzeichnis"/>
        <w:spacing w:line="100" w:lineRule="atLeast"/>
        <w:rPr>
          <w:ins w:id="33" w:author="Hümbelin Oliver" w:date="2015-01-19T15:51:00Z"/>
        </w:rPr>
      </w:pPr>
    </w:p>
    <w:p w14:paraId="1E0BC8BF" w14:textId="77777777" w:rsidR="00DD120E" w:rsidRDefault="00DD120E" w:rsidP="004F7B96">
      <w:pPr>
        <w:pStyle w:val="Inhaltsverzeichnis"/>
        <w:spacing w:line="100" w:lineRule="atLeast"/>
        <w:rPr>
          <w:ins w:id="34" w:author="Hümbelin Oliver" w:date="2015-01-19T15:51:00Z"/>
        </w:rPr>
      </w:pPr>
    </w:p>
    <w:p w14:paraId="452109B3" w14:textId="77777777" w:rsidR="00DD120E" w:rsidRDefault="00DD120E" w:rsidP="004F7B96">
      <w:pPr>
        <w:pStyle w:val="Inhaltsverzeichnis"/>
        <w:spacing w:line="100" w:lineRule="atLeast"/>
        <w:rPr>
          <w:ins w:id="35" w:author="Hümbelin Oliver" w:date="2015-01-19T15:51:00Z"/>
        </w:rPr>
      </w:pPr>
    </w:p>
    <w:p w14:paraId="1F7DE85A" w14:textId="77777777" w:rsidR="00DD120E" w:rsidRDefault="00DD120E" w:rsidP="004F7B96">
      <w:pPr>
        <w:pStyle w:val="Inhaltsverzeichnis"/>
        <w:spacing w:line="100" w:lineRule="atLeast"/>
        <w:rPr>
          <w:ins w:id="36" w:author="Hümbelin Oliver" w:date="2015-01-19T15:51:00Z"/>
        </w:rPr>
      </w:pPr>
    </w:p>
    <w:p w14:paraId="3C4793BF" w14:textId="77777777" w:rsidR="00DD120E" w:rsidRDefault="00DD120E" w:rsidP="004F7B96">
      <w:pPr>
        <w:pStyle w:val="Inhaltsverzeichnis"/>
        <w:spacing w:line="100" w:lineRule="atLeast"/>
        <w:rPr>
          <w:ins w:id="37" w:author="Hümbelin Oliver" w:date="2015-01-19T15:51:00Z"/>
        </w:rPr>
      </w:pPr>
    </w:p>
    <w:p w14:paraId="20FBD211" w14:textId="77777777" w:rsidR="00DD120E" w:rsidRDefault="00DD120E" w:rsidP="004F7B96">
      <w:pPr>
        <w:pStyle w:val="Inhaltsverzeichnis"/>
        <w:spacing w:line="100" w:lineRule="atLeast"/>
        <w:rPr>
          <w:ins w:id="38" w:author="Hümbelin Oliver" w:date="2015-01-19T15:51:00Z"/>
        </w:rPr>
      </w:pPr>
    </w:p>
    <w:p w14:paraId="77B69B2F" w14:textId="77777777" w:rsidR="00DD120E" w:rsidRDefault="00DD120E" w:rsidP="004F7B96">
      <w:pPr>
        <w:pStyle w:val="Inhaltsverzeichnis"/>
        <w:spacing w:line="100" w:lineRule="atLeast"/>
        <w:rPr>
          <w:ins w:id="39" w:author="Hümbelin Oliver" w:date="2015-01-19T15:51:00Z"/>
        </w:rPr>
      </w:pPr>
    </w:p>
    <w:p w14:paraId="336C3F14" w14:textId="77777777" w:rsidR="00DD120E" w:rsidRDefault="00DD120E" w:rsidP="004F7B96">
      <w:pPr>
        <w:pStyle w:val="Inhaltsverzeichnis"/>
        <w:spacing w:line="100" w:lineRule="atLeast"/>
        <w:rPr>
          <w:ins w:id="40" w:author="Hümbelin Oliver" w:date="2015-01-19T15:51:00Z"/>
        </w:rPr>
      </w:pPr>
    </w:p>
    <w:p w14:paraId="5ABCB669" w14:textId="77777777" w:rsidR="00DD120E" w:rsidRDefault="00DD120E" w:rsidP="004F7B96">
      <w:pPr>
        <w:pStyle w:val="Inhaltsverzeichnis"/>
        <w:spacing w:line="100" w:lineRule="atLeast"/>
        <w:rPr>
          <w:ins w:id="41" w:author="Hümbelin Oliver" w:date="2015-01-19T15:51:00Z"/>
        </w:rPr>
      </w:pPr>
    </w:p>
    <w:p w14:paraId="14AEB350" w14:textId="77777777" w:rsidR="00DD120E" w:rsidRDefault="00DD120E" w:rsidP="004F7B96">
      <w:pPr>
        <w:pStyle w:val="Inhaltsverzeichnis"/>
        <w:spacing w:line="100" w:lineRule="atLeast"/>
        <w:rPr>
          <w:ins w:id="42" w:author="Hümbelin Oliver" w:date="2015-01-19T15:51:00Z"/>
        </w:rPr>
      </w:pPr>
    </w:p>
    <w:p w14:paraId="626B30B7" w14:textId="77777777" w:rsidR="00DD120E" w:rsidRDefault="00DD120E" w:rsidP="004F7B96">
      <w:pPr>
        <w:pStyle w:val="Inhaltsverzeichnis"/>
        <w:spacing w:line="100" w:lineRule="atLeast"/>
      </w:pPr>
    </w:p>
    <w:bookmarkEnd w:id="5"/>
    <w:p w14:paraId="53B554C3" w14:textId="77777777" w:rsidR="006312CC" w:rsidRPr="00DE7DE7" w:rsidRDefault="006312CC" w:rsidP="00D044CF">
      <w:pPr>
        <w:pStyle w:val="Heading1"/>
        <w:rPr>
          <w:lang w:val="en-US"/>
        </w:rPr>
      </w:pPr>
      <w:r>
        <w:br w:type="page"/>
      </w:r>
      <w:bookmarkStart w:id="43" w:name="_Toc406505784"/>
      <w:r w:rsidR="00D044CF" w:rsidRPr="00DE7DE7">
        <w:rPr>
          <w:lang w:val="en-US"/>
        </w:rPr>
        <w:lastRenderedPageBreak/>
        <w:t>Introduction</w:t>
      </w:r>
      <w:bookmarkEnd w:id="43"/>
    </w:p>
    <w:p w14:paraId="6E81AE81" w14:textId="2C984A40"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central 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t>
      </w:r>
      <w:proofErr w:type="gramStart"/>
      <w:r w:rsidRPr="00D044CF">
        <w:rPr>
          <w:lang w:val="en-US"/>
        </w:rPr>
        <w:t xml:space="preserve">which </w:t>
      </w:r>
      <w:r w:rsidR="00F20F69">
        <w:rPr>
          <w:lang w:val="en-US"/>
        </w:rPr>
        <w:t>is generally described</w:t>
      </w:r>
      <w:r w:rsidRPr="00D044CF">
        <w:rPr>
          <w:lang w:val="en-US"/>
        </w:rPr>
        <w:t xml:space="preserve"> as the “hollowing of the middle class” (Alderson and Doran, 2013)</w:t>
      </w:r>
      <w:r w:rsidR="0090411B">
        <w:rPr>
          <w:lang w:val="en-US"/>
        </w:rPr>
        <w:t>.</w:t>
      </w:r>
      <w:proofErr w:type="gramEnd"/>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7FD8A4DC"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 xml:space="preserve">low response rates, which affect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 Today, all existing top income tax statistics based time series are collected and accessible through the world top income</w:t>
      </w:r>
      <w:r w:rsidR="009D3628">
        <w:rPr>
          <w:lang w:val="en-US"/>
        </w:rPr>
        <w:t>s</w:t>
      </w:r>
      <w:r w:rsidRPr="00D044CF">
        <w:rPr>
          <w:lang w:val="en-US"/>
        </w:rPr>
        <w:t xml:space="preserve">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1F290B19" w14:textId="2CB8F32C"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taxed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39B16450"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 xml:space="preserve">we analyze the theoretical advantages and shortcoming of tax data with a comparison of tax data </w:t>
      </w:r>
      <w:r w:rsidR="005F4AC2">
        <w:rPr>
          <w:lang w:val="en-US"/>
        </w:rPr>
        <w:t xml:space="preserve">and </w:t>
      </w:r>
      <w:r w:rsidR="00594AAC">
        <w:rPr>
          <w:lang w:val="en-US"/>
        </w:rPr>
        <w:t xml:space="preserve">survey data. </w:t>
      </w:r>
      <w:r w:rsidR="00594AAC" w:rsidRPr="00D044CF">
        <w:rPr>
          <w:lang w:val="en-US"/>
        </w:rPr>
        <w:t xml:space="preserve">In section 4 we introduce Switzerland as an interesting </w:t>
      </w:r>
      <w:r w:rsidR="00594AAC">
        <w:rPr>
          <w:lang w:val="en-US"/>
        </w:rPr>
        <w:t>example</w:t>
      </w:r>
      <w:r w:rsidR="00594AAC" w:rsidRPr="00D044CF">
        <w:rPr>
          <w:lang w:val="en-US"/>
        </w:rPr>
        <w:t xml:space="preserve"> for </w:t>
      </w:r>
      <w:r w:rsidR="00594AAC">
        <w:rPr>
          <w:lang w:val="en-US"/>
        </w:rPr>
        <w:t>the</w:t>
      </w:r>
      <w:r w:rsidR="00594AAC" w:rsidRPr="00D044CF">
        <w:rPr>
          <w:lang w:val="en-US"/>
        </w:rPr>
        <w:t xml:space="preserve"> </w:t>
      </w:r>
      <w:r w:rsidR="00594AAC">
        <w:rPr>
          <w:lang w:val="en-US"/>
        </w:rPr>
        <w:t>empirical section</w:t>
      </w:r>
      <w:r w:rsidR="00FA53EC">
        <w:rPr>
          <w:lang w:val="en-US"/>
        </w:rPr>
        <w:t xml:space="preserve"> 5</w:t>
      </w:r>
      <w:r w:rsidR="00594AAC" w:rsidRPr="00D044CF">
        <w:rPr>
          <w:lang w:val="en-US"/>
        </w:rPr>
        <w:t>.</w:t>
      </w:r>
      <w:r>
        <w:rPr>
          <w:lang w:val="en-US"/>
        </w:rPr>
        <w:t xml:space="preserve"> In this section we calculate the impact of tax data specific options on inequality</w:t>
      </w:r>
      <w:r w:rsidR="008973D6">
        <w:rPr>
          <w:lang w:val="en-US"/>
        </w:rPr>
        <w:t xml:space="preserve"> with federal tax statistics from Switzerland</w:t>
      </w:r>
      <w:r>
        <w:rPr>
          <w:lang w:val="en-US"/>
        </w:rPr>
        <w:t xml:space="preserve">. This allows us to distinguish major from minor methodological issues, which are summarized in </w:t>
      </w:r>
      <w:r w:rsidRPr="00D044CF">
        <w:rPr>
          <w:lang w:val="en-US"/>
        </w:rPr>
        <w:t>section 6</w:t>
      </w:r>
      <w:r w:rsidR="003D2183">
        <w:rPr>
          <w:lang w:val="en-US"/>
        </w:rPr>
        <w:t xml:space="preserve"> to show which methodological aspects inequality researchers working with tax data should treat with care.</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44" w:name="_Ref399330537"/>
      <w:bookmarkStart w:id="45" w:name="_Toc406505785"/>
      <w:commentRangeStart w:id="46"/>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44"/>
      <w:bookmarkEnd w:id="45"/>
      <w:commentRangeEnd w:id="46"/>
      <w:r w:rsidR="00F10C8A">
        <w:rPr>
          <w:rStyle w:val="CommentReference"/>
          <w:rFonts w:eastAsia="Lucida Sans"/>
          <w:bCs w:val="0"/>
        </w:rPr>
        <w:commentReference w:id="46"/>
      </w:r>
    </w:p>
    <w:p w14:paraId="5ED15EFB" w14:textId="0B8C65D5" w:rsidR="00594AAC" w:rsidRPr="008973D6" w:rsidRDefault="00594AAC" w:rsidP="002D6E2A">
      <w:pPr>
        <w:pStyle w:val="Heading2"/>
        <w:rPr>
          <w:lang w:val="en-US"/>
        </w:rPr>
      </w:pPr>
      <w:r>
        <w:rPr>
          <w:lang w:val="en-US"/>
        </w:rPr>
        <w:t>Concepts on measuring economic resources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7476EF51" w:rsidR="00036871" w:rsidRDefault="00D044CF" w:rsidP="009B2515">
      <w:pPr>
        <w:pStyle w:val="Caption"/>
        <w:rPr>
          <w:sz w:val="19"/>
          <w:szCs w:val="19"/>
          <w:lang w:val="en-US"/>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FE7E83">
        <w:rPr>
          <w:sz w:val="19"/>
          <w:szCs w:val="19"/>
          <w:lang w:val="en-US"/>
        </w:rPr>
        <w:t xml:space="preserve">In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w:t>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also to be accounted for</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proofErr w:type="gramStart"/>
      <w:r w:rsidR="001232D9" w:rsidRPr="006A2614">
        <w:rPr>
          <w:sz w:val="19"/>
          <w:szCs w:val="19"/>
          <w:lang w:val="en-US"/>
        </w:rPr>
        <w:t>income for example differ</w:t>
      </w:r>
      <w:proofErr w:type="gramEnd"/>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where redistribution through taxes and direct social transfers took pla</w:t>
      </w:r>
      <w:r w:rsidR="002D6E2A">
        <w:rPr>
          <w:sz w:val="19"/>
          <w:szCs w:val="19"/>
          <w:lang w:val="en-US"/>
        </w:rPr>
        <w:t>ce</w:t>
      </w:r>
      <w:r w:rsidR="008973D6">
        <w:rPr>
          <w:sz w:val="19"/>
          <w:szCs w:val="19"/>
          <w:lang w:val="en-US"/>
        </w:rPr>
        <w:t>.</w:t>
      </w:r>
      <w:r w:rsidRPr="006A2614">
        <w:rPr>
          <w:sz w:val="19"/>
          <w:szCs w:val="19"/>
          <w:lang w:val="en-US"/>
        </w:rPr>
        <w:t xml:space="preserve"> </w:t>
      </w:r>
    </w:p>
    <w:p w14:paraId="514E71FA" w14:textId="76F1F48C"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r w:rsidRPr="00E66771">
        <w:rPr>
          <w:noProof/>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p>
    <w:p w14:paraId="672B86C8" w14:textId="6F192C39" w:rsidR="009B2515" w:rsidRPr="00DD5282" w:rsidRDefault="00DD5282" w:rsidP="006A2614">
      <w:pPr>
        <w:pStyle w:val="Caption"/>
        <w:rPr>
          <w:sz w:val="24"/>
          <w:szCs w:val="24"/>
          <w:lang w:val="en-US"/>
        </w:rPr>
      </w:pPr>
      <w:bookmarkStart w:id="47" w:name="_Ref406511993"/>
      <w:bookmarkStart w:id="48"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47"/>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48"/>
    </w:p>
    <w:p w14:paraId="0A79EC9B" w14:textId="719E2D09" w:rsidR="00676E3F" w:rsidRPr="008B734B" w:rsidRDefault="00676E3F" w:rsidP="00676E3F">
      <w:pPr>
        <w:pStyle w:val="Heading2"/>
        <w:rPr>
          <w:lang w:val="en-US"/>
        </w:rPr>
      </w:pPr>
      <w:bookmarkStart w:id="49" w:name="_Ref399841803"/>
      <w:bookmarkStart w:id="50" w:name="_Ref399849930"/>
      <w:bookmarkStart w:id="51" w:name="_Toc406505787"/>
      <w:r w:rsidRPr="008B734B">
        <w:rPr>
          <w:lang w:val="en-US"/>
        </w:rPr>
        <w:t>Measuring inequality</w:t>
      </w:r>
      <w:bookmarkEnd w:id="49"/>
      <w:bookmarkEnd w:id="50"/>
      <w:bookmarkEnd w:id="51"/>
    </w:p>
    <w:p w14:paraId="0276AC69" w14:textId="286575C7"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0B017A00"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w:t>
      </w:r>
      <w:r w:rsidR="00017498">
        <w:rPr>
          <w:lang w:val="en-US"/>
        </w:rPr>
        <w:t>of</w:t>
      </w:r>
      <w:r w:rsidR="00017498" w:rsidRPr="00676E3F">
        <w:rPr>
          <w:lang w:val="en-US"/>
        </w:rPr>
        <w:t xml:space="preserve"> </w:t>
      </w:r>
      <w:r w:rsidRPr="00676E3F">
        <w:rPr>
          <w:lang w:val="en-US"/>
        </w:rPr>
        <w:t xml:space="preserve">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disadvantage is</w:t>
      </w:r>
      <w:r w:rsidR="0064455E">
        <w:rPr>
          <w:lang w:val="en-US"/>
        </w:rPr>
        <w:t xml:space="preserv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Pr="00676E3F">
        <w:rPr>
          <w:lang w:val="en-US"/>
        </w:rPr>
        <w:t xml:space="preserve"> </w:t>
      </w:r>
      <w:r w:rsidR="0066313E">
        <w:rPr>
          <w:lang w:val="en-US"/>
        </w:rPr>
        <w:t xml:space="preserve">some measures (Range, log variance and variance of logs) </w:t>
      </w:r>
      <w:r w:rsidRPr="00676E3F">
        <w:rPr>
          <w:lang w:val="en-US"/>
        </w:rPr>
        <w:t xml:space="preserve">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Pr="00676E3F">
        <w:rPr>
          <w:lang w:val="en-US"/>
        </w:rPr>
        <w:t xml:space="preserve"> a central property </w:t>
      </w:r>
      <w:r w:rsidR="00A04E33">
        <w:rPr>
          <w:lang w:val="en-US"/>
        </w:rPr>
        <w:t>of</w:t>
      </w:r>
      <w:r w:rsidR="00A04E33" w:rsidRPr="00676E3F">
        <w:rPr>
          <w:lang w:val="en-US"/>
        </w:rPr>
        <w:t xml:space="preserve"> </w:t>
      </w:r>
      <w:r w:rsidRPr="00676E3F">
        <w:rPr>
          <w:lang w:val="en-US"/>
        </w:rPr>
        <w:t>inequality measure</w:t>
      </w:r>
      <w:r w:rsidR="00A04E33">
        <w:rPr>
          <w:lang w:val="en-US"/>
        </w:rPr>
        <w:t>s</w:t>
      </w:r>
      <w:r w:rsidRPr="00676E3F">
        <w:rPr>
          <w:lang w:val="en-US"/>
        </w:rPr>
        <w:t xml:space="preser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6AF028DE"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(1) “</w:t>
      </w:r>
      <w:r w:rsidR="00845A7E">
        <w:rPr>
          <w:lang w:val="en-US"/>
        </w:rPr>
        <w:t>P</w:t>
      </w:r>
      <w:r w:rsidRPr="00676E3F">
        <w:rPr>
          <w:lang w:val="en-US"/>
        </w:rPr>
        <w:t>rinciple of population”: the assessment of inequality is independent of the population size</w:t>
      </w:r>
      <w:r w:rsidR="00AC6CAC">
        <w:rPr>
          <w:lang w:val="en-US"/>
        </w:rPr>
        <w:t>;</w:t>
      </w:r>
      <w:r w:rsidRPr="00676E3F">
        <w:rPr>
          <w:lang w:val="en-US"/>
        </w:rPr>
        <w:t xml:space="preserv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28F224"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4C0BA8B7" w:rsidR="001D27D7" w:rsidRDefault="00361A2D" w:rsidP="00FD5688">
      <w:pPr>
        <w:rPr>
          <w:lang w:val="en-US"/>
        </w:rPr>
      </w:pPr>
      <w:r>
        <w:rPr>
          <w:lang w:val="en-US"/>
        </w:rPr>
        <w:t xml:space="preserve">Given this plethora of inequality measure, how </w:t>
      </w:r>
      <w:r w:rsidR="00FB64F2">
        <w:rPr>
          <w:lang w:val="en-US"/>
        </w:rPr>
        <w:t>should the right one be cho</w:t>
      </w:r>
      <w:r>
        <w:rPr>
          <w:lang w:val="en-US"/>
        </w:rPr>
        <w:t>se</w:t>
      </w:r>
      <w:r w:rsidR="00FB64F2">
        <w:rPr>
          <w:lang w:val="en-US"/>
        </w:rPr>
        <w:t>n</w:t>
      </w:r>
      <w:r>
        <w:rPr>
          <w:lang w:val="en-US"/>
        </w:rPr>
        <w:t>? In general</w:t>
      </w:r>
      <w:r w:rsidR="00952889">
        <w:rPr>
          <w:lang w:val="en-US"/>
        </w:rPr>
        <w:t>, the decision should consider</w:t>
      </w:r>
      <w:r>
        <w:rPr>
          <w:lang w:val="en-US"/>
        </w:rPr>
        <w:t xml:space="preserve"> the research question, but </w:t>
      </w:r>
      <w:r w:rsidR="004F4785">
        <w:rPr>
          <w:lang w:val="en-US"/>
        </w:rPr>
        <w:t xml:space="preserve">broadly </w:t>
      </w:r>
      <w:proofErr w:type="gramStart"/>
      <w:r w:rsidR="004F4785">
        <w:rPr>
          <w:lang w:val="en-US"/>
        </w:rPr>
        <w:t>speaking,</w:t>
      </w:r>
      <w:proofErr w:type="gramEnd"/>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952889">
        <w:rPr>
          <w:lang w:val="en-US"/>
        </w:rPr>
        <w:t xml:space="preserve"> is not recommendable</w:t>
      </w:r>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6CD22641" w:rsidR="001D27D7" w:rsidRDefault="001D27D7" w:rsidP="001D27D7">
      <w:pPr>
        <w:pStyle w:val="Heading2"/>
      </w:pPr>
      <w:bookmarkStart w:id="53" w:name="_Ref406405239"/>
      <w:bookmarkStart w:id="54" w:name="_Toc406505788"/>
      <w:r w:rsidRPr="00A04E33">
        <w:rPr>
          <w:lang w:val="en-US"/>
        </w:rPr>
        <w:t>Statistical Units</w:t>
      </w:r>
      <w:bookmarkEnd w:id="53"/>
      <w:bookmarkEnd w:id="54"/>
    </w:p>
    <w:p w14:paraId="47E640C9" w14:textId="20C58475"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w:t>
      </w:r>
      <w:r w:rsidR="001D27D7" w:rsidRPr="00676E3F">
        <w:rPr>
          <w:lang w:val="en-US"/>
        </w:rPr>
        <w:lastRenderedPageBreak/>
        <w:t xml:space="preserve">resources and therefore pool their incomes (when two or more earners live together) and use the household income to provide the essentials of living for every household member (also non-earning members, like children). Additionally,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429B1DD0" w:rsidR="00676E3F" w:rsidRDefault="00676E3F" w:rsidP="00676E3F">
      <w:pPr>
        <w:pStyle w:val="Heading2"/>
        <w:rPr>
          <w:lang w:val="en-US"/>
        </w:rPr>
      </w:pPr>
      <w:bookmarkStart w:id="55" w:name="_Ref399841861"/>
      <w:bookmarkStart w:id="56" w:name="_Toc406505789"/>
      <w:r w:rsidRPr="00676E3F">
        <w:rPr>
          <w:lang w:val="en-US"/>
        </w:rPr>
        <w:t>Coverage Issues</w:t>
      </w:r>
      <w:bookmarkEnd w:id="55"/>
      <w:bookmarkEnd w:id="56"/>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57" w:name="_Ref399330540"/>
      <w:bookmarkStart w:id="58" w:name="_Toc406505790"/>
      <w:r w:rsidRPr="00B14648">
        <w:rPr>
          <w:lang w:val="en-US"/>
        </w:rPr>
        <w:t>Comparison of tax data and survey data – overview of advantages and shortcomings</w:t>
      </w:r>
      <w:bookmarkEnd w:id="57"/>
      <w:bookmarkEnd w:id="58"/>
    </w:p>
    <w:p w14:paraId="09876D70" w14:textId="4395F6FF"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59"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59"/>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691C3B11"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Furthermore, in </w:t>
      </w:r>
      <w:r w:rsidR="002E5A31">
        <w:rPr>
          <w:rFonts w:ascii="Lucida Sans" w:hAnsi="Lucida Sans"/>
          <w:sz w:val="19"/>
          <w:szCs w:val="19"/>
          <w:lang w:val="en-US"/>
        </w:rPr>
        <w:t>many</w:t>
      </w:r>
      <w:r w:rsidRPr="00B14648">
        <w:rPr>
          <w:rFonts w:ascii="Lucida Sans" w:hAnsi="Lucida Sans"/>
          <w:sz w:val="19"/>
          <w:szCs w:val="19"/>
          <w:lang w:val="en-US"/>
        </w:rPr>
        <w:t xml:space="preserve"> countries tax statistics are only available in aggregated form showing tax units per taxable income/wealth brackets</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w:t>
      </w:r>
      <w:r w:rsidR="00BC07A1">
        <w:rPr>
          <w:rFonts w:ascii="Lucida Sans" w:hAnsi="Lucida Sans"/>
          <w:sz w:val="19"/>
          <w:szCs w:val="19"/>
          <w:lang w:val="en-US"/>
        </w:rPr>
        <w:lastRenderedPageBreak/>
        <w:t xml:space="preserve">(e.g.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B12E07A"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2EE1539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C0D9A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w:t>
      </w:r>
      <w:proofErr w:type="gramStart"/>
      <w:r w:rsidR="000F66A6" w:rsidRPr="000F66A6">
        <w:rPr>
          <w:rFonts w:ascii="Lucida Sans" w:hAnsi="Lucida Sans"/>
          <w:sz w:val="19"/>
          <w:szCs w:val="19"/>
          <w:lang w:val="en-US"/>
        </w:rPr>
        <w:t>bias ,</w:t>
      </w:r>
      <w:proofErr w:type="gramEnd"/>
      <w:r w:rsidR="000F66A6" w:rsidRPr="000F66A6">
        <w:rPr>
          <w:rFonts w:ascii="Lucida Sans" w:hAnsi="Lucida Sans"/>
          <w:sz w:val="19"/>
          <w:szCs w:val="19"/>
          <w:lang w:val="en-US"/>
        </w:rPr>
        <w:t xml:space="preserve">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60" w:name="_Toc406505791"/>
      <w:bookmarkStart w:id="61" w:name="_Ref406677101"/>
      <w:bookmarkStart w:id="62" w:name="_Ref406686090"/>
      <w:r>
        <w:rPr>
          <w:lang w:val="en-US"/>
        </w:rPr>
        <w:t>Different trends for income inequality in Switzerland</w:t>
      </w:r>
      <w:r w:rsidR="00A440C5">
        <w:rPr>
          <w:lang w:val="en-US"/>
        </w:rPr>
        <w:t xml:space="preserve"> due to methodological differences?</w:t>
      </w:r>
      <w:bookmarkEnd w:id="60"/>
      <w:bookmarkEnd w:id="61"/>
      <w:bookmarkEnd w:id="62"/>
    </w:p>
    <w:p w14:paraId="462D907A" w14:textId="62F2D37D"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w:t>
      </w:r>
      <w:r w:rsidR="00B14648" w:rsidRPr="00B14648">
        <w:rPr>
          <w:lang w:val="en-US"/>
        </w:rPr>
        <w:lastRenderedPageBreak/>
        <w:t xml:space="preserve">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r w:rsidR="00B14648" w:rsidRPr="00B14648">
        <w:rPr>
          <w:lang w:val="en-US"/>
        </w:rPr>
        <w:t xml:space="preserve">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18C9365F" w:rsidR="005E7BD6" w:rsidRPr="005E7BD6" w:rsidRDefault="00616B27" w:rsidP="005E7BD6">
      <w:pPr>
        <w:pStyle w:val="Caption"/>
        <w:rPr>
          <w:sz w:val="24"/>
          <w:szCs w:val="24"/>
          <w:lang w:val="en-US"/>
        </w:rPr>
      </w:pPr>
      <w:bookmarkStart w:id="63" w:name="_Ref406511415"/>
      <w:bookmarkStart w:id="64"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63"/>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64"/>
    </w:p>
    <w:p w14:paraId="3F539B9A" w14:textId="73315CA1"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w:t>
      </w:r>
      <w:r w:rsidR="008D059A">
        <w:rPr>
          <w:lang w:val="en-US"/>
        </w:rPr>
        <w:t>how the</w:t>
      </w:r>
      <w:r w:rsidRPr="00B14648">
        <w:rPr>
          <w:lang w:val="en-US"/>
        </w:rPr>
        <w:t xml:space="preserve"> concentration of the highest incomes (top-shares)</w:t>
      </w:r>
      <w:r w:rsidR="008D059A">
        <w:rPr>
          <w:lang w:val="en-US"/>
        </w:rPr>
        <w:t xml:space="preserve"> developed between </w:t>
      </w:r>
      <w:r w:rsidR="00D44DAF">
        <w:rPr>
          <w:lang w:val="en-US"/>
        </w:rPr>
        <w:t xml:space="preserve">1913 </w:t>
      </w:r>
      <w:r w:rsidR="008D059A">
        <w:rPr>
          <w:lang w:val="en-US"/>
        </w:rPr>
        <w:t xml:space="preserve">and </w:t>
      </w:r>
      <w:r w:rsidR="00D44DAF">
        <w:rPr>
          <w:lang w:val="en-US"/>
        </w:rPr>
        <w:t>1996</w:t>
      </w:r>
      <w:r w:rsidRPr="00B14648">
        <w:rPr>
          <w:lang w:val="en-US"/>
        </w:rPr>
        <w:t xml:space="preserve">.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w:t>
      </w:r>
      <w:r w:rsidR="00741F1F">
        <w:rPr>
          <w:lang w:val="en-US"/>
        </w:rPr>
        <w:t>,</w:t>
      </w:r>
      <w:r w:rsidRPr="00B14648">
        <w:rPr>
          <w:lang w:val="en-US"/>
        </w:rPr>
        <w:t xml:space="preserve">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w:t>
      </w:r>
      <w:r w:rsidR="00741F1F">
        <w:rPr>
          <w:lang w:val="en-US"/>
        </w:rPr>
        <w:t xml:space="preserve"> up</w:t>
      </w:r>
      <w:r w:rsidRPr="00B14648">
        <w:rPr>
          <w:lang w:val="en-US"/>
        </w:rPr>
        <w:t xml:space="preserve"> to 2008 </w:t>
      </w:r>
      <w:r w:rsidR="00741F1F">
        <w:rPr>
          <w:lang w:val="en-US"/>
        </w:rPr>
        <w:t>and found out</w:t>
      </w:r>
      <w:r w:rsidR="00741F1F" w:rsidRPr="00B14648">
        <w:rPr>
          <w:lang w:val="en-US"/>
        </w:rPr>
        <w:t xml:space="preserve"> </w:t>
      </w:r>
      <w:r w:rsidRPr="00B14648">
        <w:rPr>
          <w:lang w:val="en-US"/>
        </w:rPr>
        <w:t>that the share of top income</w:t>
      </w:r>
      <w:r w:rsidR="00104646">
        <w:rPr>
          <w:lang w:val="en-US"/>
        </w:rPr>
        <w:t>s</w:t>
      </w:r>
      <w:r w:rsidRPr="00B14648">
        <w:rPr>
          <w:lang w:val="en-US"/>
        </w:rPr>
        <w:t xml:space="preserve"> </w:t>
      </w:r>
      <w:r w:rsidR="003B431B">
        <w:rPr>
          <w:lang w:val="en-US"/>
        </w:rPr>
        <w:t>did</w:t>
      </w:r>
      <w:r w:rsidR="00741F1F">
        <w:rPr>
          <w:lang w:val="en-US"/>
        </w:rPr>
        <w:t xml:space="preserve"> </w:t>
      </w:r>
      <w:r w:rsidR="008E67B1">
        <w:rPr>
          <w:lang w:val="en-US"/>
        </w:rPr>
        <w:t>rise</w:t>
      </w:r>
      <w:r w:rsidR="001119D4">
        <w:rPr>
          <w:lang w:val="en-US"/>
        </w:rPr>
        <w:t>.</w:t>
      </w:r>
      <w:r w:rsidRPr="00B14648">
        <w:rPr>
          <w:lang w:val="en-US"/>
        </w:rPr>
        <w:t xml:space="preserve"> </w:t>
      </w:r>
      <w:r w:rsidR="001119D4">
        <w:rPr>
          <w:lang w:val="en-US"/>
        </w:rPr>
        <w:t>T</w:t>
      </w:r>
      <w:r w:rsidRPr="00B14648">
        <w:rPr>
          <w:lang w:val="en-US"/>
        </w:rPr>
        <w:t xml:space="preserve">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EE1C903"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w:t>
      </w:r>
      <w:r w:rsidR="00D14D9A">
        <w:rPr>
          <w:lang w:val="en-US"/>
        </w:rPr>
        <w:t xml:space="preserve">did </w:t>
      </w:r>
      <w:r w:rsidR="00126FF4">
        <w:rPr>
          <w:lang w:val="en-US"/>
        </w:rPr>
        <w:t>ris</w:t>
      </w:r>
      <w:r w:rsidR="00D14D9A">
        <w:rPr>
          <w:lang w:val="en-US"/>
        </w:rPr>
        <w:t>e</w:t>
      </w:r>
      <w:r w:rsidR="00126FF4">
        <w:rPr>
          <w:lang w:val="en-US"/>
        </w:rPr>
        <w:t xml:space="preserve">. </w:t>
      </w:r>
      <w:r w:rsidR="00860C48">
        <w:rPr>
          <w:lang w:val="en-US"/>
        </w:rPr>
        <w:t xml:space="preserve">Differences </w:t>
      </w:r>
      <w:r w:rsidR="00860C48" w:rsidRPr="00B14648">
        <w:rPr>
          <w:lang w:val="en-US"/>
        </w:rPr>
        <w:t>can 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 xml:space="preserve">ial issue concerning inequality not only </w:t>
      </w:r>
      <w:r w:rsidR="00F64764">
        <w:rPr>
          <w:lang w:val="en-US"/>
        </w:rPr>
        <w:t xml:space="preserve">regarding </w:t>
      </w:r>
      <w:r w:rsidR="00FA3485">
        <w:rPr>
          <w:lang w:val="en-US"/>
        </w:rPr>
        <w:t>top income shares.</w:t>
      </w:r>
      <w:r w:rsidR="000F66A6" w:rsidRPr="00B14648">
        <w:rPr>
          <w:lang w:val="en-US"/>
        </w:rPr>
        <w:t xml:space="preserve"> </w:t>
      </w:r>
      <w:r w:rsidR="004923FF">
        <w:rPr>
          <w:lang w:val="en-US"/>
        </w:rPr>
        <w:t>Second, different measures of inequality h</w:t>
      </w:r>
      <w:r w:rsidR="003B431B">
        <w:rPr>
          <w:lang w:val="en-US"/>
        </w:rPr>
        <w:t>amper comparability.</w:t>
      </w:r>
      <w:r w:rsidR="00FA3485">
        <w:rPr>
          <w:lang w:val="en-US"/>
        </w:rPr>
        <w:t xml:space="preserve"> While some argue that top income shares are an appropriate proxy for overall inequality</w:t>
      </w:r>
      <w:r w:rsidR="000E061E">
        <w:rPr>
          <w:lang w:val="en-US"/>
        </w:rPr>
        <w:t>,</w:t>
      </w:r>
      <w:r w:rsidR="00FA3485">
        <w:rPr>
          <w:lang w:val="en-US"/>
        </w:rPr>
        <w:t xml:space="preserve">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Third, 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 xml:space="preserve">strongly </w:t>
      </w:r>
      <w:r w:rsidR="000F66A6" w:rsidRPr="00B14648">
        <w:rPr>
          <w:lang w:val="en-US"/>
        </w:rPr>
        <w:lastRenderedPageBreak/>
        <w:t>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50A30403" w:rsidR="00860C48" w:rsidRPr="00B92879" w:rsidRDefault="00C85409" w:rsidP="00154023">
      <w:pPr>
        <w:pStyle w:val="Heading1"/>
        <w:rPr>
          <w:lang w:val="en-US"/>
        </w:rPr>
      </w:pPr>
      <w:r>
        <w:rPr>
          <w:lang w:val="en-US"/>
        </w:rPr>
        <w:t>Testing the stability of income inequality</w:t>
      </w:r>
      <w:r w:rsidR="003D2183">
        <w:rPr>
          <w:lang w:val="en-US"/>
        </w:rPr>
        <w:t xml:space="preserve"> measures</w:t>
      </w:r>
      <w:r>
        <w:rPr>
          <w:lang w:val="en-US"/>
        </w:rPr>
        <w:t xml:space="preserve"> with tax data from Switzerland</w:t>
      </w:r>
    </w:p>
    <w:p w14:paraId="1B2BAD3F" w14:textId="6B17CEB2" w:rsidR="00C92257" w:rsidRPr="00CC65B7" w:rsidRDefault="006943AC" w:rsidP="00FD406E">
      <w:pPr>
        <w:rPr>
          <w:lang w:val="en-US"/>
        </w:rPr>
      </w:pPr>
      <w:r>
        <w:rPr>
          <w:lang w:val="en-US"/>
        </w:rPr>
        <w:t xml:space="preserve">As </w:t>
      </w:r>
      <w:r w:rsidR="008E3753">
        <w:rPr>
          <w:lang w:val="en-US"/>
        </w:rPr>
        <w:t>discussed above</w:t>
      </w:r>
      <w:r>
        <w:rPr>
          <w:lang w:val="en-US"/>
        </w:rPr>
        <w:t xml:space="preserve">, </w:t>
      </w:r>
      <w:r w:rsidR="008E67B1">
        <w:rPr>
          <w:lang w:val="en-US"/>
        </w:rPr>
        <w:t>using different</w:t>
      </w:r>
      <w:r>
        <w:rPr>
          <w:lang w:val="en-US"/>
        </w:rPr>
        <w:t xml:space="preserve"> data sources</w:t>
      </w:r>
      <w:r w:rsidR="001F533F">
        <w:rPr>
          <w:lang w:val="en-US"/>
        </w:rPr>
        <w:t xml:space="preserve"> and different concepts</w:t>
      </w:r>
      <w:r>
        <w:rPr>
          <w:lang w:val="en-US"/>
        </w:rPr>
        <w:t xml:space="preserve"> lead</w:t>
      </w:r>
      <w:r w:rsidR="008E3753">
        <w:rPr>
          <w:lang w:val="en-US"/>
        </w:rPr>
        <w:t>s</w:t>
      </w:r>
      <w:r>
        <w:rPr>
          <w:lang w:val="en-US"/>
        </w:rPr>
        <w:t xml:space="preserve"> to </w:t>
      </w:r>
      <w:r w:rsidR="00B701BC">
        <w:rPr>
          <w:lang w:val="en-US"/>
        </w:rPr>
        <w:t xml:space="preserve">substantially </w:t>
      </w:r>
      <w:r>
        <w:rPr>
          <w:lang w:val="en-US"/>
        </w:rPr>
        <w:t>different</w:t>
      </w:r>
      <w:r w:rsidR="001119D4">
        <w:rPr>
          <w:lang w:val="en-US"/>
        </w:rPr>
        <w:t xml:space="preserve"> </w:t>
      </w:r>
      <w:r w:rsidR="00C92257">
        <w:rPr>
          <w:lang w:val="en-US"/>
        </w:rPr>
        <w:t>conclusions</w:t>
      </w:r>
      <w:r w:rsidR="001F533F">
        <w:rPr>
          <w:lang w:val="en-US"/>
        </w:rPr>
        <w:t>.</w:t>
      </w:r>
      <w:r w:rsidR="00A47D1F">
        <w:rPr>
          <w:lang w:val="en-US"/>
        </w:rPr>
        <w:t xml:space="preserve"> </w:t>
      </w:r>
      <w:r>
        <w:rPr>
          <w:lang w:val="en-US"/>
        </w:rPr>
        <w:t>In this section we have a closer look at</w:t>
      </w:r>
      <w:r w:rsidR="001F533F">
        <w:rPr>
          <w:lang w:val="en-US"/>
        </w:rPr>
        <w:t xml:space="preserve"> </w:t>
      </w:r>
      <w:r w:rsidR="00A47D1F">
        <w:rPr>
          <w:lang w:val="en-US"/>
        </w:rPr>
        <w:t xml:space="preserve">methodical </w:t>
      </w:r>
      <w:r w:rsidR="003D2183">
        <w:rPr>
          <w:lang w:val="en-US"/>
        </w:rPr>
        <w:t>options</w:t>
      </w:r>
      <w:r w:rsidR="003D2183">
        <w:rPr>
          <w:lang w:val="en-US"/>
        </w:rPr>
        <w:t xml:space="preserve"> </w:t>
      </w:r>
      <w:r w:rsidR="00B701BC">
        <w:rPr>
          <w:lang w:val="en-US"/>
        </w:rPr>
        <w:t>regarding</w:t>
      </w:r>
      <w:r w:rsidR="001F533F">
        <w:rPr>
          <w:lang w:val="en-US"/>
        </w:rPr>
        <w:t xml:space="preserve">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3D2183">
        <w:rPr>
          <w:lang w:val="en-US"/>
        </w:rPr>
        <w:t>stability tests</w:t>
      </w:r>
      <w:r w:rsidR="003D2183">
        <w:rPr>
          <w:lang w:val="en-US"/>
        </w:rPr>
        <w:t xml:space="preserve"> </w:t>
      </w:r>
      <w:r w:rsidR="00851D35">
        <w:rPr>
          <w:lang w:val="en-US"/>
        </w:rPr>
        <w:t>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w:t>
      </w:r>
      <w:r w:rsidR="000453A5">
        <w:rPr>
          <w:lang w:val="en-US"/>
        </w:rPr>
        <w:t xml:space="preserve">so, </w:t>
      </w:r>
      <w:r w:rsidR="00126FF4">
        <w:rPr>
          <w:lang w:val="en-US"/>
        </w:rPr>
        <w:t xml:space="preserve">we show which issues are relevant when working with tax data </w:t>
      </w:r>
      <w:r w:rsidR="000453A5">
        <w:rPr>
          <w:lang w:val="en-US"/>
        </w:rPr>
        <w:t xml:space="preserve">within a </w:t>
      </w:r>
      <w:r w:rsidR="00126FF4">
        <w:rPr>
          <w:lang w:val="en-US"/>
        </w:rPr>
        <w:t xml:space="preserve">more general perspective </w:t>
      </w:r>
      <w:r w:rsidR="000453A5">
        <w:rPr>
          <w:lang w:val="en-US"/>
        </w:rPr>
        <w:t xml:space="preserve">while at </w:t>
      </w:r>
      <w:r w:rsidR="00887475">
        <w:rPr>
          <w:lang w:val="en-US"/>
        </w:rPr>
        <w:t xml:space="preserve">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w:t>
      </w:r>
      <w:r w:rsidR="001119D4">
        <w:rPr>
          <w:lang w:val="en-US"/>
        </w:rPr>
        <w:t>tests</w:t>
      </w:r>
      <w:r w:rsidR="00403B2F">
        <w:rPr>
          <w:lang w:val="en-US"/>
        </w:rPr>
        <w:t xml:space="preserve"> that we</w:t>
      </w:r>
      <w:r w:rsidR="001119D4">
        <w:rPr>
          <w:lang w:val="en-US"/>
        </w:rPr>
        <w:t xml:space="preserve"> </w:t>
      </w:r>
      <w:r w:rsidR="00403B2F">
        <w:rPr>
          <w:lang w:val="en-US"/>
        </w:rPr>
        <w:t>present</w:t>
      </w:r>
      <w:r w:rsidR="00C92257">
        <w:rPr>
          <w:lang w:val="en-US"/>
        </w:rPr>
        <w:t xml:space="preserve">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6D86E12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05895E03"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1226A2EB" w:rsidR="00F06E77" w:rsidRPr="000E2F6C" w:rsidRDefault="00763E00" w:rsidP="00763E00">
      <w:pPr>
        <w:pStyle w:val="Caption"/>
        <w:rPr>
          <w:sz w:val="24"/>
          <w:szCs w:val="24"/>
          <w:lang w:val="en-US"/>
        </w:rPr>
      </w:pPr>
      <w:bookmarkStart w:id="65" w:name="_Ref406507901"/>
      <w:bookmarkStart w:id="66"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2</w:t>
      </w:r>
      <w:r w:rsidRPr="00763E00">
        <w:rPr>
          <w:sz w:val="24"/>
          <w:szCs w:val="24"/>
          <w:lang w:val="en-US"/>
        </w:rPr>
        <w:fldChar w:fldCharType="end"/>
      </w:r>
      <w:bookmarkEnd w:id="65"/>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bookmarkEnd w:id="66"/>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FA53EC"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FA53EC"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FA53EC"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FA53EC"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FA53EC"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FA53EC"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FA53EC"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FA53EC"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67" w:name="_Toc406505793"/>
      <w:r w:rsidRPr="00154023">
        <w:rPr>
          <w:lang w:val="en-US"/>
        </w:rPr>
        <w:t>Defining Economic resources</w:t>
      </w:r>
      <w:bookmarkEnd w:id="67"/>
    </w:p>
    <w:p w14:paraId="6B13BC32" w14:textId="6CD4DB2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w:t>
      </w:r>
      <w:r w:rsidRPr="00154023">
        <w:rPr>
          <w:lang w:val="en-US"/>
        </w:rPr>
        <w:lastRenderedPageBreak/>
        <w:t xml:space="preserve">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proofErr w:type="gramStart"/>
      <w:r w:rsidR="008004AC">
        <w:rPr>
          <w:lang w:val="en-US"/>
        </w:rPr>
        <w:t xml:space="preserve">Although </w:t>
      </w:r>
      <w:r w:rsidR="008E67B1">
        <w:rPr>
          <w:lang w:val="en-US"/>
        </w:rPr>
        <w:t xml:space="preserve"> the</w:t>
      </w:r>
      <w:proofErr w:type="gramEnd"/>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68" w:name="_Ref404961105"/>
      <w:bookmarkStart w:id="69" w:name="_Toc406505794"/>
      <w:r>
        <w:rPr>
          <w:i/>
          <w:lang w:val="en-US"/>
        </w:rPr>
        <w:t>Income definitions within tax data</w:t>
      </w:r>
      <w:bookmarkEnd w:id="68"/>
      <w:bookmarkEnd w:id="69"/>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6"/>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7"/>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3A3DDD2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385BF9BE" w:rsidR="00902218" w:rsidRPr="00616B27" w:rsidRDefault="00E90501" w:rsidP="00154023">
      <w:pPr>
        <w:pStyle w:val="Heading3"/>
        <w:rPr>
          <w:i/>
          <w:lang w:val="en-US"/>
        </w:rPr>
      </w:pPr>
      <w:bookmarkStart w:id="70" w:name="_Ref404961181"/>
      <w:bookmarkStart w:id="71" w:name="_Toc406505795"/>
      <w:r>
        <w:rPr>
          <w:i/>
          <w:lang w:val="en-US"/>
        </w:rPr>
        <w:t xml:space="preserve">Using </w:t>
      </w:r>
      <w:r w:rsidR="0040615D" w:rsidRPr="0040615D">
        <w:rPr>
          <w:i/>
          <w:lang w:val="en-US"/>
        </w:rPr>
        <w:t>Income corrected with an equivalence scale based on tax information</w:t>
      </w:r>
      <w:bookmarkEnd w:id="70"/>
      <w:bookmarkEnd w:id="71"/>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w:t>
      </w:r>
      <w:r w:rsidR="00B410D9">
        <w:rPr>
          <w:lang w:val="en-US"/>
        </w:rPr>
        <w:lastRenderedPageBreak/>
        <w:t>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val="en-US"/>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72"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72"/>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73" w:name="_Ref399518083"/>
      <w:bookmarkStart w:id="74" w:name="_Toc406505796"/>
      <w:r w:rsidRPr="00154023">
        <w:rPr>
          <w:lang w:val="en-US"/>
        </w:rPr>
        <w:t>Measuring inequality</w:t>
      </w:r>
      <w:bookmarkEnd w:id="73"/>
      <w:bookmarkEnd w:id="74"/>
    </w:p>
    <w:p w14:paraId="20A0A822" w14:textId="0B8B4E97"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75" w:name="_Ref405912025"/>
      <w:bookmarkStart w:id="76" w:name="_Toc406505797"/>
      <w:r w:rsidRPr="00E90501">
        <w:rPr>
          <w:i/>
          <w:lang w:val="en-US"/>
        </w:rPr>
        <w:t>Change over time: difference between one population measures</w:t>
      </w:r>
      <w:bookmarkEnd w:id="75"/>
      <w:bookmarkEnd w:id="76"/>
    </w:p>
    <w:p w14:paraId="5765C286" w14:textId="290B6BE4"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FA53EC"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09B9CE43"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xml:space="preserve">) are the same </w:t>
      </w:r>
      <w:r w:rsidR="00BE2873">
        <w:rPr>
          <w:lang w:val="en-US"/>
        </w:rPr>
        <w:t xml:space="preserve">and </w:t>
      </w:r>
      <w:r w:rsidR="00096BB2">
        <w:rPr>
          <w:lang w:val="en-US"/>
        </w:rPr>
        <w:t>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w:t>
      </w:r>
      <w:r w:rsidR="006C38EE">
        <w:rPr>
          <w:lang w:val="en-US"/>
        </w:rPr>
        <w:t>Furthermore</w:t>
      </w:r>
      <w:r w:rsidR="000F40DC">
        <w:rPr>
          <w:lang w:val="en-US"/>
        </w:rPr>
        <w:t xml:space="preserve">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FA53EC"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5E3D862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w:t>
      </w:r>
      <w:r w:rsidR="006C38EE">
        <w:rPr>
          <w:lang w:val="en-US"/>
        </w:rPr>
        <w:t>the GE measure gets more sensitive</w:t>
      </w:r>
      <w:r w:rsidR="00136B09">
        <w:rPr>
          <w:lang w:val="en-US"/>
        </w:rPr>
        <w:t xml:space="preserve">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3869D163"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w:t>
      </w:r>
      <w:r w:rsidR="004C1B9D">
        <w:rPr>
          <w:lang w:val="en-US"/>
        </w:rPr>
        <w:t xml:space="preserve">do not </w:t>
      </w:r>
      <w:r w:rsidR="008A44AD">
        <w:rPr>
          <w:lang w:val="en-US"/>
        </w:rPr>
        <w:t xml:space="preserve">want to focus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w:t>
      </w:r>
      <w:proofErr w:type="gramStart"/>
      <w:r w:rsidR="00687574">
        <w:rPr>
          <w:lang w:val="en-US"/>
        </w:rPr>
        <w:t xml:space="preserve">faster </w:t>
      </w:r>
      <w:r w:rsidR="00212804">
        <w:rPr>
          <w:lang w:val="en-US"/>
        </w:rPr>
        <w:t>,</w:t>
      </w:r>
      <w:proofErr w:type="gramEnd"/>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proofErr w:type="gramStart"/>
      <w:r w:rsidR="00687574">
        <w:rPr>
          <w:lang w:val="en-US"/>
        </w:rPr>
        <w:t xml:space="preserve">this </w:t>
      </w:r>
      <w:r w:rsidR="00A00BCD">
        <w:rPr>
          <w:lang w:val="en-US"/>
        </w:rPr>
        <w:t>periods</w:t>
      </w:r>
      <w:proofErr w:type="gramEnd"/>
      <w:r w:rsidR="00A00BCD">
        <w:rPr>
          <w:lang w:val="en-US"/>
        </w:rPr>
        <w:t>.</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Heading3"/>
        <w:rPr>
          <w:i/>
          <w:lang w:val="en-US"/>
        </w:rPr>
      </w:pPr>
      <w:bookmarkStart w:id="77" w:name="_Ref405912071"/>
      <w:bookmarkStart w:id="78" w:name="_Toc406505798"/>
      <w:r w:rsidRPr="00E90501">
        <w:rPr>
          <w:i/>
          <w:lang w:val="en-US"/>
        </w:rPr>
        <w:t xml:space="preserve">Change over time: </w:t>
      </w:r>
      <w:r>
        <w:rPr>
          <w:i/>
          <w:lang w:val="en-US"/>
        </w:rPr>
        <w:t>One population measures vs relative distribution</w:t>
      </w:r>
      <w:bookmarkEnd w:id="77"/>
      <w:bookmarkEnd w:id="78"/>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w:t>
      </w:r>
      <w:r w:rsidR="00497AAC" w:rsidRPr="00497AAC">
        <w:rPr>
          <w:lang w:val="en-US"/>
        </w:rPr>
        <w:lastRenderedPageBreak/>
        <w:t>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ootnoteReference"/>
          <w:lang w:val="en-US"/>
        </w:rPr>
        <w:t xml:space="preserve"> </w:t>
      </w:r>
      <w:r w:rsidR="00092448">
        <w:rPr>
          <w:rStyle w:val="FootnoteReference"/>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2E94AF6E" w:rsidR="00154023" w:rsidRPr="00154023" w:rsidRDefault="00AC0437" w:rsidP="00154023">
      <w:pPr>
        <w:rPr>
          <w:lang w:val="en-US"/>
        </w:rPr>
      </w:pPr>
      <w:r w:rsidRPr="005767DB">
        <w:rPr>
          <w:lang w:val="en-US"/>
        </w:rPr>
        <w:t>To construct</w:t>
      </w:r>
      <w:r>
        <w:rPr>
          <w:lang w:val="en-US"/>
        </w:rPr>
        <w:t xml:space="preserve">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proofErr w:type="gramStart"/>
      <w:r w:rsidR="00471BDB">
        <w:rPr>
          <w:lang w:val="en-US"/>
        </w:rPr>
        <w:t xml:space="preserve">distribution </w:t>
      </w:r>
      <w:proofErr w:type="gramEnd"/>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w:t>
      </w:r>
      <w:r w:rsidR="00CE4C08">
        <w:rPr>
          <w:lang w:val="en-US"/>
        </w:rPr>
        <w:t>is</w:t>
      </w:r>
      <w:r w:rsidR="00CE4C08" w:rsidRPr="00154023">
        <w:rPr>
          <w:lang w:val="en-US"/>
        </w:rPr>
        <w:t xml:space="preserve"> </w:t>
      </w:r>
      <w:r w:rsidR="00154023" w:rsidRPr="00154023">
        <w:rPr>
          <w:lang w:val="en-US"/>
        </w:rPr>
        <w:t xml:space="preserve">characterized by its cumulative distribution function (CDF). The CDF </w:t>
      </w:r>
      <w:r w:rsidR="00CE4C08">
        <w:rPr>
          <w:lang w:val="en-US"/>
        </w:rPr>
        <w:t>is</w:t>
      </w:r>
      <w:r w:rsidR="00154023" w:rsidRPr="00154023">
        <w:rPr>
          <w:lang w:val="en-US"/>
        </w:rPr>
        <w:t xml:space="preserv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191AE668"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00FE6F8A">
        <w:rPr>
          <w:lang w:val="en-US"/>
        </w:rPr>
        <w:t>might</w:t>
      </w:r>
      <w:proofErr w:type="gramEnd"/>
      <w:r w:rsidR="00FE6F8A" w:rsidRPr="00154023">
        <w:rPr>
          <w:lang w:val="en-US"/>
        </w:rPr>
        <w:t xml:space="preserve"> </w:t>
      </w:r>
      <w:r w:rsidRPr="00154023">
        <w:rPr>
          <w:lang w:val="en-US"/>
        </w:rPr>
        <w:t xml:space="preserve">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358C01B0"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t>
      </w:r>
      <w:r w:rsidR="00C36ADE">
        <w:rPr>
          <w:lang w:val="en-US"/>
        </w:rPr>
        <w:t>Further, 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w:t>
      </w:r>
      <w:r w:rsidR="00154023" w:rsidRPr="00154023">
        <w:rPr>
          <w:lang w:val="en-US"/>
        </w:rPr>
        <w:lastRenderedPageBreak/>
        <w:t>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26540A">
        <w:rPr>
          <w:lang w:val="en-US"/>
        </w:rPr>
        <w:t>.</w:t>
      </w:r>
      <w:r w:rsidR="00A54E56" w:rsidRPr="00497AAC">
        <w:rPr>
          <w:lang w:val="en-US"/>
        </w:rPr>
        <w:t xml:space="preserve"> </w:t>
      </w:r>
      <w:r w:rsidR="0026540A">
        <w:rPr>
          <w:lang w:val="en-US"/>
        </w:rPr>
        <w:t>When comparing</w:t>
      </w:r>
      <w:r w:rsidR="0026540A" w:rsidRPr="00497AAC">
        <w:rPr>
          <w:lang w:val="en-US"/>
        </w:rPr>
        <w:t xml:space="preserve"> </w:t>
      </w:r>
      <w:r w:rsidR="00902218" w:rsidRPr="00497AAC">
        <w:rPr>
          <w:lang w:val="en-US"/>
        </w:rPr>
        <w:t>the lower and the upper index</w:t>
      </w:r>
      <w:r w:rsidR="0026540A">
        <w:rPr>
          <w:lang w:val="en-US"/>
        </w:rPr>
        <w:t xml:space="preserve">, we see </w:t>
      </w:r>
      <w:r w:rsidR="00902218" w:rsidRPr="00497AAC">
        <w:rPr>
          <w:lang w:val="en-US"/>
        </w:rPr>
        <w:t xml:space="preserve">that the polarization is slightly </w:t>
      </w:r>
      <w:r w:rsidR="00902218">
        <w:rPr>
          <w:lang w:val="en-US"/>
        </w:rPr>
        <w:t>more</w:t>
      </w:r>
      <w:r w:rsidR="00902218" w:rsidRPr="00497AAC">
        <w:rPr>
          <w:lang w:val="en-US"/>
        </w:rPr>
        <w:t xml:space="preserve"> driven by the downgrading </w:t>
      </w:r>
      <w:r w:rsidR="00902218">
        <w:rPr>
          <w:lang w:val="en-US"/>
        </w:rPr>
        <w:t>of the 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79" w:name="_Ref406511075"/>
      <w:bookmarkStart w:id="80"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79"/>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80"/>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81" w:name="_Toc406505799"/>
      <w:r w:rsidRPr="00154023">
        <w:rPr>
          <w:lang w:val="en-US"/>
        </w:rPr>
        <w:t>Statistical units</w:t>
      </w:r>
      <w:bookmarkEnd w:id="81"/>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 xml:space="preserve">pooled </w:t>
      </w:r>
      <w:r w:rsidR="00B04FEA">
        <w:rPr>
          <w:lang w:val="en-US"/>
        </w:rPr>
        <w:lastRenderedPageBreak/>
        <w:t>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66C1DA15"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w:t>
      </w:r>
      <w:r w:rsidR="00972A12">
        <w:rPr>
          <w:lang w:val="en-US"/>
        </w:rPr>
        <w:t>s</w:t>
      </w:r>
      <w:r w:rsidR="00B04FEA">
        <w:rPr>
          <w:lang w:val="en-US"/>
        </w:rPr>
        <w:t xml:space="preserve"> effectively living alone decreases drastically. </w:t>
      </w:r>
      <w:r w:rsidR="00D05B64">
        <w:rPr>
          <w:lang w:val="en-US"/>
        </w:rPr>
        <w:t xml:space="preserve">This results in pooling of income and </w:t>
      </w:r>
      <w:r w:rsidR="005573E2">
        <w:rPr>
          <w:lang w:val="en-US"/>
        </w:rPr>
        <w:t xml:space="preserve">an </w:t>
      </w:r>
      <w:r w:rsidR="00D05B64">
        <w:rPr>
          <w:lang w:val="en-US"/>
        </w:rPr>
        <w:t>upward shift.</w:t>
      </w:r>
      <w:r w:rsidR="00B544D2">
        <w:rPr>
          <w:lang w:val="en-US"/>
        </w:rPr>
        <w:t xml:space="preserve"> In other words; a lot of units with low income are replaced with less units with higher incomes,  </w:t>
      </w:r>
      <w:r w:rsidR="00AE18D1">
        <w:rPr>
          <w:lang w:val="en-US"/>
        </w:rPr>
        <w:t xml:space="preserve"> </w:t>
      </w:r>
      <w:proofErr w:type="gramStart"/>
      <w:r w:rsidR="00AE18D1">
        <w:rPr>
          <w:lang w:val="en-US"/>
        </w:rPr>
        <w:t>The</w:t>
      </w:r>
      <w:proofErr w:type="gramEnd"/>
      <w:r w:rsidR="00AE18D1">
        <w:rPr>
          <w:lang w:val="en-US"/>
        </w:rPr>
        <w:t xml:space="preserv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82" w:name="_Toc406505800"/>
      <w:bookmarkStart w:id="83" w:name="_Ref408579088"/>
      <w:r w:rsidRPr="006C3A86">
        <w:rPr>
          <w:lang w:val="en-US"/>
        </w:rPr>
        <w:t>Coverage issues</w:t>
      </w:r>
      <w:bookmarkEnd w:id="82"/>
      <w:bookmarkEnd w:id="83"/>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DE5266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w:t>
      </w:r>
      <w:r w:rsidR="00464308">
        <w:rPr>
          <w:lang w:val="en-US"/>
        </w:rPr>
        <w:t xml:space="preserve">An important bias, </w:t>
      </w:r>
      <w:proofErr w:type="spellStart"/>
      <w:r w:rsidR="00464308">
        <w:rPr>
          <w:lang w:val="en-US"/>
        </w:rPr>
        <w:t>however</w:t>
      </w:r>
      <w:proofErr w:type="gramStart"/>
      <w:r w:rsidR="00464308">
        <w:rPr>
          <w:lang w:val="en-US"/>
        </w:rPr>
        <w:t>,are</w:t>
      </w:r>
      <w:proofErr w:type="spellEnd"/>
      <w:proofErr w:type="gramEnd"/>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561C0933"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w:t>
      </w:r>
      <w:r w:rsidR="00AD73C6">
        <w:rPr>
          <w:lang w:val="en-US"/>
        </w:rPr>
        <w:lastRenderedPageBreak/>
        <w:t>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2A41F5">
        <w:rPr>
          <w:lang w:val="en-US"/>
        </w:rPr>
        <w:t xml:space="preserve">Third, </w:t>
      </w:r>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84" w:name="_Toc406505801"/>
      <w:r>
        <w:rPr>
          <w:i/>
          <w:lang w:val="en-US"/>
        </w:rPr>
        <w:t>Superior</w:t>
      </w:r>
      <w:r w:rsidR="00902D03">
        <w:rPr>
          <w:i/>
          <w:lang w:val="en-US"/>
        </w:rPr>
        <w:t xml:space="preserve"> coverage with tax data than with survey data</w:t>
      </w:r>
      <w:bookmarkEnd w:id="84"/>
    </w:p>
    <w:p w14:paraId="61A07356" w14:textId="6261D055"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B84F7E">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2A7108B3"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t xml:space="preserve"> </w:t>
      </w:r>
      <w:bookmarkStart w:id="85" w:name="_Toc406505802"/>
      <w:r>
        <w:rPr>
          <w:i/>
          <w:lang w:val="en-US"/>
        </w:rPr>
        <w:t>Influence of special tax subjects</w:t>
      </w:r>
      <w:bookmarkEnd w:id="85"/>
    </w:p>
    <w:p w14:paraId="7BF7B66A" w14:textId="610D23A5"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special cases. To test</w:t>
      </w:r>
      <w:r w:rsidR="00D23F5F">
        <w:rPr>
          <w:lang w:val="en-US"/>
        </w:rPr>
        <w:t xml:space="preserve"> what</w:t>
      </w:r>
      <w:r w:rsidR="00497AAC" w:rsidRPr="00497AAC">
        <w:rPr>
          <w:lang w:val="en-US"/>
        </w:rPr>
        <w:t xml:space="preserve"> </w:t>
      </w:r>
      <w:r w:rsidR="00B04FEA">
        <w:rPr>
          <w:lang w:val="en-US"/>
        </w:rPr>
        <w:t xml:space="preserve">influence </w:t>
      </w:r>
      <w:r w:rsidR="00D23F5F">
        <w:rPr>
          <w:lang w:val="en-US"/>
        </w:rPr>
        <w:t xml:space="preserve">has </w:t>
      </w:r>
      <w:r w:rsidR="00B04FEA">
        <w:rPr>
          <w:lang w:val="en-US"/>
        </w:rPr>
        <w:t xml:space="preserve">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xml:space="preserve">. Unfortunately, the FTA </w:t>
      </w:r>
      <w:r w:rsidR="00497AAC" w:rsidRPr="00497AAC">
        <w:rPr>
          <w:lang w:val="en-US"/>
        </w:rPr>
        <w:lastRenderedPageBreak/>
        <w:t>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980148" w:rsidRPr="00DD5282">
        <w:rPr>
          <w:lang w:val="en-US"/>
        </w:rPr>
        <w:t>Figure 4</w:t>
      </w:r>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r w:rsidR="007720EF" w:rsidRPr="00D8426B">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86" w:name="_Ref408824189"/>
      <w:bookmarkStart w:id="87"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Pr="008D0864">
        <w:rPr>
          <w:sz w:val="24"/>
          <w:szCs w:val="24"/>
          <w:lang w:val="en-US"/>
        </w:rPr>
        <w:t>3</w:t>
      </w:r>
      <w:r w:rsidRPr="008D0864">
        <w:rPr>
          <w:sz w:val="24"/>
          <w:szCs w:val="24"/>
          <w:lang w:val="en-US"/>
        </w:rPr>
        <w:fldChar w:fldCharType="end"/>
      </w:r>
      <w:bookmarkEnd w:id="86"/>
      <w:r>
        <w:rPr>
          <w:sz w:val="24"/>
          <w:szCs w:val="24"/>
          <w:lang w:val="en-US"/>
        </w:rPr>
        <w:t>: Numbers of taxed normal and special cases 1993/1994 and 2011</w:t>
      </w:r>
      <w:bookmarkEnd w:id="87"/>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7439A2E6"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w:t>
      </w:r>
      <w:r>
        <w:rPr>
          <w:lang w:val="en-US"/>
        </w:rPr>
        <w:lastRenderedPageBreak/>
        <w:t xml:space="preserve">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88" w:name="_Ref405910412"/>
      <w:bookmarkStart w:id="89" w:name="_Toc406505803"/>
      <w:r>
        <w:rPr>
          <w:i/>
          <w:lang w:val="en-US"/>
        </w:rPr>
        <w:t>Influence of non-taxed</w:t>
      </w:r>
      <w:bookmarkEnd w:id="88"/>
      <w:bookmarkEnd w:id="89"/>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proofErr w:type="gramStart"/>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3"/>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FA53EC" w:rsidRDefault="00D34AF2" w:rsidP="001232D9">
      <w:pPr>
        <w:rPr>
          <w:lang w:val="en-US"/>
          <w:rPrChange w:id="90" w:author="Hümbelin Oliver" w:date="2015-01-21T10:02:00Z">
            <w:rPr/>
          </w:rPrChange>
        </w:rPr>
      </w:pPr>
    </w:p>
    <w:p w14:paraId="743F023D" w14:textId="2760B1AE" w:rsidR="00497AAC" w:rsidRPr="00B36635" w:rsidRDefault="0042665B" w:rsidP="00497AAC">
      <w:pPr>
        <w:pStyle w:val="Heading1"/>
        <w:rPr>
          <w:lang w:val="en-US"/>
        </w:rPr>
      </w:pPr>
      <w:bookmarkStart w:id="91" w:name="_Toc406505804"/>
      <w:r>
        <w:rPr>
          <w:lang w:val="en-US"/>
        </w:rPr>
        <w:t xml:space="preserve">Summary and </w:t>
      </w:r>
      <w:r w:rsidR="00154023">
        <w:rPr>
          <w:lang w:val="en-US"/>
        </w:rPr>
        <w:t>Conclusion</w:t>
      </w:r>
      <w:bookmarkEnd w:id="91"/>
    </w:p>
    <w:p w14:paraId="4E5BF984" w14:textId="3941FE15"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and solid population coverage, but in the same time not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w:t>
      </w:r>
      <w:r w:rsidR="00A263CD">
        <w:rPr>
          <w:rFonts w:ascii="Lucida Sans" w:hAnsi="Lucida Sans"/>
          <w:sz w:val="19"/>
          <w:szCs w:val="19"/>
          <w:lang w:val="en-US"/>
        </w:rPr>
        <w:t>advantages and disadvantages</w:t>
      </w:r>
      <w:r w:rsidR="00A263CD" w:rsidRPr="008B2031">
        <w:rPr>
          <w:rFonts w:ascii="Lucida Sans" w:hAnsi="Lucida Sans"/>
          <w:sz w:val="19"/>
          <w:szCs w:val="19"/>
          <w:lang w:val="en-US"/>
        </w:rPr>
        <w:t xml:space="preserve"> </w:t>
      </w:r>
      <w:r w:rsidRPr="008B2031">
        <w:rPr>
          <w:rFonts w:ascii="Lucida Sans" w:hAnsi="Lucida Sans"/>
          <w:sz w:val="19"/>
          <w:szCs w:val="19"/>
          <w:lang w:val="en-US"/>
        </w:rPr>
        <w:t xml:space="preserve">of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by</w:t>
      </w:r>
      <w:r w:rsidRPr="008B2031">
        <w:rPr>
          <w:rFonts w:ascii="Lucida Sans" w:hAnsi="Lucida Sans"/>
          <w:sz w:val="19"/>
          <w:szCs w:val="19"/>
          <w:lang w:val="en-US"/>
        </w:rPr>
        <w:t xml:space="preserve">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income</w:t>
      </w:r>
      <w:r w:rsidR="00264D81">
        <w:rPr>
          <w:rFonts w:ascii="Lucida Sans" w:hAnsi="Lucida Sans"/>
          <w:sz w:val="19"/>
          <w:szCs w:val="19"/>
          <w:lang w:val="en-US"/>
        </w:rPr>
        <w:t xml:space="preserve"> </w:t>
      </w:r>
      <w:r w:rsidR="00736B6F">
        <w:rPr>
          <w:rFonts w:ascii="Lucida Sans" w:hAnsi="Lucida Sans"/>
          <w:sz w:val="19"/>
          <w:szCs w:val="19"/>
          <w:lang w:val="en-US"/>
        </w:rPr>
        <w:t>distributions.</w:t>
      </w:r>
    </w:p>
    <w:p w14:paraId="364C892C" w14:textId="05149F3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central</w:t>
      </w:r>
      <w:r w:rsidR="005C4E90">
        <w:rPr>
          <w:rFonts w:ascii="Lucida Sans" w:hAnsi="Lucida Sans"/>
          <w:sz w:val="19"/>
          <w:szCs w:val="19"/>
          <w:lang w:val="en-US"/>
        </w:rPr>
        <w:t xml:space="preserve"> 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w:t>
      </w:r>
      <w:r w:rsidR="00D17A9E">
        <w:rPr>
          <w:rFonts w:ascii="Lucida Sans" w:hAnsi="Lucida Sans"/>
          <w:sz w:val="19"/>
          <w:szCs w:val="19"/>
          <w:lang w:val="en-US"/>
        </w:rPr>
        <w:lastRenderedPageBreak/>
        <w:t>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1974D18B"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for</w:t>
      </w:r>
      <w:r w:rsidR="00264D81">
        <w:rPr>
          <w:rFonts w:ascii="Lucida Sans" w:hAnsi="Lucida Sans"/>
          <w:sz w:val="19"/>
          <w:szCs w:val="19"/>
          <w:lang w:val="en-US"/>
        </w:rPr>
        <w:t xml:space="preserve">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4"/>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4D55AB9"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central 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an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1112836B" w:rsidR="007A5603" w:rsidRDefault="00D77118" w:rsidP="005350F7">
      <w:pPr>
        <w:pStyle w:val="Standard1"/>
        <w:rPr>
          <w:rFonts w:ascii="Lucida Sans" w:hAnsi="Lucida Sans"/>
          <w:sz w:val="19"/>
          <w:szCs w:val="19"/>
          <w:lang w:val="en-US"/>
        </w:rPr>
      </w:pPr>
      <w:r>
        <w:rPr>
          <w:rFonts w:ascii="Lucida Sans" w:hAnsi="Lucida Sans"/>
          <w:sz w:val="19"/>
          <w:szCs w:val="19"/>
          <w:lang w:val="en-US"/>
        </w:rPr>
        <w:t>Measurement issues are especially crucial</w:t>
      </w:r>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w:t>
      </w:r>
      <w:r w:rsidR="00182BEB">
        <w:rPr>
          <w:rFonts w:ascii="Lucida Sans" w:hAnsi="Lucida Sans"/>
          <w:sz w:val="19"/>
          <w:szCs w:val="19"/>
          <w:lang w:val="en-US"/>
        </w:rPr>
        <w:lastRenderedPageBreak/>
        <w:t xml:space="preserve">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w:t>
      </w:r>
      <w:del w:id="92" w:author="AlessandraPellegrini" w:date="2015-01-16T17:18:00Z">
        <w:r w:rsidR="00182BEB" w:rsidDel="004F4641">
          <w:rPr>
            <w:rFonts w:ascii="Lucida Sans" w:hAnsi="Lucida Sans"/>
            <w:sz w:val="19"/>
            <w:szCs w:val="19"/>
            <w:lang w:val="en-US"/>
          </w:rPr>
          <w:delText>,</w:delText>
        </w:r>
      </w:del>
      <w:r w:rsidR="00182BEB">
        <w:rPr>
          <w:rFonts w:ascii="Lucida Sans" w:hAnsi="Lucida Sans"/>
          <w:sz w:val="19"/>
          <w:szCs w:val="19"/>
          <w:lang w:val="en-US"/>
        </w:rPr>
        <w:t xml:space="preserve">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s are most fruitful</w:t>
      </w:r>
      <w:del w:id="93" w:author="AlessandraPellegrini" w:date="2015-01-16T17:18:00Z">
        <w:r w:rsidR="009C0F72" w:rsidDel="004F4641">
          <w:rPr>
            <w:rFonts w:ascii="Lucida Sans" w:hAnsi="Lucida Sans"/>
            <w:sz w:val="19"/>
            <w:szCs w:val="19"/>
            <w:lang w:val="en-US"/>
          </w:rPr>
          <w:delText>,</w:delText>
        </w:r>
      </w:del>
      <w:r w:rsidR="009C0F72">
        <w:rPr>
          <w:rFonts w:ascii="Lucida Sans" w:hAnsi="Lucida Sans"/>
          <w:sz w:val="19"/>
          <w:szCs w:val="19"/>
          <w:lang w:val="en-US"/>
        </w:rPr>
        <w:t xml:space="preserve">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14860512"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ins w:id="94" w:author="AlessandraPellegrini" w:date="2015-01-16T17:20:00Z">
        <w:r w:rsidR="00CB3D24">
          <w:rPr>
            <w:rStyle w:val="FootnoteReference"/>
            <w:rFonts w:ascii="Lucida Sans" w:hAnsi="Lucida Sans"/>
            <w:sz w:val="19"/>
            <w:szCs w:val="19"/>
            <w:lang w:val="en-US"/>
          </w:rPr>
          <w:footnoteReference w:id="15"/>
        </w:r>
      </w:ins>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w:t>
      </w:r>
      <w:r w:rsidR="00912FE0">
        <w:rPr>
          <w:rFonts w:ascii="Lucida Sans" w:hAnsi="Lucida Sans"/>
          <w:sz w:val="19"/>
          <w:szCs w:val="19"/>
          <w:lang w:val="en-US"/>
        </w:rPr>
        <w:lastRenderedPageBreak/>
        <w:t>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95" w:name="_Toc406505805"/>
      <w:r w:rsidRPr="00511D21">
        <w:lastRenderedPageBreak/>
        <w:t>Literaturverzeichnis</w:t>
      </w:r>
      <w:bookmarkEnd w:id="95"/>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(2013).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Top 1 Percent in International and Historical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Spain from a Historical and Fiscal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w:t>
      </w:r>
      <w:proofErr w:type="gramStart"/>
      <w:r w:rsidRPr="00542029">
        <w:rPr>
          <w:rFonts w:ascii="Times New Roman" w:eastAsia="Times New Roman" w:hAnsi="Times New Roman"/>
          <w:sz w:val="24"/>
          <w:szCs w:val="24"/>
          <w:lang w:val="en-US"/>
        </w:rPr>
        <w:t>On the measurement of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proofErr w:type="gramStart"/>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w:t>
      </w:r>
      <w:proofErr w:type="gramStart"/>
      <w:r w:rsidRPr="00542029">
        <w:rPr>
          <w:rFonts w:ascii="Times New Roman" w:eastAsia="Times New Roman" w:hAnsi="Times New Roman"/>
          <w:sz w:val="24"/>
          <w:szCs w:val="24"/>
          <w:lang w:val="en-US"/>
        </w:rPr>
        <w:t>Foreword.</w:t>
      </w:r>
      <w:proofErr w:type="gramEnd"/>
      <w:r w:rsidRPr="00542029">
        <w:rPr>
          <w:rFonts w:ascii="Times New Roman" w:eastAsia="Times New Roman" w:hAnsi="Times New Roman"/>
          <w:sz w:val="24"/>
          <w:szCs w:val="24"/>
          <w:lang w:val="en-US"/>
        </w:rPr>
        <w:t xml:space="preserve">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(2010).</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B812CC">
        <w:rPr>
          <w:rFonts w:ascii="Times New Roman" w:eastAsia="Times New Roman" w:hAnsi="Times New Roman"/>
          <w:sz w:val="24"/>
          <w:szCs w:val="24"/>
        </w:rPr>
        <w:t xml:space="preserve">Bethlehem, J., </w:t>
      </w:r>
      <w:proofErr w:type="spellStart"/>
      <w:r w:rsidRPr="00B812CC">
        <w:rPr>
          <w:rFonts w:ascii="Times New Roman" w:eastAsia="Times New Roman" w:hAnsi="Times New Roman"/>
          <w:sz w:val="24"/>
          <w:szCs w:val="24"/>
        </w:rPr>
        <w:t>Cobben</w:t>
      </w:r>
      <w:proofErr w:type="spellEnd"/>
      <w:r w:rsidRPr="00B812CC">
        <w:rPr>
          <w:rFonts w:ascii="Times New Roman" w:eastAsia="Times New Roman" w:hAnsi="Times New Roman"/>
          <w:sz w:val="24"/>
          <w:szCs w:val="24"/>
        </w:rPr>
        <w:t xml:space="preserve">, F., &amp; </w:t>
      </w:r>
      <w:proofErr w:type="spellStart"/>
      <w:r w:rsidRPr="00B812CC">
        <w:rPr>
          <w:rFonts w:ascii="Times New Roman" w:eastAsia="Times New Roman" w:hAnsi="Times New Roman"/>
          <w:sz w:val="24"/>
          <w:szCs w:val="24"/>
        </w:rPr>
        <w:t>Schouten</w:t>
      </w:r>
      <w:proofErr w:type="spellEnd"/>
      <w:r w:rsidRPr="00B812CC">
        <w:rPr>
          <w:rFonts w:ascii="Times New Roman" w:eastAsia="Times New Roman" w:hAnsi="Times New Roman"/>
          <w:sz w:val="24"/>
          <w:szCs w:val="24"/>
        </w:rPr>
        <w:t xml:space="preserve">, B. (2011). </w:t>
      </w:r>
      <w:proofErr w:type="gramStart"/>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T. M.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richer and OECD countries.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w:t>
      </w:r>
      <w:r w:rsidRPr="00542029">
        <w:rPr>
          <w:rFonts w:ascii="Times New Roman" w:eastAsia="Times New Roman" w:hAnsi="Times New Roman"/>
          <w:sz w:val="24"/>
          <w:szCs w:val="24"/>
          <w:lang w:val="en-US"/>
        </w:rPr>
        <w:lastRenderedPageBreak/>
        <w:t>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w:t>
      </w:r>
      <w:proofErr w:type="gramStart"/>
      <w:r w:rsidRPr="00542029">
        <w:rPr>
          <w:rFonts w:ascii="Times New Roman" w:eastAsia="Times New Roman" w:hAnsi="Times New Roman"/>
          <w:sz w:val="24"/>
          <w:szCs w:val="24"/>
          <w:lang w:val="en-US"/>
        </w:rPr>
        <w:t>The measurement of the inequality of incomes.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Switzerland over the 20th century.</w:t>
      </w:r>
      <w:proofErr w:type="gramEnd"/>
      <w:r w:rsidRPr="00542029">
        <w:rPr>
          <w:rFonts w:ascii="Times New Roman" w:eastAsia="Times New Roman" w:hAnsi="Times New Roman"/>
          <w:sz w:val="24"/>
          <w:szCs w:val="24"/>
          <w:lang w:val="en-US"/>
        </w:rPr>
        <w:t xml:space="preserve">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w:t>
      </w:r>
      <w:proofErr w:type="gramStart"/>
      <w:r w:rsidRPr="00542029">
        <w:rPr>
          <w:rFonts w:ascii="Times New Roman" w:eastAsia="Times New Roman" w:hAnsi="Times New Roman"/>
          <w:sz w:val="24"/>
          <w:szCs w:val="24"/>
          <w:lang w:val="en-US"/>
        </w:rPr>
        <w:t>Income inequality measures.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Feld, L. P., &amp; Frey, B. S. (2006).</w:t>
      </w:r>
      <w:proofErr w:type="gramEnd"/>
      <w:r w:rsidRPr="00542029">
        <w:rPr>
          <w:rFonts w:ascii="Times New Roman" w:eastAsia="Times New Roman" w:hAnsi="Times New Roman"/>
          <w:sz w:val="24"/>
          <w:szCs w:val="24"/>
          <w:lang w:val="en-US"/>
        </w:rPr>
        <w:t xml:space="preserve">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w:t>
      </w:r>
      <w:proofErr w:type="gramStart"/>
      <w:r w:rsidRPr="00542029">
        <w:rPr>
          <w:rFonts w:ascii="Times New Roman" w:eastAsia="Times New Roman" w:hAnsi="Times New Roman"/>
          <w:sz w:val="24"/>
          <w:szCs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I. (2013).</w:t>
      </w:r>
      <w:proofErr w:type="gramEnd"/>
      <w:r w:rsidRPr="00542029">
        <w:rPr>
          <w:rFonts w:ascii="Times New Roman" w:eastAsia="Times New Roman" w:hAnsi="Times New Roman"/>
          <w:sz w:val="24"/>
          <w:szCs w:val="24"/>
          <w:lang w:val="en-US"/>
        </w:rPr>
        <w:t xml:space="preserve">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evolution of income inequality in Germany and Switzerland since the turn of the millennium.</w:t>
      </w:r>
      <w:proofErr w:type="gramEnd"/>
      <w:r w:rsidRPr="00542029">
        <w:rPr>
          <w:rFonts w:ascii="Times New Roman" w:eastAsia="Times New Roman" w:hAnsi="Times New Roman"/>
          <w:sz w:val="24"/>
          <w:szCs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Handcock, M., &amp; Morris, M. (1999).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r w:rsidRPr="00542029">
        <w:rPr>
          <w:rFonts w:ascii="Times New Roman" w:eastAsia="Times New Roman" w:hAnsi="Times New Roman"/>
          <w:sz w:val="24"/>
          <w:szCs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lastRenderedPageBreak/>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D. Q. (2010).</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S.-C., &amp; others.</w:t>
      </w:r>
      <w:proofErr w:type="gramEnd"/>
      <w:r w:rsidRPr="00542029">
        <w:rPr>
          <w:rFonts w:ascii="Times New Roman" w:eastAsia="Times New Roman" w:hAnsi="Times New Roman"/>
          <w:sz w:val="24"/>
          <w:szCs w:val="24"/>
          <w:lang w:val="en-US"/>
        </w:rPr>
        <w:t xml:space="preserve">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M. (2006).</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Survey nonresponse and the distribution of income.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w:t>
      </w:r>
      <w:proofErr w:type="gramStart"/>
      <w:r w:rsidRPr="00542029">
        <w:rPr>
          <w:rFonts w:ascii="Times New Roman" w:eastAsia="Times New Roman" w:hAnsi="Times New Roman"/>
          <w:sz w:val="24"/>
          <w:szCs w:val="24"/>
          <w:lang w:val="en-US"/>
        </w:rPr>
        <w:t>Economic growth and income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 xml:space="preserve">Growing Unequal? </w:t>
      </w:r>
      <w:proofErr w:type="gramStart"/>
      <w:r w:rsidRPr="00542029">
        <w:rPr>
          <w:rFonts w:ascii="Times New Roman" w:eastAsia="Times New Roman" w:hAnsi="Times New Roman"/>
          <w:i/>
          <w:iCs/>
          <w:sz w:val="24"/>
          <w:szCs w:val="24"/>
          <w:lang w:val="en-US"/>
        </w:rPr>
        <w:t>Income Distribution and Poverty in OECD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 xml:space="preserve">OECD </w:t>
      </w:r>
      <w:proofErr w:type="spellStart"/>
      <w:r w:rsidRPr="009E5AF2">
        <w:rPr>
          <w:rFonts w:ascii="Times New Roman" w:eastAsia="Times New Roman" w:hAnsi="Times New Roman"/>
          <w:sz w:val="24"/>
          <w:szCs w:val="24"/>
          <w:lang w:val="fr-CH"/>
        </w:rPr>
        <w:t>Publishing</w:t>
      </w:r>
      <w:proofErr w:type="spellEnd"/>
      <w:r w:rsidRPr="009E5AF2">
        <w:rPr>
          <w:rFonts w:ascii="Times New Roman" w:eastAsia="Times New Roman" w:hAnsi="Times New Roman"/>
          <w:sz w:val="24"/>
          <w:szCs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w:t>
      </w:r>
      <w:proofErr w:type="spellStart"/>
      <w:r w:rsidRPr="009E5AF2">
        <w:rPr>
          <w:rFonts w:ascii="Times New Roman" w:eastAsia="Times New Roman" w:hAnsi="Times New Roman"/>
          <w:i/>
          <w:iCs/>
          <w:sz w:val="24"/>
          <w:szCs w:val="24"/>
          <w:lang w:val="fr-CH"/>
        </w:rPr>
        <w:t>impöt</w:t>
      </w:r>
      <w:proofErr w:type="spellEnd"/>
      <w:r w:rsidRPr="009E5AF2">
        <w:rPr>
          <w:rFonts w:ascii="Times New Roman" w:eastAsia="Times New Roman" w:hAnsi="Times New Roman"/>
          <w:i/>
          <w:iCs/>
          <w:sz w:val="24"/>
          <w:szCs w:val="24"/>
          <w:lang w:val="fr-CH"/>
        </w:rPr>
        <w:t xml:space="preserve">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 xml:space="preserve">Les hauts revenus en France au XXe </w:t>
      </w:r>
      <w:proofErr w:type="spellStart"/>
      <w:r w:rsidRPr="009E5AF2">
        <w:rPr>
          <w:rFonts w:ascii="Times New Roman" w:eastAsia="Times New Roman" w:hAnsi="Times New Roman"/>
          <w:i/>
          <w:iCs/>
          <w:sz w:val="24"/>
          <w:szCs w:val="24"/>
          <w:lang w:val="fr-CH"/>
        </w:rPr>
        <w:t>siècle</w:t>
      </w:r>
      <w:proofErr w:type="spellEnd"/>
      <w:r w:rsidRPr="009E5AF2">
        <w:rPr>
          <w:rFonts w:ascii="Times New Roman" w:eastAsia="Times New Roman" w:hAnsi="Times New Roman"/>
          <w:i/>
          <w:iCs/>
          <w:sz w:val="24"/>
          <w:szCs w:val="24"/>
          <w:lang w:val="fr-CH"/>
        </w:rPr>
        <w:t xml:space="preserve">: </w:t>
      </w:r>
      <w:proofErr w:type="spellStart"/>
      <w:r w:rsidRPr="009E5AF2">
        <w:rPr>
          <w:rFonts w:ascii="Times New Roman" w:eastAsia="Times New Roman" w:hAnsi="Times New Roman"/>
          <w:i/>
          <w:iCs/>
          <w:sz w:val="24"/>
          <w:szCs w:val="24"/>
          <w:lang w:val="fr-CH"/>
        </w:rPr>
        <w:t>inégalités</w:t>
      </w:r>
      <w:proofErr w:type="spellEnd"/>
      <w:r w:rsidRPr="009E5AF2">
        <w:rPr>
          <w:rFonts w:ascii="Times New Roman" w:eastAsia="Times New Roman" w:hAnsi="Times New Roman"/>
          <w:i/>
          <w:iCs/>
          <w:sz w:val="24"/>
          <w:szCs w:val="24"/>
          <w:lang w:val="fr-CH"/>
        </w:rPr>
        <w:t xml:space="preserve">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Piketty, T. (2003).</w:t>
      </w:r>
      <w:proofErr w:type="gramEnd"/>
      <w:r w:rsidRPr="00542029">
        <w:rPr>
          <w:rFonts w:ascii="Times New Roman" w:eastAsia="Times New Roman" w:hAnsi="Times New Roman"/>
          <w:sz w:val="24"/>
          <w:szCs w:val="24"/>
          <w:lang w:val="en-US"/>
        </w:rPr>
        <w:t xml:space="preserve">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lastRenderedPageBreak/>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the United States, 1913–1998.</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I. G. (2014).</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J.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w:t>
      </w:r>
      <w:proofErr w:type="gramStart"/>
      <w:r w:rsidRPr="00542029">
        <w:rPr>
          <w:rFonts w:ascii="Times New Roman" w:eastAsia="Times New Roman" w:hAnsi="Times New Roman"/>
          <w:sz w:val="24"/>
          <w:szCs w:val="24"/>
          <w:lang w:val="en-US"/>
        </w:rPr>
        <w:t>On economic inequality.</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D. (2002).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Approximating unanimity orderings: An application to Lorenz dominance.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SNA.</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proofErr w:type="gramStart"/>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UNECE,</w:t>
      </w:r>
      <w:proofErr w:type="gramEnd"/>
      <w:r w:rsidRPr="00542029">
        <w:rPr>
          <w:rFonts w:ascii="Times New Roman" w:eastAsia="Times New Roman" w:hAnsi="Times New Roman"/>
          <w:sz w:val="24"/>
          <w:szCs w:val="24"/>
          <w:lang w:val="en-US"/>
        </w:rPr>
        <w:t xml:space="preserve"> &amp; EUROSTAT. </w:t>
      </w:r>
      <w:proofErr w:type="gramStart"/>
      <w:r w:rsidRPr="00542029">
        <w:rPr>
          <w:rFonts w:ascii="Times New Roman" w:eastAsia="Times New Roman" w:hAnsi="Times New Roman"/>
          <w:sz w:val="24"/>
          <w:szCs w:val="24"/>
          <w:lang w:val="en-US"/>
        </w:rPr>
        <w:t xml:space="preserve">(2006).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United Nations.</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(2011). </w:t>
      </w:r>
      <w:r w:rsidRPr="00542029">
        <w:rPr>
          <w:rFonts w:ascii="Times New Roman" w:eastAsia="Times New Roman" w:hAnsi="Times New Roman"/>
          <w:i/>
          <w:iCs/>
          <w:sz w:val="24"/>
          <w:szCs w:val="24"/>
          <w:lang w:val="en-US"/>
        </w:rPr>
        <w:t>Canberra Group.</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Handbook on Household Income Statistics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Wilkinson, R. G., &amp; Pickett, K.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and social dysfunction.</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World Economic Forum.</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 </w:t>
      </w:r>
      <w:r w:rsidRPr="00542029">
        <w:rPr>
          <w:rFonts w:ascii="Times New Roman" w:eastAsia="Times New Roman" w:hAnsi="Times New Roman"/>
          <w:i/>
          <w:iCs/>
          <w:sz w:val="24"/>
          <w:szCs w:val="24"/>
          <w:lang w:val="en-US"/>
        </w:rPr>
        <w:t>Global Risks 2013.</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Eighth Edition.</w:t>
      </w:r>
      <w:proofErr w:type="gramEnd"/>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Hümbelin Oliver" w:date="2015-01-21T10:18:00Z" w:initials="HO">
    <w:p w14:paraId="371E8530" w14:textId="1E385926" w:rsidR="00FA53EC" w:rsidRDefault="00FA53EC">
      <w:pPr>
        <w:pStyle w:val="CommentText"/>
      </w:pPr>
      <w:r>
        <w:rPr>
          <w:rStyle w:val="CommentReference"/>
        </w:rPr>
        <w:annotationRef/>
      </w:r>
      <w:r>
        <w:t>Kapitel zwei und drei liessen sich zusamm</w:t>
      </w:r>
      <w:r w:rsidR="003D2183">
        <w:t>ennehmen. Der Artikel würde vermutlich stringenter, weil man schneller „zur Sache“ kommt.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C5EB74" w14:textId="77777777" w:rsidR="00F67CF7" w:rsidRDefault="00F67CF7" w:rsidP="006312E0">
      <w:pPr>
        <w:spacing w:line="240" w:lineRule="auto"/>
      </w:pPr>
      <w:r>
        <w:separator/>
      </w:r>
    </w:p>
  </w:endnote>
  <w:endnote w:type="continuationSeparator" w:id="0">
    <w:p w14:paraId="501FCB88" w14:textId="77777777" w:rsidR="00F67CF7" w:rsidRDefault="00F67CF7"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FA53EC" w:rsidRPr="007407D3" w:rsidRDefault="00FA53EC"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FA53EC" w:rsidRPr="003B1648" w:rsidRDefault="00FA53E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368ED">
                            <w:rPr>
                              <w:noProof/>
                              <w:sz w:val="16"/>
                              <w:szCs w:val="16"/>
                            </w:rPr>
                            <w:t>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FA53EC" w:rsidRPr="003B1648" w:rsidRDefault="00FA53EC"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368ED">
                      <w:rPr>
                        <w:noProof/>
                        <w:sz w:val="16"/>
                        <w:szCs w:val="16"/>
                      </w:rPr>
                      <w:t>1</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1A172" w14:textId="77777777" w:rsidR="00F67CF7" w:rsidRDefault="00F67CF7" w:rsidP="006312E0">
      <w:pPr>
        <w:spacing w:line="240" w:lineRule="auto"/>
      </w:pPr>
    </w:p>
  </w:footnote>
  <w:footnote w:type="continuationSeparator" w:id="0">
    <w:p w14:paraId="2D407021" w14:textId="77777777" w:rsidR="00F67CF7" w:rsidRDefault="00F67CF7" w:rsidP="006312E0">
      <w:pPr>
        <w:spacing w:line="240" w:lineRule="auto"/>
      </w:pPr>
      <w:r>
        <w:continuationSeparator/>
      </w:r>
    </w:p>
  </w:footnote>
  <w:footnote w:id="1">
    <w:p w14:paraId="49571FB3" w14:textId="3487E576" w:rsidR="00FA53EC" w:rsidRPr="006A2614" w:rsidRDefault="00FA53EC">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FA53EC" w:rsidRDefault="00FA53EC"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FA53EC" w:rsidRDefault="00FA53EC" w:rsidP="005353A7">
      <w:pPr>
        <w:pStyle w:val="FootnoteText"/>
        <w:rPr>
          <w:lang w:val="en-US"/>
        </w:rPr>
      </w:pPr>
      <w:r w:rsidRPr="00763E00">
        <w:rPr>
          <w:lang w:val="en-US"/>
        </w:rPr>
        <w:t>(2)</w:t>
      </w:r>
      <w:r>
        <w:rPr>
          <w:lang w:val="en-US"/>
        </w:rPr>
        <w:t xml:space="preserve"> strong principle of transfers,</w:t>
      </w:r>
    </w:p>
    <w:p w14:paraId="043E2700" w14:textId="77777777" w:rsidR="00FA53EC" w:rsidRDefault="00FA53EC" w:rsidP="005353A7">
      <w:pPr>
        <w:pStyle w:val="FootnoteText"/>
        <w:rPr>
          <w:lang w:val="en-US"/>
        </w:rPr>
      </w:pPr>
      <w:r w:rsidRPr="00763E00">
        <w:rPr>
          <w:lang w:val="en-US"/>
        </w:rPr>
        <w:t xml:space="preserve">(3) scale invariance, </w:t>
      </w:r>
    </w:p>
    <w:p w14:paraId="5F6AEC30" w14:textId="77777777" w:rsidR="00FA53EC" w:rsidRDefault="00FA53EC" w:rsidP="005353A7">
      <w:pPr>
        <w:pStyle w:val="FootnoteText"/>
        <w:rPr>
          <w:lang w:val="en-US"/>
        </w:rPr>
      </w:pPr>
      <w:r w:rsidRPr="00763E00">
        <w:rPr>
          <w:lang w:val="en-US"/>
        </w:rPr>
        <w:t xml:space="preserve">(4) the principle of population and </w:t>
      </w:r>
    </w:p>
    <w:p w14:paraId="23F3C854" w14:textId="77777777" w:rsidR="00FA53EC" w:rsidRPr="00763E00" w:rsidRDefault="00FA53EC" w:rsidP="005353A7">
      <w:pPr>
        <w:pStyle w:val="FootnoteText"/>
        <w:rPr>
          <w:ins w:id="52" w:author="AlessandraPellegrini" w:date="2015-01-16T11:07:00Z"/>
          <w:lang w:val="en-US"/>
        </w:rPr>
      </w:pPr>
      <w:r w:rsidRPr="00763E00">
        <w:rPr>
          <w:lang w:val="en-US"/>
        </w:rPr>
        <w:t>(5) Decomposability.</w:t>
      </w:r>
    </w:p>
  </w:footnote>
  <w:footnote w:id="3">
    <w:p w14:paraId="23F29DAE" w14:textId="19236006" w:rsidR="00FA53EC" w:rsidRPr="00406373" w:rsidRDefault="00FA53EC">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4">
    <w:p w14:paraId="7803212C" w14:textId="31C6CAA1" w:rsidR="00FA53EC" w:rsidRPr="006003AB" w:rsidRDefault="00FA53EC"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FA53EC" w:rsidRPr="008C2F1A" w:rsidRDefault="00FA53EC"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537145F1" w:rsidR="00FA53EC" w:rsidRPr="00190B1B" w:rsidRDefault="00FA53EC">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and charitable donations</w:t>
      </w:r>
    </w:p>
  </w:footnote>
  <w:footnote w:id="7">
    <w:p w14:paraId="25AC8419" w14:textId="55D209C8" w:rsidR="00FA53EC" w:rsidRPr="00190B1B" w:rsidRDefault="00FA53EC">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1449DC0D" w14:textId="5E5198EF" w:rsidR="00FA53EC" w:rsidRDefault="00FA53EC"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175248AE" w:rsidR="00FA53EC" w:rsidRPr="00190B1B" w:rsidRDefault="00FA53EC"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 xml:space="preserve">he bulk of taxes in </w:t>
      </w:r>
      <w:proofErr w:type="spellStart"/>
      <w:r>
        <w:rPr>
          <w:lang w:val="en-US"/>
        </w:rPr>
        <w:t>Switzerland.Also</w:t>
      </w:r>
      <w:proofErr w:type="spellEnd"/>
      <w:r>
        <w:rPr>
          <w:lang w:val="en-US"/>
        </w:rPr>
        <w:t xml:space="preserve"> the cost of health insurance are not covered</w:t>
      </w:r>
      <w:r w:rsidRPr="00154023">
        <w:rPr>
          <w:lang w:val="en-US"/>
        </w:rPr>
        <w:t>.</w:t>
      </w:r>
    </w:p>
  </w:footnote>
  <w:footnote w:id="9">
    <w:p w14:paraId="6B9AC6AF" w14:textId="05A15427" w:rsidR="00FA53EC" w:rsidRPr="00783DA9" w:rsidRDefault="00FA53EC">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FA53EC" w:rsidRPr="00497AAC" w:rsidRDefault="00FA53EC"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FA53EC" w:rsidRPr="008B734B" w:rsidRDefault="00FA53EC"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79B2738E" w14:textId="045750F6" w:rsidR="00FA53EC" w:rsidRPr="007108BA" w:rsidRDefault="00FA53EC">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C8F18C9" w14:textId="77777777" w:rsidR="00FA53EC" w:rsidRPr="006956E1" w:rsidRDefault="00FA53EC"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4">
    <w:p w14:paraId="0B79CBF4" w14:textId="6CEC25C9" w:rsidR="00FA53EC" w:rsidRPr="00BD6E58" w:rsidRDefault="00FA53EC">
      <w:pPr>
        <w:pStyle w:val="FootnoteText"/>
        <w:rPr>
          <w:lang w:val="en-US"/>
        </w:rPr>
      </w:pPr>
      <w:r>
        <w:rPr>
          <w:rStyle w:val="FootnoteReference"/>
        </w:rPr>
        <w:footnoteRef/>
      </w:r>
      <w:r w:rsidRPr="00BD6E58">
        <w:rPr>
          <w:lang w:val="en-US"/>
        </w:rPr>
        <w:t xml:space="preserve"> </w:t>
      </w:r>
      <w:proofErr w:type="gramStart"/>
      <w:r>
        <w:rPr>
          <w:lang w:val="en-US"/>
        </w:rPr>
        <w:t>Difference to the imputed series.</w:t>
      </w:r>
      <w:proofErr w:type="gramEnd"/>
    </w:p>
  </w:footnote>
  <w:footnote w:id="15">
    <w:p w14:paraId="1B170EF4" w14:textId="77777777" w:rsidR="00FA53EC" w:rsidRPr="00005884" w:rsidRDefault="00FA53EC" w:rsidP="00CB3D24">
      <w:pPr>
        <w:pStyle w:val="FootnoteText"/>
        <w:rPr>
          <w:lang w:val="en-US"/>
        </w:rPr>
      </w:pPr>
      <w:r>
        <w:rPr>
          <w:rStyle w:val="FootnoteReference"/>
        </w:rPr>
        <w:footnoteRef/>
      </w:r>
      <w:r w:rsidRPr="00005884">
        <w:rPr>
          <w:lang w:val="en-US"/>
        </w:rPr>
        <w:t xml:space="preserve"> We </w:t>
      </w:r>
      <w:r>
        <w:rPr>
          <w:lang w:val="en-US"/>
        </w:rPr>
        <w:t>do not</w:t>
      </w:r>
      <w:r w:rsidRPr="00005884">
        <w:rPr>
          <w:lang w:val="en-US"/>
        </w:rPr>
        <w:t xml:space="preserve"> show time points before</w:t>
      </w:r>
      <w:r>
        <w:rPr>
          <w:lang w:val="en-US"/>
        </w:rPr>
        <w:t xml:space="preserve"> 1943/44</w:t>
      </w:r>
      <w:r w:rsidRPr="00005884">
        <w:rPr>
          <w:lang w:val="en-US"/>
        </w:rPr>
        <w:t xml:space="preserve">, </w:t>
      </w:r>
      <w:r>
        <w:rPr>
          <w:lang w:val="en-US"/>
        </w:rPr>
        <w:t>although</w:t>
      </w:r>
      <w:r w:rsidRPr="00005884">
        <w:rPr>
          <w:lang w:val="en-US"/>
        </w:rPr>
        <w:t xml:space="preserve"> theoretically</w:t>
      </w:r>
      <w:r>
        <w:rPr>
          <w:lang w:val="en-US"/>
        </w:rPr>
        <w:t xml:space="preserve"> information is available, because in this period only small fraction of potential tax units are covered in the tax statistics.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FA53EC" w:rsidRPr="001F1B9C" w:rsidRDefault="00FA53EC"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FA53EC" w:rsidRDefault="00FA53EC"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7">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3"/>
  </w:num>
  <w:num w:numId="7">
    <w:abstractNumId w:val="16"/>
  </w:num>
  <w:num w:numId="8">
    <w:abstractNumId w:val="11"/>
  </w:num>
  <w:num w:numId="9">
    <w:abstractNumId w:val="18"/>
  </w:num>
  <w:num w:numId="10">
    <w:abstractNumId w:val="10"/>
  </w:num>
  <w:num w:numId="11">
    <w:abstractNumId w:val="14"/>
  </w:num>
  <w:num w:numId="12">
    <w:abstractNumId w:val="22"/>
  </w:num>
  <w:num w:numId="13">
    <w:abstractNumId w:val="17"/>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8"/>
  </w:num>
  <w:num w:numId="19">
    <w:abstractNumId w:val="19"/>
  </w:num>
  <w:num w:numId="20">
    <w:abstractNumId w:val="15"/>
  </w:num>
  <w:num w:numId="21">
    <w:abstractNumId w:val="21"/>
  </w:num>
  <w:num w:numId="22">
    <w:abstractNumId w:val="6"/>
  </w:num>
  <w:num w:numId="23">
    <w:abstractNumId w:val="9"/>
  </w:num>
  <w:num w:numId="24">
    <w:abstractNumId w:val="13"/>
  </w:num>
  <w:num w:numId="25">
    <w:abstractNumId w:val="7"/>
  </w:num>
  <w:num w:numId="26">
    <w:abstractNumId w:val="12"/>
  </w:num>
  <w:num w:numId="27">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26DB"/>
    <w:rsid w:val="00053EF3"/>
    <w:rsid w:val="00054AC8"/>
    <w:rsid w:val="000572D1"/>
    <w:rsid w:val="000635B3"/>
    <w:rsid w:val="0006599C"/>
    <w:rsid w:val="000740F8"/>
    <w:rsid w:val="00082596"/>
    <w:rsid w:val="000844EC"/>
    <w:rsid w:val="00087C85"/>
    <w:rsid w:val="00091514"/>
    <w:rsid w:val="00091C2D"/>
    <w:rsid w:val="00092448"/>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64F6A"/>
    <w:rsid w:val="00165621"/>
    <w:rsid w:val="00165CC1"/>
    <w:rsid w:val="00170D9E"/>
    <w:rsid w:val="00176DF1"/>
    <w:rsid w:val="00182BEB"/>
    <w:rsid w:val="00182FF6"/>
    <w:rsid w:val="00190924"/>
    <w:rsid w:val="00190B1B"/>
    <w:rsid w:val="00197504"/>
    <w:rsid w:val="00197E91"/>
    <w:rsid w:val="001B0DB9"/>
    <w:rsid w:val="001B0F1A"/>
    <w:rsid w:val="001B176D"/>
    <w:rsid w:val="001B21ED"/>
    <w:rsid w:val="001B7282"/>
    <w:rsid w:val="001C3F58"/>
    <w:rsid w:val="001C4B4E"/>
    <w:rsid w:val="001C4E8F"/>
    <w:rsid w:val="001C61A3"/>
    <w:rsid w:val="001D27D7"/>
    <w:rsid w:val="001D3B0D"/>
    <w:rsid w:val="001D4982"/>
    <w:rsid w:val="001E0263"/>
    <w:rsid w:val="001E0286"/>
    <w:rsid w:val="001E1FA3"/>
    <w:rsid w:val="001E7D72"/>
    <w:rsid w:val="001F0F2A"/>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4FDE"/>
    <w:rsid w:val="003852C5"/>
    <w:rsid w:val="00387B86"/>
    <w:rsid w:val="003968F9"/>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3272"/>
    <w:rsid w:val="004144A2"/>
    <w:rsid w:val="00415AD7"/>
    <w:rsid w:val="00416C9D"/>
    <w:rsid w:val="004202F9"/>
    <w:rsid w:val="00420B5B"/>
    <w:rsid w:val="0042239D"/>
    <w:rsid w:val="0042274F"/>
    <w:rsid w:val="0042665B"/>
    <w:rsid w:val="0043172E"/>
    <w:rsid w:val="00432391"/>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6F24"/>
    <w:rsid w:val="004B34FA"/>
    <w:rsid w:val="004B5CEC"/>
    <w:rsid w:val="004C1B9D"/>
    <w:rsid w:val="004C7482"/>
    <w:rsid w:val="004D3611"/>
    <w:rsid w:val="004D362F"/>
    <w:rsid w:val="004D7D20"/>
    <w:rsid w:val="004E4D6D"/>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E27"/>
    <w:rsid w:val="005573E2"/>
    <w:rsid w:val="00566C1C"/>
    <w:rsid w:val="00572F02"/>
    <w:rsid w:val="005767DB"/>
    <w:rsid w:val="00580CC4"/>
    <w:rsid w:val="005857BE"/>
    <w:rsid w:val="00586CE1"/>
    <w:rsid w:val="00594AAC"/>
    <w:rsid w:val="00597535"/>
    <w:rsid w:val="005A0230"/>
    <w:rsid w:val="005A3ABC"/>
    <w:rsid w:val="005A5FE2"/>
    <w:rsid w:val="005B2286"/>
    <w:rsid w:val="005B4A5D"/>
    <w:rsid w:val="005B4CDB"/>
    <w:rsid w:val="005B5FF7"/>
    <w:rsid w:val="005C238B"/>
    <w:rsid w:val="005C38D5"/>
    <w:rsid w:val="005C4E90"/>
    <w:rsid w:val="005D2E6C"/>
    <w:rsid w:val="005D423D"/>
    <w:rsid w:val="005D5589"/>
    <w:rsid w:val="005D678C"/>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68B1"/>
    <w:rsid w:val="00636A35"/>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6C9D"/>
    <w:rsid w:val="006C0833"/>
    <w:rsid w:val="006C2FBE"/>
    <w:rsid w:val="006C38EE"/>
    <w:rsid w:val="006C3A86"/>
    <w:rsid w:val="006D4D67"/>
    <w:rsid w:val="006D6738"/>
    <w:rsid w:val="006E1D70"/>
    <w:rsid w:val="006E2FDA"/>
    <w:rsid w:val="006E3400"/>
    <w:rsid w:val="006E3ADE"/>
    <w:rsid w:val="006E4301"/>
    <w:rsid w:val="006E46AC"/>
    <w:rsid w:val="006E60A3"/>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E00"/>
    <w:rsid w:val="007659CD"/>
    <w:rsid w:val="00767B74"/>
    <w:rsid w:val="007720EF"/>
    <w:rsid w:val="007726B5"/>
    <w:rsid w:val="00776E50"/>
    <w:rsid w:val="00783DA9"/>
    <w:rsid w:val="0079014F"/>
    <w:rsid w:val="00793E35"/>
    <w:rsid w:val="00796682"/>
    <w:rsid w:val="007976E2"/>
    <w:rsid w:val="007A367A"/>
    <w:rsid w:val="007A5603"/>
    <w:rsid w:val="007B38F2"/>
    <w:rsid w:val="007B4AC6"/>
    <w:rsid w:val="007B5DDD"/>
    <w:rsid w:val="007B68CF"/>
    <w:rsid w:val="007C25C2"/>
    <w:rsid w:val="007C2893"/>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340E"/>
    <w:rsid w:val="00806DA3"/>
    <w:rsid w:val="008075D1"/>
    <w:rsid w:val="00812462"/>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660F"/>
    <w:rsid w:val="008D059A"/>
    <w:rsid w:val="008D21A3"/>
    <w:rsid w:val="008D3A9F"/>
    <w:rsid w:val="008D61F6"/>
    <w:rsid w:val="008E19F9"/>
    <w:rsid w:val="008E1D60"/>
    <w:rsid w:val="008E2F97"/>
    <w:rsid w:val="008E3753"/>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B"/>
    <w:rsid w:val="00945DA0"/>
    <w:rsid w:val="00951E7C"/>
    <w:rsid w:val="00952889"/>
    <w:rsid w:val="00953A3D"/>
    <w:rsid w:val="009546FD"/>
    <w:rsid w:val="009573AB"/>
    <w:rsid w:val="009577BF"/>
    <w:rsid w:val="0096162E"/>
    <w:rsid w:val="009722A6"/>
    <w:rsid w:val="00972A12"/>
    <w:rsid w:val="0097311D"/>
    <w:rsid w:val="009743E1"/>
    <w:rsid w:val="00974BB1"/>
    <w:rsid w:val="00980148"/>
    <w:rsid w:val="009801C0"/>
    <w:rsid w:val="00992DB1"/>
    <w:rsid w:val="009A38EF"/>
    <w:rsid w:val="009A592F"/>
    <w:rsid w:val="009A7E4E"/>
    <w:rsid w:val="009A7ED7"/>
    <w:rsid w:val="009B0030"/>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C0437"/>
    <w:rsid w:val="00AC4ECB"/>
    <w:rsid w:val="00AC5AE1"/>
    <w:rsid w:val="00AC65FF"/>
    <w:rsid w:val="00AC6CAC"/>
    <w:rsid w:val="00AC6F10"/>
    <w:rsid w:val="00AD2490"/>
    <w:rsid w:val="00AD3C46"/>
    <w:rsid w:val="00AD5DC9"/>
    <w:rsid w:val="00AD73C6"/>
    <w:rsid w:val="00AE18D1"/>
    <w:rsid w:val="00AE4567"/>
    <w:rsid w:val="00AE5A74"/>
    <w:rsid w:val="00AF47A8"/>
    <w:rsid w:val="00AF5313"/>
    <w:rsid w:val="00AF6366"/>
    <w:rsid w:val="00AF78B9"/>
    <w:rsid w:val="00B001E3"/>
    <w:rsid w:val="00B0382B"/>
    <w:rsid w:val="00B04FEA"/>
    <w:rsid w:val="00B05E3A"/>
    <w:rsid w:val="00B14648"/>
    <w:rsid w:val="00B218B0"/>
    <w:rsid w:val="00B21B86"/>
    <w:rsid w:val="00B2353A"/>
    <w:rsid w:val="00B2422D"/>
    <w:rsid w:val="00B25861"/>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B0101"/>
    <w:rsid w:val="00BB156C"/>
    <w:rsid w:val="00BB6AD2"/>
    <w:rsid w:val="00BB6B2B"/>
    <w:rsid w:val="00BC07A1"/>
    <w:rsid w:val="00BD159D"/>
    <w:rsid w:val="00BD2E08"/>
    <w:rsid w:val="00BD4150"/>
    <w:rsid w:val="00BD6DED"/>
    <w:rsid w:val="00BD6E58"/>
    <w:rsid w:val="00BD7B32"/>
    <w:rsid w:val="00BE27BD"/>
    <w:rsid w:val="00BE2873"/>
    <w:rsid w:val="00BE44E9"/>
    <w:rsid w:val="00BF1E3F"/>
    <w:rsid w:val="00BF20AE"/>
    <w:rsid w:val="00BF2D5F"/>
    <w:rsid w:val="00C12A89"/>
    <w:rsid w:val="00C26CB0"/>
    <w:rsid w:val="00C30550"/>
    <w:rsid w:val="00C368ED"/>
    <w:rsid w:val="00C36ADE"/>
    <w:rsid w:val="00C453EC"/>
    <w:rsid w:val="00C474AF"/>
    <w:rsid w:val="00C52EBE"/>
    <w:rsid w:val="00C55687"/>
    <w:rsid w:val="00C60F23"/>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3D24"/>
    <w:rsid w:val="00CB678B"/>
    <w:rsid w:val="00CC65B7"/>
    <w:rsid w:val="00CC7BBA"/>
    <w:rsid w:val="00CC7CD1"/>
    <w:rsid w:val="00CD3C7E"/>
    <w:rsid w:val="00CD4DFE"/>
    <w:rsid w:val="00CE2631"/>
    <w:rsid w:val="00CE4C08"/>
    <w:rsid w:val="00CE5BE4"/>
    <w:rsid w:val="00CF5E64"/>
    <w:rsid w:val="00CF5EC2"/>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60A04"/>
    <w:rsid w:val="00D64FE2"/>
    <w:rsid w:val="00D674B0"/>
    <w:rsid w:val="00D77118"/>
    <w:rsid w:val="00D772C1"/>
    <w:rsid w:val="00D77EF2"/>
    <w:rsid w:val="00D8398E"/>
    <w:rsid w:val="00D8426B"/>
    <w:rsid w:val="00D85FDF"/>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6430"/>
    <w:rsid w:val="00EB0AD3"/>
    <w:rsid w:val="00EB2518"/>
    <w:rsid w:val="00EB3FB9"/>
    <w:rsid w:val="00EC1FA7"/>
    <w:rsid w:val="00EC268E"/>
    <w:rsid w:val="00EC6A99"/>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5DE6"/>
    <w:rsid w:val="00F36316"/>
    <w:rsid w:val="00F4103D"/>
    <w:rsid w:val="00F44D4C"/>
    <w:rsid w:val="00F471A8"/>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53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38776832"/>
        <c:axId val="38778368"/>
      </c:lineChart>
      <c:catAx>
        <c:axId val="38776832"/>
        <c:scaling>
          <c:orientation val="minMax"/>
        </c:scaling>
        <c:delete val="0"/>
        <c:axPos val="b"/>
        <c:numFmt formatCode="General" sourceLinked="1"/>
        <c:majorTickMark val="out"/>
        <c:minorTickMark val="none"/>
        <c:tickLblPos val="nextTo"/>
        <c:crossAx val="38778368"/>
        <c:crosses val="autoZero"/>
        <c:auto val="1"/>
        <c:lblAlgn val="ctr"/>
        <c:lblOffset val="100"/>
        <c:noMultiLvlLbl val="0"/>
      </c:catAx>
      <c:valAx>
        <c:axId val="38778368"/>
        <c:scaling>
          <c:orientation val="minMax"/>
          <c:max val="0.4"/>
          <c:min val="0.2"/>
        </c:scaling>
        <c:delete val="0"/>
        <c:axPos val="l"/>
        <c:majorGridlines/>
        <c:numFmt formatCode="General" sourceLinked="1"/>
        <c:majorTickMark val="out"/>
        <c:minorTickMark val="none"/>
        <c:tickLblPos val="nextTo"/>
        <c:crossAx val="38776832"/>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38791808"/>
        <c:axId val="48628096"/>
      </c:lineChart>
      <c:catAx>
        <c:axId val="38791808"/>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48628096"/>
        <c:crosses val="autoZero"/>
        <c:auto val="1"/>
        <c:lblAlgn val="ctr"/>
        <c:lblOffset val="100"/>
        <c:noMultiLvlLbl val="0"/>
      </c:catAx>
      <c:valAx>
        <c:axId val="48628096"/>
        <c:scaling>
          <c:orientation val="minMax"/>
        </c:scaling>
        <c:delete val="0"/>
        <c:axPos val="l"/>
        <c:majorGridlines/>
        <c:numFmt formatCode="General" sourceLinked="1"/>
        <c:majorTickMark val="out"/>
        <c:minorTickMark val="none"/>
        <c:tickLblPos val="nextTo"/>
        <c:crossAx val="38791808"/>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69048-65C5-41F5-A21E-65FBE8F9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26</Pages>
  <Words>11974</Words>
  <Characters>68253</Characters>
  <Application>Microsoft Office Word</Application>
  <DocSecurity>0</DocSecurity>
  <Lines>568</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2014-11-28T15:51:00Z</cp:lastPrinted>
  <dcterms:created xsi:type="dcterms:W3CDTF">2015-01-20T18:06:00Z</dcterms:created>
  <dcterms:modified xsi:type="dcterms:W3CDTF">2015-01-21T09:46:00Z</dcterms:modified>
</cp:coreProperties>
</file>