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4CF" w:rsidRDefault="00D044CF"/>
    <w:p w:rsidR="00D044CF" w:rsidRDefault="00D044CF"/>
    <w:p w:rsidR="00D044CF" w:rsidRDefault="00D044CF"/>
    <w:p w:rsidR="00D044CF" w:rsidRDefault="00D044CF"/>
    <w:p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Tr="008A1B90">
        <w:trPr>
          <w:trHeight w:hRule="exact" w:val="11997"/>
        </w:trPr>
        <w:tc>
          <w:tcPr>
            <w:tcW w:w="8392" w:type="dxa"/>
            <w:shd w:val="clear" w:color="auto" w:fill="auto"/>
            <w:tcMar>
              <w:top w:w="284" w:type="dxa"/>
            </w:tcMar>
          </w:tcPr>
          <w:p w:rsidR="009F5BCC" w:rsidRPr="00D044CF" w:rsidRDefault="00D044CF" w:rsidP="00D044CF">
            <w:pPr>
              <w:pStyle w:val="Titel"/>
              <w:jc w:val="center"/>
              <w:rPr>
                <w:lang w:val="en-US"/>
              </w:rPr>
            </w:pPr>
            <w:r w:rsidRPr="00D044CF">
              <w:rPr>
                <w:lang w:val="en-US"/>
              </w:rPr>
              <w:t xml:space="preserve">Assessing </w:t>
            </w:r>
            <w:commentRangeStart w:id="0"/>
            <w:r w:rsidRPr="00D044CF">
              <w:rPr>
                <w:lang w:val="en-US"/>
              </w:rPr>
              <w:t>long time inequality trend</w:t>
            </w:r>
            <w:commentRangeEnd w:id="0"/>
            <w:r>
              <w:rPr>
                <w:rStyle w:val="Kommentarzeichen"/>
                <w:rFonts w:eastAsia="Lucida Sans"/>
                <w:color w:val="auto"/>
                <w:spacing w:val="0"/>
                <w:kern w:val="0"/>
              </w:rPr>
              <w:commentReference w:id="0"/>
            </w:r>
            <w:r w:rsidR="008E19F9">
              <w:rPr>
                <w:lang w:val="en-US"/>
              </w:rPr>
              <w:t>s</w:t>
            </w:r>
            <w:bookmarkStart w:id="1" w:name="_GoBack"/>
            <w:bookmarkEnd w:id="1"/>
            <w:r w:rsidRPr="00D044CF">
              <w:rPr>
                <w:lang w:val="en-US"/>
              </w:rPr>
              <w:t xml:space="preserve"> with tax statistic</w:t>
            </w:r>
          </w:p>
          <w:p w:rsidR="009F5BCC" w:rsidRPr="00D044CF" w:rsidRDefault="00D044CF" w:rsidP="00D044CF">
            <w:pPr>
              <w:pStyle w:val="Untertitel"/>
              <w:jc w:val="center"/>
              <w:rPr>
                <w:lang w:val="en-US"/>
              </w:rPr>
            </w:pPr>
            <w:r w:rsidRPr="00D044CF">
              <w:rPr>
                <w:lang w:val="en-US"/>
              </w:rPr>
              <w:t>Switzerland from 1945 to 2010</w:t>
            </w:r>
          </w:p>
          <w:p w:rsidR="009F5BCC" w:rsidRPr="00D044CF" w:rsidRDefault="009F5BCC" w:rsidP="009F5BCC">
            <w:pPr>
              <w:rPr>
                <w:lang w:val="en-US"/>
              </w:rPr>
            </w:pPr>
          </w:p>
          <w:p w:rsidR="00D044CF" w:rsidRPr="00D044CF" w:rsidRDefault="00D044CF" w:rsidP="00D044CF">
            <w:pPr>
              <w:jc w:val="center"/>
              <w:rPr>
                <w:b/>
                <w:lang w:val="en-US"/>
              </w:rPr>
            </w:pPr>
            <w:r w:rsidRPr="00D044CF">
              <w:rPr>
                <w:b/>
                <w:lang w:val="en-US"/>
              </w:rPr>
              <w:t>Oliver Hümbelin</w:t>
            </w:r>
          </w:p>
          <w:p w:rsidR="00D044CF" w:rsidRPr="00D044CF" w:rsidRDefault="00D044CF" w:rsidP="00D044CF">
            <w:pPr>
              <w:jc w:val="center"/>
              <w:rPr>
                <w:b/>
                <w:lang w:val="en-US"/>
              </w:rPr>
            </w:pPr>
            <w:r w:rsidRPr="00D044CF">
              <w:rPr>
                <w:b/>
                <w:lang w:val="en-US"/>
              </w:rPr>
              <w:t>Bern University of Applied Sciences</w:t>
            </w:r>
          </w:p>
          <w:p w:rsidR="00D044CF" w:rsidRPr="00D044CF" w:rsidRDefault="00D044CF" w:rsidP="00D044CF">
            <w:pPr>
              <w:jc w:val="center"/>
              <w:rPr>
                <w:b/>
                <w:lang w:val="en-US"/>
              </w:rPr>
            </w:pPr>
            <w:r w:rsidRPr="00D044CF">
              <w:rPr>
                <w:b/>
                <w:lang w:val="en-US"/>
              </w:rPr>
              <w:t>oliver.huembelin@bfh.ch</w:t>
            </w:r>
          </w:p>
          <w:p w:rsidR="00D044CF" w:rsidRPr="00D044CF" w:rsidRDefault="00D044CF" w:rsidP="00D044CF">
            <w:pPr>
              <w:jc w:val="center"/>
              <w:rPr>
                <w:b/>
                <w:lang w:val="en-US"/>
              </w:rPr>
            </w:pPr>
            <w:r w:rsidRPr="00D044CF">
              <w:rPr>
                <w:b/>
                <w:lang w:val="en-US"/>
              </w:rPr>
              <w:t>Rudolf Farys</w:t>
            </w:r>
          </w:p>
          <w:p w:rsidR="00D044CF" w:rsidRPr="00D044CF" w:rsidRDefault="00D044CF" w:rsidP="00D044CF">
            <w:pPr>
              <w:jc w:val="center"/>
              <w:rPr>
                <w:b/>
                <w:lang w:val="en-US"/>
              </w:rPr>
            </w:pPr>
            <w:r w:rsidRPr="00D044CF">
              <w:rPr>
                <w:b/>
                <w:lang w:val="en-US"/>
              </w:rPr>
              <w:t>University of Bern</w:t>
            </w:r>
          </w:p>
          <w:p w:rsidR="00D044CF" w:rsidRPr="00D044CF" w:rsidRDefault="008E19F9" w:rsidP="00D044CF">
            <w:pPr>
              <w:jc w:val="center"/>
              <w:rPr>
                <w:b/>
                <w:lang w:val="en-US"/>
              </w:rPr>
            </w:pPr>
            <w:r>
              <w:fldChar w:fldCharType="begin"/>
            </w:r>
            <w:r w:rsidRPr="008E19F9">
              <w:rPr>
                <w:lang w:val="en-US"/>
              </w:rPr>
              <w:instrText xml:space="preserve"> HYPERLINK "mailto:rudolf.farys@soz.unibe.ch" </w:instrText>
            </w:r>
            <w:r>
              <w:fldChar w:fldCharType="separate"/>
            </w:r>
            <w:r w:rsidR="00D044CF" w:rsidRPr="00D044CF">
              <w:rPr>
                <w:rStyle w:val="Hyperlink"/>
                <w:b/>
                <w:lang w:val="en-US"/>
              </w:rPr>
              <w:t>rudolf.farys@soz.unibe.ch</w:t>
            </w:r>
            <w:r>
              <w:rPr>
                <w:rStyle w:val="Hyperlink"/>
                <w:b/>
                <w:lang w:val="en-US"/>
              </w:rPr>
              <w:fldChar w:fldCharType="end"/>
            </w:r>
          </w:p>
          <w:p w:rsidR="009F5BCC" w:rsidRPr="008E19F9" w:rsidRDefault="00D044CF" w:rsidP="00D044CF">
            <w:pPr>
              <w:jc w:val="center"/>
              <w:rPr>
                <w:b/>
                <w:lang w:val="en-US"/>
              </w:rPr>
            </w:pPr>
            <w:r w:rsidRPr="008E19F9">
              <w:rPr>
                <w:b/>
                <w:lang w:val="en-US"/>
              </w:rPr>
              <w:t>September 2014</w:t>
            </w:r>
          </w:p>
          <w:p w:rsidR="00D044CF" w:rsidRPr="008E19F9" w:rsidRDefault="00D044CF" w:rsidP="00D044CF">
            <w:pPr>
              <w:jc w:val="center"/>
              <w:rPr>
                <w:b/>
                <w:lang w:val="en-US"/>
              </w:rPr>
            </w:pPr>
          </w:p>
          <w:p w:rsidR="00D044CF" w:rsidRPr="008E19F9" w:rsidRDefault="00D044CF" w:rsidP="00D044CF">
            <w:pPr>
              <w:jc w:val="center"/>
              <w:rPr>
                <w:b/>
                <w:lang w:val="en-US"/>
              </w:rPr>
            </w:pPr>
          </w:p>
          <w:p w:rsidR="00D044CF" w:rsidRPr="008E19F9" w:rsidRDefault="00D044CF" w:rsidP="00D044CF">
            <w:pPr>
              <w:jc w:val="center"/>
              <w:rPr>
                <w:b/>
                <w:lang w:val="en-US"/>
              </w:rPr>
            </w:pPr>
          </w:p>
          <w:p w:rsidR="00D044CF" w:rsidRPr="008E19F9" w:rsidRDefault="00D044CF" w:rsidP="00D044CF">
            <w:pPr>
              <w:jc w:val="center"/>
              <w:rPr>
                <w:b/>
                <w:lang w:val="en-US"/>
              </w:rPr>
            </w:pPr>
          </w:p>
          <w:p w:rsidR="00D044CF" w:rsidRPr="00154023" w:rsidRDefault="00D044CF" w:rsidP="00D044CF">
            <w:pPr>
              <w:jc w:val="center"/>
              <w:rPr>
                <w:i/>
                <w:lang w:val="en-US"/>
              </w:rPr>
            </w:pPr>
            <w:r w:rsidRPr="00154023">
              <w:rPr>
                <w:i/>
                <w:lang w:val="en-US"/>
              </w:rPr>
              <w:t>Abstract</w:t>
            </w:r>
          </w:p>
          <w:p w:rsidR="00D044CF" w:rsidRPr="00D044CF" w:rsidRDefault="00154023" w:rsidP="000B1BAB">
            <w:pPr>
              <w:rPr>
                <w:b/>
                <w:szCs w:val="19"/>
              </w:rPr>
            </w:pPr>
            <w:r w:rsidRPr="00154023">
              <w:rPr>
                <w:lang w:val="en-US"/>
              </w:rPr>
              <w:t>In many countries inequality trends are inconclusive, because different methodological approaches blur the picture. To assess long time inequality trends tax data plays a key role</w:t>
            </w:r>
            <w:r w:rsidR="000B1BAB">
              <w:rPr>
                <w:lang w:val="en-US"/>
              </w:rPr>
              <w:t xml:space="preserve">. </w:t>
            </w:r>
            <w:r w:rsidRPr="00154023">
              <w:rPr>
                <w:lang w:val="en-US"/>
              </w:rPr>
              <w:t xml:space="preserve"> In this paper we therefore discuss the benefits and shortcomings of tax-statistics concerning the assessment of </w:t>
            </w:r>
            <w:r w:rsidR="006C2FBE">
              <w:rPr>
                <w:lang w:val="en-US"/>
              </w:rPr>
              <w:t xml:space="preserve">economic </w:t>
            </w:r>
            <w:r w:rsidRPr="00154023">
              <w:rPr>
                <w:lang w:val="en-US"/>
              </w:rPr>
              <w:t xml:space="preserve">inequality in general and inequality in income in detail. The focus of the theoretical sections lies herein to compare the possibilities of tax data to “state of the art” measurement concepts and show in which way the assessment of inequality is affected by decision researcher have to make. To point out our argument, we have a closer look at Switzerland, where current studies are especially conflicting. </w:t>
            </w:r>
            <w:commentRangeStart w:id="2"/>
            <w:r w:rsidRPr="00154023">
              <w:rPr>
                <w:lang w:val="en-US"/>
              </w:rPr>
              <w:t>Hence we use public tax statistic to assess the trend of income inequality and show, how the assessment is affected by a) the definition of income, b) the choice of the statistical unit, c) the measure of inequality and, d) the coverage issues. We can show…</w:t>
            </w:r>
            <w:commentRangeEnd w:id="2"/>
            <w:r w:rsidR="000B1BAB">
              <w:rPr>
                <w:rStyle w:val="Kommentarzeichen"/>
              </w:rPr>
              <w:commentReference w:id="2"/>
            </w:r>
          </w:p>
        </w:tc>
      </w:tr>
      <w:tr w:rsidR="009F5BCC" w:rsidTr="008A1B90">
        <w:trPr>
          <w:trHeight w:hRule="exact" w:val="1134"/>
        </w:trPr>
        <w:tc>
          <w:tcPr>
            <w:tcW w:w="8392" w:type="dxa"/>
            <w:shd w:val="clear" w:color="auto" w:fill="auto"/>
            <w:vAlign w:val="bottom"/>
          </w:tcPr>
          <w:p w:rsidR="00D77EF2" w:rsidRPr="00ED6401" w:rsidRDefault="00D77EF2" w:rsidP="00D77EF2">
            <w:pPr>
              <w:pStyle w:val="Fuzeile"/>
              <w:rPr>
                <w:b/>
                <w:sz w:val="19"/>
                <w:szCs w:val="19"/>
              </w:rPr>
            </w:pPr>
            <w:r w:rsidRPr="00ED6401">
              <w:rPr>
                <w:b/>
                <w:sz w:val="19"/>
                <w:szCs w:val="19"/>
              </w:rPr>
              <w:lastRenderedPageBreak/>
              <w:t>Berner Fachhochschule</w:t>
            </w:r>
          </w:p>
          <w:bookmarkStart w:id="3" w:name="Text1"/>
          <w:p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3"/>
          </w:p>
        </w:tc>
      </w:tr>
    </w:tbl>
    <w:p w:rsidR="008D61F6" w:rsidRDefault="008D61F6" w:rsidP="004F7B96">
      <w:pPr>
        <w:pStyle w:val="Inhaltsverzeichnis"/>
        <w:spacing w:line="100" w:lineRule="atLeast"/>
      </w:pPr>
      <w:r w:rsidRPr="008D61F6">
        <w:t>Inhaltsverzeichnis</w:t>
      </w:r>
    </w:p>
    <w:p w:rsidR="00796682" w:rsidRDefault="00796682"/>
    <w:p w:rsidR="004F7B96" w:rsidRPr="008D61F6" w:rsidRDefault="004F7B96"/>
    <w:p w:rsidR="006C2FBE" w:rsidRDefault="003779D0">
      <w:pPr>
        <w:pStyle w:val="Verzeichnis1"/>
        <w:rPr>
          <w:rFonts w:asciiTheme="minorHAnsi" w:eastAsiaTheme="minorEastAsia" w:hAnsiTheme="minorHAnsi" w:cstheme="minorBidi"/>
          <w:noProof/>
          <w:sz w:val="22"/>
          <w:szCs w:val="22"/>
          <w:lang w:val="de-CH" w:eastAsia="de-CH"/>
        </w:rPr>
      </w:pPr>
      <w:r w:rsidRPr="00B833C0">
        <w:fldChar w:fldCharType="begin"/>
      </w:r>
      <w:r w:rsidRPr="00B833C0">
        <w:instrText xml:space="preserve"> TOC \o "1-1" \t "Überschrift 2;2;Überschrift 3;3;Überschrift 4;4;Überschrift 5;5" </w:instrText>
      </w:r>
      <w:r w:rsidRPr="00B833C0">
        <w:fldChar w:fldCharType="separate"/>
      </w:r>
      <w:r w:rsidR="006C2FBE">
        <w:rPr>
          <w:noProof/>
        </w:rPr>
        <w:t>1</w:t>
      </w:r>
      <w:r w:rsidR="006C2FBE">
        <w:rPr>
          <w:rFonts w:asciiTheme="minorHAnsi" w:eastAsiaTheme="minorEastAsia" w:hAnsiTheme="minorHAnsi" w:cstheme="minorBidi"/>
          <w:noProof/>
          <w:sz w:val="22"/>
          <w:szCs w:val="22"/>
          <w:lang w:val="de-CH" w:eastAsia="de-CH"/>
        </w:rPr>
        <w:tab/>
      </w:r>
      <w:r w:rsidR="006C2FBE">
        <w:rPr>
          <w:noProof/>
        </w:rPr>
        <w:t>Introduction</w:t>
      </w:r>
      <w:r w:rsidR="006C2FBE">
        <w:rPr>
          <w:noProof/>
        </w:rPr>
        <w:tab/>
      </w:r>
      <w:r w:rsidR="006C2FBE">
        <w:rPr>
          <w:noProof/>
        </w:rPr>
        <w:fldChar w:fldCharType="begin"/>
      </w:r>
      <w:r w:rsidR="006C2FBE">
        <w:rPr>
          <w:noProof/>
        </w:rPr>
        <w:instrText xml:space="preserve"> PAGEREF _Toc399324945 \h </w:instrText>
      </w:r>
      <w:r w:rsidR="006C2FBE">
        <w:rPr>
          <w:noProof/>
        </w:rPr>
      </w:r>
      <w:r w:rsidR="006C2FBE">
        <w:rPr>
          <w:noProof/>
        </w:rPr>
        <w:fldChar w:fldCharType="separate"/>
      </w:r>
      <w:r w:rsidR="006C2FBE">
        <w:rPr>
          <w:noProof/>
        </w:rPr>
        <w:t>3</w:t>
      </w:r>
      <w:r w:rsidR="006C2FBE">
        <w:rPr>
          <w:noProof/>
        </w:rPr>
        <w:fldChar w:fldCharType="end"/>
      </w:r>
    </w:p>
    <w:p w:rsidR="006C2FBE" w:rsidRPr="006C2FBE" w:rsidRDefault="006C2FBE">
      <w:pPr>
        <w:pStyle w:val="Verzeichnis1"/>
        <w:rPr>
          <w:rFonts w:asciiTheme="minorHAnsi" w:eastAsiaTheme="minorEastAsia" w:hAnsiTheme="minorHAnsi" w:cstheme="minorBidi"/>
          <w:noProof/>
          <w:sz w:val="22"/>
          <w:szCs w:val="22"/>
          <w:lang w:val="en-US" w:eastAsia="de-CH"/>
        </w:rPr>
      </w:pPr>
      <w:r w:rsidRPr="00E61A56">
        <w:rPr>
          <w:noProof/>
          <w:lang w:val="en-US"/>
        </w:rPr>
        <w:t>2</w:t>
      </w:r>
      <w:r w:rsidRPr="006C2FBE">
        <w:rPr>
          <w:rFonts w:asciiTheme="minorHAnsi" w:eastAsiaTheme="minorEastAsia" w:hAnsiTheme="minorHAnsi" w:cstheme="minorBidi"/>
          <w:noProof/>
          <w:sz w:val="22"/>
          <w:szCs w:val="22"/>
          <w:lang w:val="en-US" w:eastAsia="de-CH"/>
        </w:rPr>
        <w:tab/>
      </w:r>
      <w:r w:rsidRPr="00E61A56">
        <w:rPr>
          <w:noProof/>
          <w:lang w:val="en-US"/>
        </w:rPr>
        <w:t>Standards on Assessing Economic Inequality</w:t>
      </w:r>
      <w:r w:rsidRPr="006C2FBE">
        <w:rPr>
          <w:noProof/>
          <w:lang w:val="en-US"/>
        </w:rPr>
        <w:tab/>
      </w:r>
      <w:r>
        <w:rPr>
          <w:noProof/>
        </w:rPr>
        <w:fldChar w:fldCharType="begin"/>
      </w:r>
      <w:r w:rsidRPr="006C2FBE">
        <w:rPr>
          <w:noProof/>
          <w:lang w:val="en-US"/>
        </w:rPr>
        <w:instrText xml:space="preserve"> PAGEREF _Toc399324946 \h </w:instrText>
      </w:r>
      <w:r>
        <w:rPr>
          <w:noProof/>
        </w:rPr>
      </w:r>
      <w:r>
        <w:rPr>
          <w:noProof/>
        </w:rPr>
        <w:fldChar w:fldCharType="separate"/>
      </w:r>
      <w:r w:rsidRPr="006C2FBE">
        <w:rPr>
          <w:noProof/>
          <w:lang w:val="en-US"/>
        </w:rPr>
        <w:t>3</w:t>
      </w:r>
      <w:r>
        <w:rPr>
          <w:noProof/>
        </w:rPr>
        <w:fldChar w:fldCharType="end"/>
      </w:r>
    </w:p>
    <w:p w:rsidR="006C2FBE" w:rsidRPr="006C2FBE" w:rsidRDefault="006C2FBE">
      <w:pPr>
        <w:pStyle w:val="Verzeichnis2"/>
        <w:rPr>
          <w:rFonts w:asciiTheme="minorHAnsi" w:eastAsiaTheme="minorEastAsia" w:hAnsiTheme="minorHAnsi" w:cstheme="minorBidi"/>
          <w:noProof/>
          <w:sz w:val="22"/>
          <w:szCs w:val="22"/>
          <w:lang w:val="en-US" w:eastAsia="de-CH"/>
        </w:rPr>
      </w:pPr>
      <w:r w:rsidRPr="00E61A56">
        <w:rPr>
          <w:noProof/>
          <w:lang w:val="en-US"/>
        </w:rPr>
        <w:t>2.1 Concepts on measuring economic resources</w:t>
      </w:r>
      <w:r w:rsidRPr="006C2FBE">
        <w:rPr>
          <w:noProof/>
          <w:lang w:val="en-US"/>
        </w:rPr>
        <w:tab/>
      </w:r>
      <w:r>
        <w:rPr>
          <w:noProof/>
        </w:rPr>
        <w:fldChar w:fldCharType="begin"/>
      </w:r>
      <w:r w:rsidRPr="006C2FBE">
        <w:rPr>
          <w:noProof/>
          <w:lang w:val="en-US"/>
        </w:rPr>
        <w:instrText xml:space="preserve"> PAGEREF _Toc399324947 \h </w:instrText>
      </w:r>
      <w:r>
        <w:rPr>
          <w:noProof/>
        </w:rPr>
      </w:r>
      <w:r>
        <w:rPr>
          <w:noProof/>
        </w:rPr>
        <w:fldChar w:fldCharType="separate"/>
      </w:r>
      <w:r w:rsidRPr="006C2FBE">
        <w:rPr>
          <w:noProof/>
          <w:lang w:val="en-US"/>
        </w:rPr>
        <w:t>3</w:t>
      </w:r>
      <w:r>
        <w:rPr>
          <w:noProof/>
        </w:rPr>
        <w:fldChar w:fldCharType="end"/>
      </w:r>
    </w:p>
    <w:p w:rsidR="006C2FBE" w:rsidRPr="006C2FBE" w:rsidRDefault="006C2FBE">
      <w:pPr>
        <w:pStyle w:val="Verzeichnis2"/>
        <w:rPr>
          <w:rFonts w:asciiTheme="minorHAnsi" w:eastAsiaTheme="minorEastAsia" w:hAnsiTheme="minorHAnsi" w:cstheme="minorBidi"/>
          <w:noProof/>
          <w:sz w:val="22"/>
          <w:szCs w:val="22"/>
          <w:lang w:val="en-US" w:eastAsia="de-CH"/>
        </w:rPr>
      </w:pPr>
      <w:r w:rsidRPr="006C2FBE">
        <w:rPr>
          <w:noProof/>
          <w:lang w:val="en-US"/>
        </w:rPr>
        <w:t>2.2 Statistical units</w:t>
      </w:r>
      <w:r w:rsidRPr="006C2FBE">
        <w:rPr>
          <w:noProof/>
          <w:lang w:val="en-US"/>
        </w:rPr>
        <w:tab/>
      </w:r>
      <w:r>
        <w:rPr>
          <w:noProof/>
        </w:rPr>
        <w:fldChar w:fldCharType="begin"/>
      </w:r>
      <w:r w:rsidRPr="006C2FBE">
        <w:rPr>
          <w:noProof/>
          <w:lang w:val="en-US"/>
        </w:rPr>
        <w:instrText xml:space="preserve"> PAGEREF _Toc399324948 \h </w:instrText>
      </w:r>
      <w:r>
        <w:rPr>
          <w:noProof/>
        </w:rPr>
      </w:r>
      <w:r>
        <w:rPr>
          <w:noProof/>
        </w:rPr>
        <w:fldChar w:fldCharType="separate"/>
      </w:r>
      <w:r w:rsidRPr="006C2FBE">
        <w:rPr>
          <w:noProof/>
          <w:lang w:val="en-US"/>
        </w:rPr>
        <w:t>4</w:t>
      </w:r>
      <w:r>
        <w:rPr>
          <w:noProof/>
        </w:rPr>
        <w:fldChar w:fldCharType="end"/>
      </w:r>
    </w:p>
    <w:p w:rsidR="006C2FBE" w:rsidRPr="006C2FBE" w:rsidRDefault="006C2FBE">
      <w:pPr>
        <w:pStyle w:val="Verzeichnis2"/>
        <w:rPr>
          <w:rFonts w:asciiTheme="minorHAnsi" w:eastAsiaTheme="minorEastAsia" w:hAnsiTheme="minorHAnsi" w:cstheme="minorBidi"/>
          <w:noProof/>
          <w:sz w:val="22"/>
          <w:szCs w:val="22"/>
          <w:lang w:val="en-US" w:eastAsia="de-CH"/>
        </w:rPr>
      </w:pPr>
      <w:r w:rsidRPr="00E61A56">
        <w:rPr>
          <w:noProof/>
          <w:lang w:val="en-US"/>
        </w:rPr>
        <w:t>2.3 Measuring inequality</w:t>
      </w:r>
      <w:r w:rsidRPr="006C2FBE">
        <w:rPr>
          <w:noProof/>
          <w:lang w:val="en-US"/>
        </w:rPr>
        <w:tab/>
      </w:r>
      <w:r>
        <w:rPr>
          <w:noProof/>
        </w:rPr>
        <w:fldChar w:fldCharType="begin"/>
      </w:r>
      <w:r w:rsidRPr="006C2FBE">
        <w:rPr>
          <w:noProof/>
          <w:lang w:val="en-US"/>
        </w:rPr>
        <w:instrText xml:space="preserve"> PAGEREF _Toc399324949 \h </w:instrText>
      </w:r>
      <w:r>
        <w:rPr>
          <w:noProof/>
        </w:rPr>
      </w:r>
      <w:r>
        <w:rPr>
          <w:noProof/>
        </w:rPr>
        <w:fldChar w:fldCharType="separate"/>
      </w:r>
      <w:r w:rsidRPr="006C2FBE">
        <w:rPr>
          <w:noProof/>
          <w:lang w:val="en-US"/>
        </w:rPr>
        <w:t>5</w:t>
      </w:r>
      <w:r>
        <w:rPr>
          <w:noProof/>
        </w:rPr>
        <w:fldChar w:fldCharType="end"/>
      </w:r>
    </w:p>
    <w:p w:rsidR="006C2FBE" w:rsidRPr="006C2FBE" w:rsidRDefault="006C2FBE">
      <w:pPr>
        <w:pStyle w:val="Verzeichnis2"/>
        <w:rPr>
          <w:rFonts w:asciiTheme="minorHAnsi" w:eastAsiaTheme="minorEastAsia" w:hAnsiTheme="minorHAnsi" w:cstheme="minorBidi"/>
          <w:noProof/>
          <w:sz w:val="22"/>
          <w:szCs w:val="22"/>
          <w:lang w:val="en-US" w:eastAsia="de-CH"/>
        </w:rPr>
      </w:pPr>
      <w:r w:rsidRPr="00E61A56">
        <w:rPr>
          <w:noProof/>
          <w:lang w:val="en-US"/>
        </w:rPr>
        <w:t>2.4 Coverage Issues</w:t>
      </w:r>
      <w:r w:rsidRPr="006C2FBE">
        <w:rPr>
          <w:noProof/>
          <w:lang w:val="en-US"/>
        </w:rPr>
        <w:tab/>
      </w:r>
      <w:r>
        <w:rPr>
          <w:noProof/>
        </w:rPr>
        <w:fldChar w:fldCharType="begin"/>
      </w:r>
      <w:r w:rsidRPr="006C2FBE">
        <w:rPr>
          <w:noProof/>
          <w:lang w:val="en-US"/>
        </w:rPr>
        <w:instrText xml:space="preserve"> PAGEREF _Toc399324950 \h </w:instrText>
      </w:r>
      <w:r>
        <w:rPr>
          <w:noProof/>
        </w:rPr>
      </w:r>
      <w:r>
        <w:rPr>
          <w:noProof/>
        </w:rPr>
        <w:fldChar w:fldCharType="separate"/>
      </w:r>
      <w:r w:rsidRPr="006C2FBE">
        <w:rPr>
          <w:noProof/>
          <w:lang w:val="en-US"/>
        </w:rPr>
        <w:t>6</w:t>
      </w:r>
      <w:r>
        <w:rPr>
          <w:noProof/>
        </w:rPr>
        <w:fldChar w:fldCharType="end"/>
      </w:r>
    </w:p>
    <w:p w:rsidR="006C2FBE" w:rsidRPr="006C2FBE" w:rsidRDefault="006C2FBE">
      <w:pPr>
        <w:pStyle w:val="Verzeichnis1"/>
        <w:rPr>
          <w:rFonts w:asciiTheme="minorHAnsi" w:eastAsiaTheme="minorEastAsia" w:hAnsiTheme="minorHAnsi" w:cstheme="minorBidi"/>
          <w:noProof/>
          <w:sz w:val="22"/>
          <w:szCs w:val="22"/>
          <w:lang w:val="en-US" w:eastAsia="de-CH"/>
        </w:rPr>
      </w:pPr>
      <w:r w:rsidRPr="00E61A56">
        <w:rPr>
          <w:noProof/>
          <w:lang w:val="en-US"/>
        </w:rPr>
        <w:t>3</w:t>
      </w:r>
      <w:r w:rsidRPr="006C2FBE">
        <w:rPr>
          <w:rFonts w:asciiTheme="minorHAnsi" w:eastAsiaTheme="minorEastAsia" w:hAnsiTheme="minorHAnsi" w:cstheme="minorBidi"/>
          <w:noProof/>
          <w:sz w:val="22"/>
          <w:szCs w:val="22"/>
          <w:lang w:val="en-US" w:eastAsia="de-CH"/>
        </w:rPr>
        <w:tab/>
      </w:r>
      <w:r w:rsidRPr="00E61A56">
        <w:rPr>
          <w:noProof/>
          <w:lang w:val="en-US"/>
        </w:rPr>
        <w:t>Comparison of tax data and survey data – overview of advantages and shortcomings</w:t>
      </w:r>
      <w:r w:rsidRPr="006C2FBE">
        <w:rPr>
          <w:noProof/>
          <w:lang w:val="en-US"/>
        </w:rPr>
        <w:tab/>
      </w:r>
      <w:r>
        <w:rPr>
          <w:noProof/>
        </w:rPr>
        <w:fldChar w:fldCharType="begin"/>
      </w:r>
      <w:r w:rsidRPr="006C2FBE">
        <w:rPr>
          <w:noProof/>
          <w:lang w:val="en-US"/>
        </w:rPr>
        <w:instrText xml:space="preserve"> PAGEREF _Toc399324951 \h </w:instrText>
      </w:r>
      <w:r>
        <w:rPr>
          <w:noProof/>
        </w:rPr>
      </w:r>
      <w:r>
        <w:rPr>
          <w:noProof/>
        </w:rPr>
        <w:fldChar w:fldCharType="separate"/>
      </w:r>
      <w:r w:rsidRPr="006C2FBE">
        <w:rPr>
          <w:noProof/>
          <w:lang w:val="en-US"/>
        </w:rPr>
        <w:t>6</w:t>
      </w:r>
      <w:r>
        <w:rPr>
          <w:noProof/>
        </w:rPr>
        <w:fldChar w:fldCharType="end"/>
      </w:r>
    </w:p>
    <w:p w:rsidR="006C2FBE" w:rsidRPr="006C2FBE" w:rsidRDefault="006C2FBE">
      <w:pPr>
        <w:pStyle w:val="Verzeichnis1"/>
        <w:rPr>
          <w:rFonts w:asciiTheme="minorHAnsi" w:eastAsiaTheme="minorEastAsia" w:hAnsiTheme="minorHAnsi" w:cstheme="minorBidi"/>
          <w:noProof/>
          <w:sz w:val="22"/>
          <w:szCs w:val="22"/>
          <w:lang w:val="en-US" w:eastAsia="de-CH"/>
        </w:rPr>
      </w:pPr>
      <w:r w:rsidRPr="00E61A56">
        <w:rPr>
          <w:noProof/>
          <w:lang w:val="en-US"/>
        </w:rPr>
        <w:t>4</w:t>
      </w:r>
      <w:r w:rsidRPr="006C2FBE">
        <w:rPr>
          <w:rFonts w:asciiTheme="minorHAnsi" w:eastAsiaTheme="minorEastAsia" w:hAnsiTheme="minorHAnsi" w:cstheme="minorBidi"/>
          <w:noProof/>
          <w:sz w:val="22"/>
          <w:szCs w:val="22"/>
          <w:lang w:val="en-US" w:eastAsia="de-CH"/>
        </w:rPr>
        <w:tab/>
      </w:r>
      <w:r w:rsidRPr="00E61A56">
        <w:rPr>
          <w:noProof/>
          <w:lang w:val="en-US"/>
        </w:rPr>
        <w:t>Conflicting results due to methodological differences in Switzerland?</w:t>
      </w:r>
      <w:r w:rsidRPr="006C2FBE">
        <w:rPr>
          <w:noProof/>
          <w:lang w:val="en-US"/>
        </w:rPr>
        <w:tab/>
      </w:r>
      <w:r>
        <w:rPr>
          <w:noProof/>
        </w:rPr>
        <w:fldChar w:fldCharType="begin"/>
      </w:r>
      <w:r w:rsidRPr="006C2FBE">
        <w:rPr>
          <w:noProof/>
          <w:lang w:val="en-US"/>
        </w:rPr>
        <w:instrText xml:space="preserve"> PAGEREF _Toc399324952 \h </w:instrText>
      </w:r>
      <w:r>
        <w:rPr>
          <w:noProof/>
        </w:rPr>
      </w:r>
      <w:r>
        <w:rPr>
          <w:noProof/>
        </w:rPr>
        <w:fldChar w:fldCharType="separate"/>
      </w:r>
      <w:r w:rsidRPr="006C2FBE">
        <w:rPr>
          <w:noProof/>
          <w:lang w:val="en-US"/>
        </w:rPr>
        <w:t>7</w:t>
      </w:r>
      <w:r>
        <w:rPr>
          <w:noProof/>
        </w:rPr>
        <w:fldChar w:fldCharType="end"/>
      </w:r>
    </w:p>
    <w:p w:rsidR="006C2FBE" w:rsidRPr="006C2FBE" w:rsidRDefault="006C2FBE">
      <w:pPr>
        <w:pStyle w:val="Verzeichnis1"/>
        <w:rPr>
          <w:rFonts w:asciiTheme="minorHAnsi" w:eastAsiaTheme="minorEastAsia" w:hAnsiTheme="minorHAnsi" w:cstheme="minorBidi"/>
          <w:noProof/>
          <w:sz w:val="22"/>
          <w:szCs w:val="22"/>
          <w:lang w:val="en-US" w:eastAsia="de-CH"/>
        </w:rPr>
      </w:pPr>
      <w:r w:rsidRPr="00E61A56">
        <w:rPr>
          <w:noProof/>
          <w:lang w:val="en-US"/>
        </w:rPr>
        <w:t>5</w:t>
      </w:r>
      <w:r w:rsidRPr="006C2FBE">
        <w:rPr>
          <w:rFonts w:asciiTheme="minorHAnsi" w:eastAsiaTheme="minorEastAsia" w:hAnsiTheme="minorHAnsi" w:cstheme="minorBidi"/>
          <w:noProof/>
          <w:sz w:val="22"/>
          <w:szCs w:val="22"/>
          <w:lang w:val="en-US" w:eastAsia="de-CH"/>
        </w:rPr>
        <w:tab/>
      </w:r>
      <w:r w:rsidRPr="00E61A56">
        <w:rPr>
          <w:noProof/>
          <w:lang w:val="en-US"/>
        </w:rPr>
        <w:t>Assessing income inequality trend with tax data for Switzerland</w:t>
      </w:r>
      <w:r w:rsidRPr="006C2FBE">
        <w:rPr>
          <w:noProof/>
          <w:lang w:val="en-US"/>
        </w:rPr>
        <w:tab/>
      </w:r>
      <w:r>
        <w:rPr>
          <w:noProof/>
        </w:rPr>
        <w:fldChar w:fldCharType="begin"/>
      </w:r>
      <w:r w:rsidRPr="006C2FBE">
        <w:rPr>
          <w:noProof/>
          <w:lang w:val="en-US"/>
        </w:rPr>
        <w:instrText xml:space="preserve"> PAGEREF _Toc399324953 \h </w:instrText>
      </w:r>
      <w:r>
        <w:rPr>
          <w:noProof/>
        </w:rPr>
      </w:r>
      <w:r>
        <w:rPr>
          <w:noProof/>
        </w:rPr>
        <w:fldChar w:fldCharType="separate"/>
      </w:r>
      <w:r w:rsidRPr="006C2FBE">
        <w:rPr>
          <w:noProof/>
          <w:lang w:val="en-US"/>
        </w:rPr>
        <w:t>9</w:t>
      </w:r>
      <w:r>
        <w:rPr>
          <w:noProof/>
        </w:rPr>
        <w:fldChar w:fldCharType="end"/>
      </w:r>
    </w:p>
    <w:p w:rsidR="006C2FBE" w:rsidRPr="006C2FBE" w:rsidRDefault="006C2FBE">
      <w:pPr>
        <w:pStyle w:val="Verzeichnis2"/>
        <w:rPr>
          <w:rFonts w:asciiTheme="minorHAnsi" w:eastAsiaTheme="minorEastAsia" w:hAnsiTheme="minorHAnsi" w:cstheme="minorBidi"/>
          <w:noProof/>
          <w:sz w:val="22"/>
          <w:szCs w:val="22"/>
          <w:lang w:val="en-US" w:eastAsia="de-CH"/>
        </w:rPr>
      </w:pPr>
      <w:r w:rsidRPr="00E61A56">
        <w:rPr>
          <w:noProof/>
          <w:lang w:val="en-US"/>
        </w:rPr>
        <w:t>5.1 Tax statistics in Switzerland</w:t>
      </w:r>
      <w:r w:rsidRPr="006C2FBE">
        <w:rPr>
          <w:noProof/>
          <w:lang w:val="en-US"/>
        </w:rPr>
        <w:tab/>
      </w:r>
      <w:r>
        <w:rPr>
          <w:noProof/>
        </w:rPr>
        <w:fldChar w:fldCharType="begin"/>
      </w:r>
      <w:r w:rsidRPr="006C2FBE">
        <w:rPr>
          <w:noProof/>
          <w:lang w:val="en-US"/>
        </w:rPr>
        <w:instrText xml:space="preserve"> PAGEREF _Toc399324954 \h </w:instrText>
      </w:r>
      <w:r>
        <w:rPr>
          <w:noProof/>
        </w:rPr>
      </w:r>
      <w:r>
        <w:rPr>
          <w:noProof/>
        </w:rPr>
        <w:fldChar w:fldCharType="separate"/>
      </w:r>
      <w:r w:rsidRPr="006C2FBE">
        <w:rPr>
          <w:noProof/>
          <w:lang w:val="en-US"/>
        </w:rPr>
        <w:t>9</w:t>
      </w:r>
      <w:r>
        <w:rPr>
          <w:noProof/>
        </w:rPr>
        <w:fldChar w:fldCharType="end"/>
      </w:r>
    </w:p>
    <w:p w:rsidR="006C2FBE" w:rsidRPr="006C2FBE" w:rsidRDefault="006C2FBE">
      <w:pPr>
        <w:pStyle w:val="Verzeichnis2"/>
        <w:rPr>
          <w:rFonts w:asciiTheme="minorHAnsi" w:eastAsiaTheme="minorEastAsia" w:hAnsiTheme="minorHAnsi" w:cstheme="minorBidi"/>
          <w:noProof/>
          <w:sz w:val="22"/>
          <w:szCs w:val="22"/>
          <w:lang w:val="en-US" w:eastAsia="de-CH"/>
        </w:rPr>
      </w:pPr>
      <w:r w:rsidRPr="00E61A56">
        <w:rPr>
          <w:noProof/>
          <w:lang w:val="en-US"/>
        </w:rPr>
        <w:t>5.2 Defining Economic resources</w:t>
      </w:r>
      <w:r w:rsidRPr="006C2FBE">
        <w:rPr>
          <w:noProof/>
          <w:lang w:val="en-US"/>
        </w:rPr>
        <w:tab/>
      </w:r>
      <w:r>
        <w:rPr>
          <w:noProof/>
        </w:rPr>
        <w:fldChar w:fldCharType="begin"/>
      </w:r>
      <w:r w:rsidRPr="006C2FBE">
        <w:rPr>
          <w:noProof/>
          <w:lang w:val="en-US"/>
        </w:rPr>
        <w:instrText xml:space="preserve"> PAGEREF _Toc399324955 \h </w:instrText>
      </w:r>
      <w:r>
        <w:rPr>
          <w:noProof/>
        </w:rPr>
      </w:r>
      <w:r>
        <w:rPr>
          <w:noProof/>
        </w:rPr>
        <w:fldChar w:fldCharType="separate"/>
      </w:r>
      <w:r w:rsidRPr="006C2FBE">
        <w:rPr>
          <w:noProof/>
          <w:lang w:val="en-US"/>
        </w:rPr>
        <w:t>10</w:t>
      </w:r>
      <w:r>
        <w:rPr>
          <w:noProof/>
        </w:rPr>
        <w:fldChar w:fldCharType="end"/>
      </w:r>
    </w:p>
    <w:p w:rsidR="006C2FBE" w:rsidRPr="006C2FBE" w:rsidRDefault="006C2FBE">
      <w:pPr>
        <w:pStyle w:val="Verzeichnis2"/>
        <w:rPr>
          <w:rFonts w:asciiTheme="minorHAnsi" w:eastAsiaTheme="minorEastAsia" w:hAnsiTheme="minorHAnsi" w:cstheme="minorBidi"/>
          <w:noProof/>
          <w:sz w:val="22"/>
          <w:szCs w:val="22"/>
          <w:lang w:val="en-US" w:eastAsia="de-CH"/>
        </w:rPr>
      </w:pPr>
      <w:r w:rsidRPr="00E61A56">
        <w:rPr>
          <w:noProof/>
          <w:lang w:val="en-US"/>
        </w:rPr>
        <w:t>5.3 Statistical units</w:t>
      </w:r>
      <w:r w:rsidRPr="006C2FBE">
        <w:rPr>
          <w:noProof/>
          <w:lang w:val="en-US"/>
        </w:rPr>
        <w:tab/>
      </w:r>
      <w:r>
        <w:rPr>
          <w:noProof/>
        </w:rPr>
        <w:fldChar w:fldCharType="begin"/>
      </w:r>
      <w:r w:rsidRPr="006C2FBE">
        <w:rPr>
          <w:noProof/>
          <w:lang w:val="en-US"/>
        </w:rPr>
        <w:instrText xml:space="preserve"> PAGEREF _Toc399324956 \h </w:instrText>
      </w:r>
      <w:r>
        <w:rPr>
          <w:noProof/>
        </w:rPr>
      </w:r>
      <w:r>
        <w:rPr>
          <w:noProof/>
        </w:rPr>
        <w:fldChar w:fldCharType="separate"/>
      </w:r>
      <w:r w:rsidRPr="006C2FBE">
        <w:rPr>
          <w:noProof/>
          <w:lang w:val="en-US"/>
        </w:rPr>
        <w:t>10</w:t>
      </w:r>
      <w:r>
        <w:rPr>
          <w:noProof/>
        </w:rPr>
        <w:fldChar w:fldCharType="end"/>
      </w:r>
    </w:p>
    <w:p w:rsidR="006C2FBE" w:rsidRPr="006C2FBE" w:rsidRDefault="006C2FBE">
      <w:pPr>
        <w:pStyle w:val="Verzeichnis2"/>
        <w:rPr>
          <w:rFonts w:asciiTheme="minorHAnsi" w:eastAsiaTheme="minorEastAsia" w:hAnsiTheme="minorHAnsi" w:cstheme="minorBidi"/>
          <w:noProof/>
          <w:sz w:val="22"/>
          <w:szCs w:val="22"/>
          <w:lang w:val="en-US" w:eastAsia="de-CH"/>
        </w:rPr>
      </w:pPr>
      <w:r w:rsidRPr="00E61A56">
        <w:rPr>
          <w:noProof/>
          <w:lang w:val="en-US"/>
        </w:rPr>
        <w:t>5.4 Measuring inequality</w:t>
      </w:r>
      <w:r w:rsidRPr="006C2FBE">
        <w:rPr>
          <w:noProof/>
          <w:lang w:val="en-US"/>
        </w:rPr>
        <w:tab/>
      </w:r>
      <w:r>
        <w:rPr>
          <w:noProof/>
        </w:rPr>
        <w:fldChar w:fldCharType="begin"/>
      </w:r>
      <w:r w:rsidRPr="006C2FBE">
        <w:rPr>
          <w:noProof/>
          <w:lang w:val="en-US"/>
        </w:rPr>
        <w:instrText xml:space="preserve"> PAGEREF _Toc399324957 \h </w:instrText>
      </w:r>
      <w:r>
        <w:rPr>
          <w:noProof/>
        </w:rPr>
      </w:r>
      <w:r>
        <w:rPr>
          <w:noProof/>
        </w:rPr>
        <w:fldChar w:fldCharType="separate"/>
      </w:r>
      <w:r w:rsidRPr="006C2FBE">
        <w:rPr>
          <w:noProof/>
          <w:lang w:val="en-US"/>
        </w:rPr>
        <w:t>10</w:t>
      </w:r>
      <w:r>
        <w:rPr>
          <w:noProof/>
        </w:rPr>
        <w:fldChar w:fldCharType="end"/>
      </w:r>
    </w:p>
    <w:p w:rsidR="006C2FBE" w:rsidRPr="006C2FBE" w:rsidRDefault="006C2FBE">
      <w:pPr>
        <w:pStyle w:val="Verzeichnis2"/>
        <w:rPr>
          <w:rFonts w:asciiTheme="minorHAnsi" w:eastAsiaTheme="minorEastAsia" w:hAnsiTheme="minorHAnsi" w:cstheme="minorBidi"/>
          <w:noProof/>
          <w:sz w:val="22"/>
          <w:szCs w:val="22"/>
          <w:lang w:val="en-US" w:eastAsia="de-CH"/>
        </w:rPr>
      </w:pPr>
      <w:r w:rsidRPr="00E61A56">
        <w:rPr>
          <w:noProof/>
          <w:lang w:val="en-US"/>
        </w:rPr>
        <w:t>5.5 Coverage issues</w:t>
      </w:r>
      <w:r w:rsidRPr="006C2FBE">
        <w:rPr>
          <w:noProof/>
          <w:lang w:val="en-US"/>
        </w:rPr>
        <w:tab/>
      </w:r>
      <w:r>
        <w:rPr>
          <w:noProof/>
        </w:rPr>
        <w:fldChar w:fldCharType="begin"/>
      </w:r>
      <w:r w:rsidRPr="006C2FBE">
        <w:rPr>
          <w:noProof/>
          <w:lang w:val="en-US"/>
        </w:rPr>
        <w:instrText xml:space="preserve"> PAGEREF _Toc399324958 \h </w:instrText>
      </w:r>
      <w:r>
        <w:rPr>
          <w:noProof/>
        </w:rPr>
      </w:r>
      <w:r>
        <w:rPr>
          <w:noProof/>
        </w:rPr>
        <w:fldChar w:fldCharType="separate"/>
      </w:r>
      <w:r w:rsidRPr="006C2FBE">
        <w:rPr>
          <w:noProof/>
          <w:lang w:val="en-US"/>
        </w:rPr>
        <w:t>12</w:t>
      </w:r>
      <w:r>
        <w:rPr>
          <w:noProof/>
        </w:rPr>
        <w:fldChar w:fldCharType="end"/>
      </w:r>
    </w:p>
    <w:p w:rsidR="006C2FBE" w:rsidRPr="006C2FBE" w:rsidRDefault="006C2FBE">
      <w:pPr>
        <w:pStyle w:val="Verzeichnis3"/>
        <w:tabs>
          <w:tab w:val="right" w:pos="9457"/>
        </w:tabs>
        <w:rPr>
          <w:rFonts w:asciiTheme="minorHAnsi" w:eastAsiaTheme="minorEastAsia" w:hAnsiTheme="minorHAnsi" w:cstheme="minorBidi"/>
          <w:noProof/>
          <w:sz w:val="22"/>
          <w:szCs w:val="22"/>
          <w:lang w:val="en-US" w:eastAsia="de-CH"/>
        </w:rPr>
      </w:pPr>
      <w:r w:rsidRPr="00E61A56">
        <w:rPr>
          <w:noProof/>
          <w:lang w:val="en-US"/>
        </w:rPr>
        <w:t>5.5.1 Normal vs Special cases</w:t>
      </w:r>
      <w:r w:rsidRPr="006C2FBE">
        <w:rPr>
          <w:noProof/>
          <w:lang w:val="en-US"/>
        </w:rPr>
        <w:tab/>
      </w:r>
      <w:r>
        <w:rPr>
          <w:noProof/>
        </w:rPr>
        <w:fldChar w:fldCharType="begin"/>
      </w:r>
      <w:r w:rsidRPr="006C2FBE">
        <w:rPr>
          <w:noProof/>
          <w:lang w:val="en-US"/>
        </w:rPr>
        <w:instrText xml:space="preserve"> PAGEREF _Toc399324959 \h </w:instrText>
      </w:r>
      <w:r>
        <w:rPr>
          <w:noProof/>
        </w:rPr>
      </w:r>
      <w:r>
        <w:rPr>
          <w:noProof/>
        </w:rPr>
        <w:fldChar w:fldCharType="separate"/>
      </w:r>
      <w:r w:rsidRPr="006C2FBE">
        <w:rPr>
          <w:noProof/>
          <w:lang w:val="en-US"/>
        </w:rPr>
        <w:t>13</w:t>
      </w:r>
      <w:r>
        <w:rPr>
          <w:noProof/>
        </w:rPr>
        <w:fldChar w:fldCharType="end"/>
      </w:r>
    </w:p>
    <w:p w:rsidR="006C2FBE" w:rsidRPr="006C2FBE" w:rsidRDefault="006C2FBE">
      <w:pPr>
        <w:pStyle w:val="Verzeichnis3"/>
        <w:tabs>
          <w:tab w:val="right" w:pos="9457"/>
        </w:tabs>
        <w:rPr>
          <w:rFonts w:asciiTheme="minorHAnsi" w:eastAsiaTheme="minorEastAsia" w:hAnsiTheme="minorHAnsi" w:cstheme="minorBidi"/>
          <w:noProof/>
          <w:sz w:val="22"/>
          <w:szCs w:val="22"/>
          <w:lang w:val="en-US" w:eastAsia="de-CH"/>
        </w:rPr>
      </w:pPr>
      <w:r w:rsidRPr="00E61A56">
        <w:rPr>
          <w:noProof/>
          <w:lang w:val="en-US"/>
        </w:rPr>
        <w:t>5.5.2 With and without non-taxed</w:t>
      </w:r>
      <w:r w:rsidRPr="006C2FBE">
        <w:rPr>
          <w:noProof/>
          <w:lang w:val="en-US"/>
        </w:rPr>
        <w:tab/>
      </w:r>
      <w:r>
        <w:rPr>
          <w:noProof/>
        </w:rPr>
        <w:fldChar w:fldCharType="begin"/>
      </w:r>
      <w:r w:rsidRPr="006C2FBE">
        <w:rPr>
          <w:noProof/>
          <w:lang w:val="en-US"/>
        </w:rPr>
        <w:instrText xml:space="preserve"> PAGEREF _Toc399324960 \h </w:instrText>
      </w:r>
      <w:r>
        <w:rPr>
          <w:noProof/>
        </w:rPr>
      </w:r>
      <w:r>
        <w:rPr>
          <w:noProof/>
        </w:rPr>
        <w:fldChar w:fldCharType="separate"/>
      </w:r>
      <w:r w:rsidRPr="006C2FBE">
        <w:rPr>
          <w:noProof/>
          <w:lang w:val="en-US"/>
        </w:rPr>
        <w:t>13</w:t>
      </w:r>
      <w:r>
        <w:rPr>
          <w:noProof/>
        </w:rPr>
        <w:fldChar w:fldCharType="end"/>
      </w:r>
    </w:p>
    <w:p w:rsidR="006C2FBE" w:rsidRPr="006C2FBE" w:rsidRDefault="006C2FBE">
      <w:pPr>
        <w:pStyle w:val="Verzeichnis3"/>
        <w:tabs>
          <w:tab w:val="right" w:pos="9457"/>
        </w:tabs>
        <w:rPr>
          <w:rFonts w:asciiTheme="minorHAnsi" w:eastAsiaTheme="minorEastAsia" w:hAnsiTheme="minorHAnsi" w:cstheme="minorBidi"/>
          <w:noProof/>
          <w:sz w:val="22"/>
          <w:szCs w:val="22"/>
          <w:lang w:val="en-US" w:eastAsia="de-CH"/>
        </w:rPr>
      </w:pPr>
      <w:r w:rsidRPr="00E61A56">
        <w:rPr>
          <w:noProof/>
          <w:lang w:val="en-US"/>
        </w:rPr>
        <w:t>5.5.3 Tax data vs Survey Data</w:t>
      </w:r>
      <w:r w:rsidRPr="006C2FBE">
        <w:rPr>
          <w:noProof/>
          <w:lang w:val="en-US"/>
        </w:rPr>
        <w:tab/>
      </w:r>
      <w:r>
        <w:rPr>
          <w:noProof/>
        </w:rPr>
        <w:fldChar w:fldCharType="begin"/>
      </w:r>
      <w:r w:rsidRPr="006C2FBE">
        <w:rPr>
          <w:noProof/>
          <w:lang w:val="en-US"/>
        </w:rPr>
        <w:instrText xml:space="preserve"> PAGEREF _Toc399324961 \h </w:instrText>
      </w:r>
      <w:r>
        <w:rPr>
          <w:noProof/>
        </w:rPr>
      </w:r>
      <w:r>
        <w:rPr>
          <w:noProof/>
        </w:rPr>
        <w:fldChar w:fldCharType="separate"/>
      </w:r>
      <w:r w:rsidRPr="006C2FBE">
        <w:rPr>
          <w:noProof/>
          <w:lang w:val="en-US"/>
        </w:rPr>
        <w:t>13</w:t>
      </w:r>
      <w:r>
        <w:rPr>
          <w:noProof/>
        </w:rPr>
        <w:fldChar w:fldCharType="end"/>
      </w:r>
    </w:p>
    <w:p w:rsidR="006C2FBE" w:rsidRDefault="006C2FBE">
      <w:pPr>
        <w:pStyle w:val="Verzeichnis1"/>
        <w:rPr>
          <w:rFonts w:asciiTheme="minorHAnsi" w:eastAsiaTheme="minorEastAsia" w:hAnsiTheme="minorHAnsi" w:cstheme="minorBidi"/>
          <w:noProof/>
          <w:sz w:val="22"/>
          <w:szCs w:val="22"/>
          <w:lang w:val="de-CH" w:eastAsia="de-CH"/>
        </w:rPr>
      </w:pPr>
      <w:r w:rsidRPr="00E61A56">
        <w:rPr>
          <w:noProof/>
          <w:lang w:val="en-US"/>
        </w:rPr>
        <w:t>6</w:t>
      </w:r>
      <w:r>
        <w:rPr>
          <w:rFonts w:asciiTheme="minorHAnsi" w:eastAsiaTheme="minorEastAsia" w:hAnsiTheme="minorHAnsi" w:cstheme="minorBidi"/>
          <w:noProof/>
          <w:sz w:val="22"/>
          <w:szCs w:val="22"/>
          <w:lang w:val="de-CH" w:eastAsia="de-CH"/>
        </w:rPr>
        <w:tab/>
      </w:r>
      <w:r w:rsidRPr="00E61A56">
        <w:rPr>
          <w:noProof/>
          <w:lang w:val="en-US"/>
        </w:rPr>
        <w:t>Conclusion</w:t>
      </w:r>
      <w:r>
        <w:rPr>
          <w:noProof/>
        </w:rPr>
        <w:tab/>
      </w:r>
      <w:r>
        <w:rPr>
          <w:noProof/>
        </w:rPr>
        <w:fldChar w:fldCharType="begin"/>
      </w:r>
      <w:r>
        <w:rPr>
          <w:noProof/>
        </w:rPr>
        <w:instrText xml:space="preserve"> PAGEREF _Toc399324962 \h </w:instrText>
      </w:r>
      <w:r>
        <w:rPr>
          <w:noProof/>
        </w:rPr>
      </w:r>
      <w:r>
        <w:rPr>
          <w:noProof/>
        </w:rPr>
        <w:fldChar w:fldCharType="separate"/>
      </w:r>
      <w:r>
        <w:rPr>
          <w:noProof/>
        </w:rPr>
        <w:t>13</w:t>
      </w:r>
      <w:r>
        <w:rPr>
          <w:noProof/>
        </w:rPr>
        <w:fldChar w:fldCharType="end"/>
      </w:r>
    </w:p>
    <w:p w:rsidR="006C2FBE" w:rsidRDefault="006C2FBE">
      <w:pPr>
        <w:pStyle w:val="Verzeichnis1"/>
        <w:rPr>
          <w:rFonts w:asciiTheme="minorHAnsi" w:eastAsiaTheme="minorEastAsia" w:hAnsiTheme="minorHAnsi" w:cstheme="minorBidi"/>
          <w:noProof/>
          <w:sz w:val="22"/>
          <w:szCs w:val="22"/>
          <w:lang w:val="de-CH" w:eastAsia="de-CH"/>
        </w:rPr>
      </w:pPr>
      <w:r>
        <w:rPr>
          <w:noProof/>
        </w:rPr>
        <w:t>7</w:t>
      </w:r>
      <w:r>
        <w:rPr>
          <w:rFonts w:asciiTheme="minorHAnsi" w:eastAsiaTheme="minorEastAsia" w:hAnsiTheme="minorHAnsi" w:cstheme="minorBidi"/>
          <w:noProof/>
          <w:sz w:val="22"/>
          <w:szCs w:val="22"/>
          <w:lang w:val="de-CH" w:eastAsia="de-CH"/>
        </w:rPr>
        <w:tab/>
      </w:r>
      <w:r>
        <w:rPr>
          <w:noProof/>
        </w:rPr>
        <w:t>Literaturverzeichnis</w:t>
      </w:r>
      <w:r>
        <w:rPr>
          <w:noProof/>
        </w:rPr>
        <w:tab/>
      </w:r>
      <w:r>
        <w:rPr>
          <w:noProof/>
        </w:rPr>
        <w:fldChar w:fldCharType="begin"/>
      </w:r>
      <w:r>
        <w:rPr>
          <w:noProof/>
        </w:rPr>
        <w:instrText xml:space="preserve"> PAGEREF _Toc399324963 \h </w:instrText>
      </w:r>
      <w:r>
        <w:rPr>
          <w:noProof/>
        </w:rPr>
      </w:r>
      <w:r>
        <w:rPr>
          <w:noProof/>
        </w:rPr>
        <w:fldChar w:fldCharType="separate"/>
      </w:r>
      <w:r>
        <w:rPr>
          <w:noProof/>
        </w:rPr>
        <w:t>14</w:t>
      </w:r>
      <w:r>
        <w:rPr>
          <w:noProof/>
        </w:rPr>
        <w:fldChar w:fldCharType="end"/>
      </w:r>
    </w:p>
    <w:p w:rsidR="006C2FBE" w:rsidRDefault="006C2FBE">
      <w:pPr>
        <w:pStyle w:val="Verzeichnis1"/>
        <w:rPr>
          <w:rFonts w:asciiTheme="minorHAnsi" w:eastAsiaTheme="minorEastAsia" w:hAnsiTheme="minorHAnsi" w:cstheme="minorBidi"/>
          <w:noProof/>
          <w:sz w:val="22"/>
          <w:szCs w:val="22"/>
          <w:lang w:val="de-CH" w:eastAsia="de-CH"/>
        </w:rPr>
      </w:pPr>
      <w:r>
        <w:rPr>
          <w:noProof/>
        </w:rPr>
        <w:t>8</w:t>
      </w:r>
      <w:r>
        <w:rPr>
          <w:rFonts w:asciiTheme="minorHAnsi" w:eastAsiaTheme="minorEastAsia" w:hAnsiTheme="minorHAnsi" w:cstheme="minorBidi"/>
          <w:noProof/>
          <w:sz w:val="22"/>
          <w:szCs w:val="22"/>
          <w:lang w:val="de-CH" w:eastAsia="de-CH"/>
        </w:rPr>
        <w:tab/>
      </w:r>
      <w:r>
        <w:rPr>
          <w:noProof/>
        </w:rPr>
        <w:t>Anhang</w:t>
      </w:r>
      <w:r>
        <w:rPr>
          <w:noProof/>
        </w:rPr>
        <w:tab/>
      </w:r>
      <w:r>
        <w:rPr>
          <w:noProof/>
        </w:rPr>
        <w:fldChar w:fldCharType="begin"/>
      </w:r>
      <w:r>
        <w:rPr>
          <w:noProof/>
        </w:rPr>
        <w:instrText xml:space="preserve"> PAGEREF _Toc399324964 \h </w:instrText>
      </w:r>
      <w:r>
        <w:rPr>
          <w:noProof/>
        </w:rPr>
      </w:r>
      <w:r>
        <w:rPr>
          <w:noProof/>
        </w:rPr>
        <w:fldChar w:fldCharType="separate"/>
      </w:r>
      <w:r>
        <w:rPr>
          <w:noProof/>
        </w:rPr>
        <w:t>15</w:t>
      </w:r>
      <w:r>
        <w:rPr>
          <w:noProof/>
        </w:rPr>
        <w:fldChar w:fldCharType="end"/>
      </w:r>
    </w:p>
    <w:p w:rsidR="006312CC" w:rsidRDefault="003779D0">
      <w:r w:rsidRPr="00B833C0">
        <w:rPr>
          <w:lang w:val="fr-FR"/>
        </w:rPr>
        <w:fldChar w:fldCharType="end"/>
      </w:r>
    </w:p>
    <w:p w:rsidR="006312CC" w:rsidRDefault="006312CC" w:rsidP="00D044CF">
      <w:pPr>
        <w:pStyle w:val="berschrift1"/>
      </w:pPr>
      <w:r>
        <w:br w:type="page"/>
      </w:r>
      <w:bookmarkStart w:id="4" w:name="_Toc399324945"/>
      <w:proofErr w:type="spellStart"/>
      <w:r w:rsidR="00D044CF" w:rsidRPr="00D044CF">
        <w:lastRenderedPageBreak/>
        <w:t>Introduction</w:t>
      </w:r>
      <w:bookmarkEnd w:id="4"/>
      <w:proofErr w:type="spellEnd"/>
    </w:p>
    <w:p w:rsidR="00D044CF" w:rsidRPr="00D044CF" w:rsidRDefault="00D044CF" w:rsidP="00D044CF">
      <w:pPr>
        <w:rPr>
          <w:lang w:val="en-US"/>
        </w:rPr>
      </w:pPr>
      <w:r w:rsidRPr="00D044CF">
        <w:rPr>
          <w:lang w:val="en-US"/>
        </w:rPr>
        <w:t xml:space="preserve">Economic resources can be seen as central indicator for life chances. Therefore the distribution of resources does not only matter in regard to the possibility to consume, but also in regard to physical and mental health or even life expectancy. Furthermore the distribution of resources cannot be reduced to the opposition of have and have not’s on the individual level, it’ is rather an issue concerning the whole society. Inequality matters for societies, because it is related to negative outcomes like for example criminality (Wilkinson and Pickett, 2009) or social cohesion, which is a core dimensions of functionality of societies. Therefore it is not surprising that the concern about the widening gap is addressed more and more by global leaders (World Economic Forum, 2013). Empirical evidence acknowledge the supposed trend that economic inequality increased in the majority of western countries over the last decades (OECD 2008, OECD 2011, </w:t>
      </w:r>
      <w:proofErr w:type="spellStart"/>
      <w:r w:rsidRPr="00D044CF">
        <w:rPr>
          <w:lang w:val="en-US"/>
        </w:rPr>
        <w:t>Gornick</w:t>
      </w:r>
      <w:proofErr w:type="spellEnd"/>
      <w:r w:rsidRPr="00D044CF">
        <w:rPr>
          <w:lang w:val="en-US"/>
        </w:rPr>
        <w:t xml:space="preserve"> and </w:t>
      </w:r>
      <w:proofErr w:type="spellStart"/>
      <w:r w:rsidRPr="00D044CF">
        <w:rPr>
          <w:lang w:val="en-US"/>
        </w:rPr>
        <w:t>Jäntti</w:t>
      </w:r>
      <w:proofErr w:type="spellEnd"/>
      <w:r w:rsidRPr="00D044CF">
        <w:rPr>
          <w:lang w:val="en-US"/>
        </w:rPr>
        <w:t xml:space="preserve"> 2013, </w:t>
      </w:r>
      <w:proofErr w:type="spellStart"/>
      <w:r w:rsidRPr="00D044CF">
        <w:rPr>
          <w:lang w:val="en-US"/>
        </w:rPr>
        <w:t>Salverda</w:t>
      </w:r>
      <w:proofErr w:type="spellEnd"/>
      <w:r w:rsidRPr="00D044CF">
        <w:rPr>
          <w:lang w:val="en-US"/>
        </w:rPr>
        <w:t xml:space="preserve"> et al. 2014). 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w:t>
      </w:r>
      <w:proofErr w:type="spellStart"/>
      <w:r w:rsidRPr="00D044CF">
        <w:rPr>
          <w:lang w:val="en-US"/>
        </w:rPr>
        <w:t>Stiglitz</w:t>
      </w:r>
      <w:proofErr w:type="spellEnd"/>
      <w:r w:rsidRPr="00D044CF">
        <w:rPr>
          <w:lang w:val="en-US"/>
        </w:rPr>
        <w:t xml:space="preserve"> (2012, 117): “our democracy is being put at peril.”</w:t>
      </w:r>
    </w:p>
    <w:p w:rsidR="00D044CF" w:rsidRPr="00D044CF" w:rsidRDefault="00D044CF" w:rsidP="00D044CF">
      <w:pPr>
        <w:rPr>
          <w:lang w:val="en-US"/>
        </w:rPr>
      </w:pPr>
    </w:p>
    <w:p w:rsidR="00D044CF" w:rsidRP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advances in technology and methodology, which improve the core sources of inequality research, the household surveys. On the other hand, the labor intensive and expensive surveys around the world are subject to budget cuts and the instrument itself faces problems in form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proofErr w:type="gramStart"/>
      <w:r w:rsidRPr="00D044CF">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wide back in time. Already Kuznets (1955) used tax data to examine the relationship between economic growth and personal distribution of income. Then it took several decades until </w:t>
      </w:r>
      <w:proofErr w:type="spellStart"/>
      <w:r w:rsidRPr="00D044CF">
        <w:rPr>
          <w:lang w:val="en-US"/>
        </w:rPr>
        <w:t>Piketty</w:t>
      </w:r>
      <w:proofErr w:type="spellEnd"/>
      <w:r w:rsidRPr="00D044CF">
        <w:rPr>
          <w:lang w:val="en-US"/>
        </w:rPr>
        <w:t xml:space="preserve"> (2001, 2003), </w:t>
      </w:r>
      <w:proofErr w:type="spellStart"/>
      <w:r w:rsidRPr="00D044CF">
        <w:rPr>
          <w:lang w:val="en-US"/>
        </w:rPr>
        <w:t>Piketty</w:t>
      </w:r>
      <w:proofErr w:type="spellEnd"/>
      <w:r w:rsidRPr="00D044CF">
        <w:rPr>
          <w:lang w:val="en-US"/>
        </w:rPr>
        <w:t xml:space="preserve"> and </w:t>
      </w:r>
      <w:proofErr w:type="spellStart"/>
      <w:r w:rsidRPr="00D044CF">
        <w:rPr>
          <w:lang w:val="en-US"/>
        </w:rPr>
        <w:t>Saez</w:t>
      </w:r>
      <w:proofErr w:type="spellEnd"/>
      <w:r w:rsidRPr="00D044CF">
        <w:rPr>
          <w:lang w:val="en-US"/>
        </w:rPr>
        <w:t xml:space="preserve"> (2003) made the use of tax data fashionable again. Following his approach, studies on several countries were conducted (Atkinson and </w:t>
      </w:r>
      <w:proofErr w:type="spellStart"/>
      <w:r w:rsidRPr="00D044CF">
        <w:rPr>
          <w:lang w:val="en-US"/>
        </w:rPr>
        <w:t>Piketty</w:t>
      </w:r>
      <w:proofErr w:type="spellEnd"/>
      <w:r w:rsidRPr="00D044CF">
        <w:rPr>
          <w:lang w:val="en-US"/>
        </w:rPr>
        <w:t>, 2007, 2010). Today, all existing top income tax statistics based time series are collected and accessible through the world top incomes database reaching sometimes back to the beginning of the 20th century (</w:t>
      </w:r>
      <w:proofErr w:type="spellStart"/>
      <w:r w:rsidRPr="00D044CF">
        <w:rPr>
          <w:lang w:val="en-US"/>
        </w:rPr>
        <w:t>Alvaredo</w:t>
      </w:r>
      <w:proofErr w:type="spellEnd"/>
      <w:r w:rsidRPr="00D044CF">
        <w:rPr>
          <w:lang w:val="en-US"/>
        </w:rPr>
        <w:t xml:space="preserve"> et al., 2014). </w:t>
      </w:r>
    </w:p>
    <w:p w:rsidR="00D044CF" w:rsidRPr="00D044CF" w:rsidRDefault="00D044CF" w:rsidP="00D044CF">
      <w:pPr>
        <w:rPr>
          <w:lang w:val="en-US"/>
        </w:rPr>
      </w:pPr>
    </w:p>
    <w:p w:rsidR="001C4B4E" w:rsidRPr="00D044CF" w:rsidRDefault="00D044CF" w:rsidP="00D044CF">
      <w:pPr>
        <w:rPr>
          <w:lang w:val="en-US"/>
        </w:rPr>
      </w:pPr>
      <w:r w:rsidRPr="00D044CF">
        <w:rPr>
          <w:lang w:val="en-US"/>
        </w:rPr>
        <w:t xml:space="preserve">Tax and survey data can be identified as the two major data sources concerning the assessment of inequality trend. Both sources predefine the way inequality can be analyzed in fundamental ways. The question arises, to what extend the assessment of inequality is affected by the choice of the data source and consequent possibilities and restrictions. To be able to answer this question, we describe the current theoretical standards for measuring economic resources and inequality in section 2, which gives a common ground to evaluate the suitability of given data source. In section 3 we show in what ways tax or survey data are superior and where special attention concerning the assessment of inequality should be paid. In section 4 we introduce Switzerland as an interesting case for a closer methodological inspection. In the light of the above, we assess in section 5 </w:t>
      </w:r>
      <w:proofErr w:type="gramStart"/>
      <w:r w:rsidRPr="00D044CF">
        <w:rPr>
          <w:lang w:val="en-US"/>
        </w:rPr>
        <w:t>inequality</w:t>
      </w:r>
      <w:proofErr w:type="gramEnd"/>
      <w:r w:rsidRPr="00D044CF">
        <w:rPr>
          <w:lang w:val="en-US"/>
        </w:rPr>
        <w:t xml:space="preserve"> in income with federal tax statistics for Switzerland and show, how the assessment of inequality is affected by the choices researcher have to make, when working with tax data. </w:t>
      </w:r>
      <w:commentRangeStart w:id="5"/>
      <w:r w:rsidRPr="00D044CF">
        <w:rPr>
          <w:lang w:val="en-US"/>
        </w:rPr>
        <w:t>Finally section 6 concludes.</w:t>
      </w:r>
      <w:commentRangeEnd w:id="5"/>
      <w:r w:rsidR="006C2FBE">
        <w:rPr>
          <w:rStyle w:val="Kommentarzeichen"/>
        </w:rPr>
        <w:commentReference w:id="5"/>
      </w:r>
    </w:p>
    <w:p w:rsidR="00D044CF" w:rsidRPr="00D044CF" w:rsidRDefault="00315B56" w:rsidP="00D044CF">
      <w:pPr>
        <w:pStyle w:val="berschrift1"/>
        <w:rPr>
          <w:lang w:val="en-US"/>
        </w:rPr>
      </w:pPr>
      <w:bookmarkStart w:id="6" w:name="_Toc399324946"/>
      <w:bookmarkStart w:id="7" w:name="_Ref399330537"/>
      <w:r>
        <w:rPr>
          <w:lang w:val="en-US"/>
        </w:rPr>
        <w:t xml:space="preserve">Standards on Assessing </w:t>
      </w:r>
      <w:r w:rsidR="006C2FBE">
        <w:rPr>
          <w:lang w:val="en-US"/>
        </w:rPr>
        <w:t xml:space="preserve">Economic </w:t>
      </w:r>
      <w:r>
        <w:rPr>
          <w:lang w:val="en-US"/>
        </w:rPr>
        <w:t>Inequality</w:t>
      </w:r>
      <w:bookmarkEnd w:id="6"/>
      <w:bookmarkEnd w:id="7"/>
    </w:p>
    <w:p w:rsidR="00D044CF" w:rsidRPr="005329E3" w:rsidRDefault="00D044CF" w:rsidP="00D044CF">
      <w:pPr>
        <w:pStyle w:val="berschrift2"/>
        <w:rPr>
          <w:lang w:val="en-US"/>
        </w:rPr>
      </w:pPr>
      <w:bookmarkStart w:id="8" w:name="_Toc399324947"/>
      <w:bookmarkStart w:id="9" w:name="_Ref399337302"/>
      <w:bookmarkStart w:id="10" w:name="_Ref399337312"/>
      <w:r w:rsidRPr="00D044CF">
        <w:rPr>
          <w:lang w:val="en-US"/>
        </w:rPr>
        <w:t>Concepts on measuring economic resources</w:t>
      </w:r>
      <w:bookmarkEnd w:id="8"/>
      <w:bookmarkEnd w:id="9"/>
      <w:bookmarkEnd w:id="10"/>
    </w:p>
    <w:p w:rsidR="00D044CF" w:rsidRPr="00D044CF" w:rsidRDefault="00D044CF" w:rsidP="00D044CF">
      <w:pPr>
        <w:rPr>
          <w:lang w:val="en-US"/>
        </w:rPr>
      </w:pPr>
      <w:r w:rsidRPr="00D044CF">
        <w:rPr>
          <w:lang w:val="en-US"/>
        </w:rPr>
        <w:t xml:space="preserve">Most studies on inequality focus on income inequality solely. However, recent activities emphasize the need of a broader conceptualization. A recent publication from the OECD (2013) condense these ideas into the ICW framework (income, consumption and wealth), which is meant to be an internationally agreed framework on micro-level </w:t>
      </w:r>
      <w:proofErr w:type="gramStart"/>
      <w:r w:rsidRPr="00D044CF">
        <w:rPr>
          <w:lang w:val="en-US"/>
        </w:rPr>
        <w:t>statistics .</w:t>
      </w:r>
      <w:proofErr w:type="gramEnd"/>
      <w:r w:rsidRPr="00D044CF">
        <w:rPr>
          <w:lang w:val="en-US"/>
        </w:rPr>
        <w:t xml:space="preserve"> </w:t>
      </w:r>
      <w:proofErr w:type="gramStart"/>
      <w:r w:rsidRPr="00D044CF">
        <w:rPr>
          <w:lang w:val="en-US"/>
        </w:rPr>
        <w:t>and</w:t>
      </w:r>
      <w:proofErr w:type="gramEnd"/>
      <w:r w:rsidRPr="00D044CF">
        <w:rPr>
          <w:lang w:val="en-US"/>
        </w:rPr>
        <w:t xml:space="preserve"> the UNECE/CES recommendations for the 2010 Censuses of Population and Housing (UNECE and EUROSTAT, 2006). According to the framework it is </w:t>
      </w:r>
      <w:r w:rsidRPr="00D044CF">
        <w:rPr>
          <w:lang w:val="en-US"/>
        </w:rPr>
        <w:lastRenderedPageBreak/>
        <w:t xml:space="preserve">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 adequate levels of consumption expenditure or wealth holdings, or vice-versa. </w:t>
      </w:r>
    </w:p>
    <w:p w:rsidR="00D044CF" w:rsidRPr="00D044CF" w:rsidRDefault="00D044CF" w:rsidP="00D044CF">
      <w:pPr>
        <w:rPr>
          <w:lang w:val="en-US"/>
        </w:rPr>
      </w:pPr>
    </w:p>
    <w:p w:rsidR="00D044CF" w:rsidRDefault="00D044CF" w:rsidP="00D044CF">
      <w:pPr>
        <w:rPr>
          <w:lang w:val="en-US"/>
        </w:rPr>
      </w:pPr>
      <w:r w:rsidRPr="00D044CF">
        <w:rPr>
          <w:lang w:val="en-US"/>
        </w:rPr>
        <w:t xml:space="preserve">Because inequality in income is by far the </w:t>
      </w:r>
      <w:r w:rsidR="001232D9" w:rsidRPr="00D044CF">
        <w:rPr>
          <w:lang w:val="en-US"/>
        </w:rPr>
        <w:t>concept, that gets</w:t>
      </w:r>
      <w:r w:rsidRPr="00D044CF">
        <w:rPr>
          <w:lang w:val="en-US"/>
        </w:rPr>
        <w:t xml:space="preserve"> most scholarly attention, we have a closer look at the definition of income. The assessment of income inequality is strongly influenced by the definition of the income itself. Market income or disposable </w:t>
      </w:r>
      <w:r w:rsidR="001232D9" w:rsidRPr="00D044CF">
        <w:rPr>
          <w:lang w:val="en-US"/>
        </w:rPr>
        <w:t>incomes for example differ</w:t>
      </w:r>
      <w:r w:rsidRPr="00D044CF">
        <w:rPr>
          <w:lang w:val="en-US"/>
        </w:rPr>
        <w:t xml:space="preserve"> by substantial meaning and by the expected degree of inequality, because the later considers redistribution and the former not. Terminology can slightly differ, while common concepts can be identified (for detailed discussion see: OECD (2013, 44), United Nations (2011, 24)). Figure 1 shows a stylized framework, which includes a distinction of common income </w:t>
      </w:r>
      <w:r w:rsidR="001232D9" w:rsidRPr="00D044CF">
        <w:rPr>
          <w:lang w:val="en-US"/>
        </w:rPr>
        <w:t>sources and</w:t>
      </w:r>
      <w:r w:rsidRPr="00D044CF">
        <w:rPr>
          <w:lang w:val="en-US"/>
        </w:rPr>
        <w:t xml:space="preserve"> shows the central steps of redistribution, which eventually lead to disposable income: the income measure, which finally shapes the possibility to consume. Within this framework common other income definitions are situated.</w:t>
      </w:r>
    </w:p>
    <w:p w:rsidR="00D044CF" w:rsidRDefault="00D044CF" w:rsidP="00D044CF">
      <w:pPr>
        <w:rPr>
          <w:lang w:val="en-US"/>
        </w:rPr>
      </w:pPr>
    </w:p>
    <w:p w:rsidR="00676E3F" w:rsidRDefault="00676E3F" w:rsidP="00676E3F">
      <w:pPr>
        <w:keepNext/>
      </w:pPr>
      <w:r w:rsidRPr="007C1C84">
        <w:object w:dxaOrig="12870" w:dyaOrig="9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85pt;height:366.25pt" o:ole="">
            <v:imagedata r:id="rId10" o:title=""/>
          </v:shape>
          <o:OLEObject Type="Embed" ProgID="Visio.Drawing.11" ShapeID="_x0000_i1025" DrawAspect="Content" ObjectID="_1473153125" r:id="rId11"/>
        </w:object>
      </w:r>
    </w:p>
    <w:p w:rsidR="00676E3F" w:rsidRPr="001232D9" w:rsidRDefault="00676E3F" w:rsidP="00676E3F">
      <w:pPr>
        <w:pStyle w:val="Beschriftung"/>
        <w:rPr>
          <w:lang w:val="en-US"/>
        </w:rPr>
      </w:pPr>
      <w:r w:rsidRPr="001232D9">
        <w:rPr>
          <w:sz w:val="24"/>
          <w:szCs w:val="24"/>
          <w:lang w:val="en-US"/>
        </w:rPr>
        <w:t xml:space="preserve">Figure </w:t>
      </w:r>
      <w:r w:rsidRPr="001232D9">
        <w:rPr>
          <w:sz w:val="24"/>
          <w:szCs w:val="24"/>
          <w:lang w:val="en-US"/>
        </w:rPr>
        <w:fldChar w:fldCharType="begin"/>
      </w:r>
      <w:r w:rsidRPr="001232D9">
        <w:rPr>
          <w:sz w:val="24"/>
          <w:szCs w:val="24"/>
          <w:lang w:val="en-US"/>
        </w:rPr>
        <w:instrText xml:space="preserve"> SEQ Figure \* ARABIC </w:instrText>
      </w:r>
      <w:r w:rsidRPr="001232D9">
        <w:rPr>
          <w:sz w:val="24"/>
          <w:szCs w:val="24"/>
          <w:lang w:val="en-US"/>
        </w:rPr>
        <w:fldChar w:fldCharType="separate"/>
      </w:r>
      <w:r w:rsidRPr="001232D9">
        <w:rPr>
          <w:noProof/>
          <w:sz w:val="24"/>
          <w:szCs w:val="24"/>
          <w:lang w:val="en-US"/>
        </w:rPr>
        <w:t>1</w:t>
      </w:r>
      <w:r w:rsidRPr="001232D9">
        <w:rPr>
          <w:sz w:val="24"/>
          <w:szCs w:val="24"/>
          <w:lang w:val="en-US"/>
        </w:rPr>
        <w:fldChar w:fldCharType="end"/>
      </w:r>
      <w:r w:rsidRPr="001232D9">
        <w:rPr>
          <w:sz w:val="24"/>
          <w:szCs w:val="24"/>
          <w:lang w:val="en-US"/>
        </w:rPr>
        <w:t> : Income definitions from market outcome to disposable income</w:t>
      </w:r>
      <w:r w:rsidRPr="001232D9">
        <w:rPr>
          <w:lang w:val="en-US"/>
        </w:rPr>
        <w:br/>
        <w:t>Source: OECD (2013:44), own diagram</w:t>
      </w:r>
    </w:p>
    <w:p w:rsidR="00676E3F" w:rsidRDefault="00676E3F" w:rsidP="00676E3F">
      <w:pPr>
        <w:pStyle w:val="berschrift2"/>
      </w:pPr>
      <w:bookmarkStart w:id="11" w:name="_Toc399324948"/>
      <w:r w:rsidRPr="00676E3F">
        <w:t xml:space="preserve">Statistical </w:t>
      </w:r>
      <w:bookmarkEnd w:id="11"/>
      <w:r w:rsidR="001232D9" w:rsidRPr="00676E3F">
        <w:t>Units</w:t>
      </w:r>
    </w:p>
    <w:p w:rsidR="00676E3F" w:rsidRPr="00676E3F" w:rsidRDefault="00676E3F" w:rsidP="00676E3F">
      <w:pPr>
        <w:rPr>
          <w:lang w:val="en-US"/>
        </w:rPr>
      </w:pPr>
      <w:r w:rsidRPr="00676E3F">
        <w:rPr>
          <w:lang w:val="en-US"/>
        </w:rPr>
        <w:t xml:space="preserve">The agreed standard on the statistical units, which should be the base of inequality analysis, are households not individuals (OECD, 2013, 60). Indeed it is the individuals, who receive income, own 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w:t>
      </w:r>
      <w:r w:rsidRPr="00676E3F">
        <w:rPr>
          <w:lang w:val="en-US"/>
        </w:rPr>
        <w:lastRenderedPageBreak/>
        <w:t>live together) and/or use the household income to provide the essentials of living for every household member (also non-</w:t>
      </w:r>
      <w:proofErr w:type="spellStart"/>
      <w:r w:rsidRPr="00676E3F">
        <w:rPr>
          <w:lang w:val="en-US"/>
        </w:rPr>
        <w:t>earing</w:t>
      </w:r>
      <w:proofErr w:type="spellEnd"/>
      <w:r w:rsidRPr="00676E3F">
        <w:rPr>
          <w:lang w:val="en-US"/>
        </w:rPr>
        <w:t xml:space="preserve">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(see OECD 2013, 173, </w:t>
      </w:r>
      <w:proofErr w:type="spellStart"/>
      <w:r w:rsidRPr="00676E3F">
        <w:rPr>
          <w:lang w:val="en-US"/>
        </w:rPr>
        <w:t>Buhmann</w:t>
      </w:r>
      <w:proofErr w:type="spellEnd"/>
      <w:r w:rsidRPr="00676E3F">
        <w:rPr>
          <w:lang w:val="en-US"/>
        </w:rPr>
        <w:t xml:space="preserve"> et al. 1988).</w:t>
      </w:r>
    </w:p>
    <w:p w:rsidR="00676E3F" w:rsidRDefault="00676E3F" w:rsidP="00676E3F">
      <w:pPr>
        <w:pStyle w:val="berschrift2"/>
        <w:rPr>
          <w:lang w:val="en-US"/>
        </w:rPr>
      </w:pPr>
      <w:bookmarkStart w:id="12" w:name="_Toc399324949"/>
      <w:r w:rsidRPr="00676E3F">
        <w:rPr>
          <w:lang w:val="en-US"/>
        </w:rPr>
        <w:t>Measuring inequality</w:t>
      </w:r>
      <w:bookmarkEnd w:id="12"/>
    </w:p>
    <w:p w:rsidR="00676E3F" w:rsidRDefault="00676E3F" w:rsidP="00676E3F">
      <w:pPr>
        <w:rPr>
          <w:lang w:val="en-US"/>
        </w:rPr>
      </w:pPr>
      <w:commentRangeStart w:id="13"/>
      <w:r w:rsidRPr="00676E3F">
        <w:rPr>
          <w:lang w:val="en-US"/>
        </w:rPr>
        <w:t xml:space="preserve">Nowadays a plethora of inequality measures exists (Cowell (2000)).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 provide a good overview on inequality measures and their properties by identifying four main families of measures. Measures relating to probability distribution, based on quantile functions and Lorenz curves, derived from social welfare functions or information theory.</w:t>
      </w:r>
    </w:p>
    <w:p w:rsidR="00676E3F" w:rsidRPr="00676E3F" w:rsidRDefault="00676E3F" w:rsidP="00676E3F">
      <w:pPr>
        <w:rPr>
          <w:lang w:val="en-US"/>
        </w:rPr>
      </w:pPr>
    </w:p>
    <w:p w:rsidR="00676E3F" w:rsidRDefault="00676E3F" w:rsidP="00676E3F">
      <w:pPr>
        <w:rPr>
          <w:lang w:val="en-US"/>
        </w:rPr>
      </w:pPr>
      <w:r w:rsidRPr="00676E3F">
        <w:rPr>
          <w:lang w:val="en-US"/>
        </w:rPr>
        <w:t xml:space="preserve">Measures related to probability distribution consist on variance or variance based measures, but they fail sometimes the weak </w:t>
      </w:r>
      <w:r w:rsidR="001232D9">
        <w:rPr>
          <w:lang w:val="en-US"/>
        </w:rPr>
        <w:t>principle of transfer, first in</w:t>
      </w:r>
      <w:r w:rsidRPr="00676E3F">
        <w:rPr>
          <w:lang w:val="en-US"/>
        </w:rPr>
        <w:t>troduced by Dalton (1920). The principle states, that a transfer from a richer person to a poorer person, other things being equal, should lead to a reduction of inequality. As this seems to be a central property an inequality measure should have, variance based measures are commonly avoided.</w:t>
      </w:r>
    </w:p>
    <w:p w:rsidR="00676E3F" w:rsidRPr="00676E3F" w:rsidRDefault="00676E3F" w:rsidP="00676E3F">
      <w:pPr>
        <w:rPr>
          <w:lang w:val="en-US"/>
        </w:rPr>
      </w:pPr>
    </w:p>
    <w:p w:rsidR="00676E3F" w:rsidRDefault="00676E3F" w:rsidP="00676E3F">
      <w:pPr>
        <w:rPr>
          <w:lang w:val="en-US"/>
        </w:rPr>
      </w:pPr>
      <w:r w:rsidRPr="00676E3F">
        <w:rPr>
          <w:lang w:val="en-US"/>
        </w:rPr>
        <w:t xml:space="preserve">Widely used in social sciences are quantile function based measures like the quantile ratio or the </w:t>
      </w:r>
      <w:proofErr w:type="spellStart"/>
      <w:r w:rsidRPr="00676E3F">
        <w:rPr>
          <w:lang w:val="en-US"/>
        </w:rPr>
        <w:t>gini</w:t>
      </w:r>
      <w:proofErr w:type="spellEnd"/>
      <w:r w:rsidRPr="00676E3F">
        <w:rPr>
          <w:lang w:val="en-US"/>
        </w:rPr>
        <w:t xml:space="preserve">-coefficient, which is </w:t>
      </w:r>
      <w:proofErr w:type="spellStart"/>
      <w:r w:rsidRPr="00676E3F">
        <w:rPr>
          <w:lang w:val="en-US"/>
        </w:rPr>
        <w:t>undoubtly</w:t>
      </w:r>
      <w:proofErr w:type="spellEnd"/>
      <w:r w:rsidRPr="00676E3F">
        <w:rPr>
          <w:lang w:val="en-US"/>
        </w:rPr>
        <w:t xml:space="preserve"> the most prominent </w:t>
      </w:r>
      <w:proofErr w:type="spellStart"/>
      <w:r w:rsidRPr="00676E3F">
        <w:rPr>
          <w:lang w:val="en-US"/>
        </w:rPr>
        <w:t>ine</w:t>
      </w:r>
      <w:proofErr w:type="spellEnd"/>
      <w:r w:rsidRPr="00676E3F">
        <w:rPr>
          <w:lang w:val="en-US"/>
        </w:rPr>
        <w:t xml:space="preserve">-quality measure in the academic literature but also in government statistics. The Gini coefficient is the most known measure and mainly used for international comparison. As it is derived from the Lorenz-curve, the quantified amount of inequality can unpretentiously be described in a formal and visual way. Therefore the Gini coefficient is easily interpretable. Furthermore it has several desired statistical properties </w:t>
      </w:r>
      <w:proofErr w:type="spellStart"/>
      <w:r w:rsidRPr="00676E3F">
        <w:rPr>
          <w:lang w:val="en-US"/>
        </w:rPr>
        <w:t>Engelhardt</w:t>
      </w:r>
      <w:proofErr w:type="spellEnd"/>
      <w:r w:rsidRPr="00676E3F">
        <w:rPr>
          <w:lang w:val="en-US"/>
        </w:rPr>
        <w:t xml:space="preserve"> (2000). (1) “</w:t>
      </w:r>
      <w:proofErr w:type="gramStart"/>
      <w:r w:rsidRPr="00676E3F">
        <w:rPr>
          <w:lang w:val="en-US"/>
        </w:rPr>
        <w:t>principle</w:t>
      </w:r>
      <w:proofErr w:type="gramEnd"/>
      <w:r w:rsidRPr="00676E3F">
        <w:rPr>
          <w:lang w:val="en-US"/>
        </w:rPr>
        <w:t xml:space="preserve"> of population”: the assessment of inequality is independent of the population size (2) “Requirement of </w:t>
      </w:r>
      <w:proofErr w:type="spellStart"/>
      <w:r w:rsidRPr="00676E3F">
        <w:rPr>
          <w:lang w:val="en-US"/>
        </w:rPr>
        <w:t>Bresciani-Turroni</w:t>
      </w:r>
      <w:proofErr w:type="spellEnd"/>
      <w:r w:rsidRPr="00676E3F">
        <w:rPr>
          <w:lang w:val="en-US"/>
        </w:rPr>
        <w:t xml:space="preserve">”: the measure is sensitive for changes of income shares, but not for absolute changes (e.g. doubling of all income) (3) the already mentioned “weak principle of transfers” or “requirement of </w:t>
      </w:r>
      <w:proofErr w:type="spellStart"/>
      <w:r w:rsidRPr="00676E3F">
        <w:rPr>
          <w:lang w:val="en-US"/>
        </w:rPr>
        <w:t>Pigou</w:t>
      </w:r>
      <w:proofErr w:type="spellEnd"/>
      <w:r w:rsidRPr="00676E3F">
        <w:rPr>
          <w:lang w:val="en-US"/>
        </w:rPr>
        <w:t xml:space="preserve">-Dalton”.. However, several drawbacks are reported in the literature. One characteristic </w:t>
      </w:r>
      <w:proofErr w:type="gramStart"/>
      <w:r w:rsidRPr="00676E3F">
        <w:rPr>
          <w:lang w:val="en-US"/>
        </w:rPr>
        <w:t>is,</w:t>
      </w:r>
      <w:proofErr w:type="gramEnd"/>
      <w:r w:rsidRPr="00676E3F">
        <w:rPr>
          <w:lang w:val="en-US"/>
        </w:rPr>
        <w:t xml:space="preserve"> that Gini-</w:t>
      </w:r>
      <w:proofErr w:type="spellStart"/>
      <w:r w:rsidRPr="00676E3F">
        <w:rPr>
          <w:lang w:val="en-US"/>
        </w:rPr>
        <w:t>Coefficent</w:t>
      </w:r>
      <w:proofErr w:type="spellEnd"/>
      <w:r w:rsidRPr="00676E3F">
        <w:rPr>
          <w:lang w:val="en-US"/>
        </w:rPr>
        <w:t xml:space="preserve"> is more sensitive to changes in the middle of the distribution. The most important point however </w:t>
      </w:r>
      <w:proofErr w:type="gramStart"/>
      <w:r w:rsidRPr="00676E3F">
        <w:rPr>
          <w:lang w:val="en-US"/>
        </w:rPr>
        <w:t>is,</w:t>
      </w:r>
      <w:proofErr w:type="gramEnd"/>
      <w:r w:rsidRPr="00676E3F">
        <w:rPr>
          <w:lang w:val="en-US"/>
        </w:rPr>
        <w:t xml:space="preserve"> that the underlying distributional form of the measured inequality is unknown and it is therefore not possible to see if the measure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Gini-coefficient.</w:t>
      </w:r>
    </w:p>
    <w:p w:rsidR="00676E3F" w:rsidRPr="00676E3F" w:rsidRDefault="00676E3F" w:rsidP="00676E3F">
      <w:pPr>
        <w:rPr>
          <w:lang w:val="en-US"/>
        </w:rPr>
      </w:pPr>
    </w:p>
    <w:p w:rsidR="00676E3F" w:rsidRDefault="00676E3F" w:rsidP="00676E3F">
      <w:pPr>
        <w:rPr>
          <w:lang w:val="en-US"/>
        </w:rPr>
      </w:pPr>
      <w:r w:rsidRPr="00676E3F">
        <w:rPr>
          <w:lang w:val="en-US"/>
        </w:rPr>
        <w:t xml:space="preserve">Another prominent quantile function based measure </w:t>
      </w:r>
      <w:proofErr w:type="gramStart"/>
      <w:r w:rsidRPr="00676E3F">
        <w:rPr>
          <w:lang w:val="en-US"/>
        </w:rPr>
        <w:t>are</w:t>
      </w:r>
      <w:proofErr w:type="gramEnd"/>
      <w:r w:rsidRPr="00676E3F">
        <w:rPr>
          <w:lang w:val="en-US"/>
        </w:rPr>
        <w:t xml:space="preserve"> income shares or more specifically top income shares. Leigh (2007) compares </w:t>
      </w:r>
      <w:proofErr w:type="spellStart"/>
      <w:r w:rsidRPr="00676E3F">
        <w:rPr>
          <w:lang w:val="en-US"/>
        </w:rPr>
        <w:t>top</w:t>
      </w:r>
      <w:proofErr w:type="spellEnd"/>
      <w:r w:rsidRPr="00676E3F">
        <w:rPr>
          <w:lang w:val="en-US"/>
        </w:rPr>
        <w:t xml:space="preserve"> income shares with other inequality measures and asks, whether they are a useful measure of </w:t>
      </w:r>
      <w:proofErr w:type="spellStart"/>
      <w:r w:rsidRPr="00676E3F">
        <w:rPr>
          <w:lang w:val="en-US"/>
        </w:rPr>
        <w:t>ine</w:t>
      </w:r>
      <w:proofErr w:type="spellEnd"/>
      <w:r w:rsidRPr="00676E3F">
        <w:rPr>
          <w:lang w:val="en-US"/>
        </w:rPr>
        <w:t xml:space="preserve">-quality in a society. He tries to answer this question empirically by comparing measures of inequality based on top income shares with measures of household or family inequality. He finds a strong positive relationship, but concludes (P.600): “top income shares are far from perfect as a measure of distribution of income across society.” Top income shares hence inform not completely on how inequality evolves elsewhere in the distribution. Furthermore, top income shares only weakly satisfy the </w:t>
      </w:r>
      <w:proofErr w:type="spellStart"/>
      <w:r w:rsidRPr="00676E3F">
        <w:rPr>
          <w:lang w:val="en-US"/>
        </w:rPr>
        <w:t>Pigou</w:t>
      </w:r>
      <w:proofErr w:type="spellEnd"/>
      <w:r w:rsidRPr="00676E3F">
        <w:rPr>
          <w:lang w:val="en-US"/>
        </w:rPr>
        <w:t>-Dalton transfer principle (in contrast to the Gini-</w:t>
      </w:r>
      <w:proofErr w:type="spellStart"/>
      <w:r w:rsidRPr="00676E3F">
        <w:rPr>
          <w:lang w:val="en-US"/>
        </w:rPr>
        <w:t>Coefficent</w:t>
      </w:r>
      <w:proofErr w:type="spellEnd"/>
      <w:r w:rsidRPr="00676E3F">
        <w:rPr>
          <w:lang w:val="en-US"/>
        </w:rPr>
        <w:t xml:space="preserve"> as mentioned above). A transfer from rich to poor will indeed never increase the top income shares, but if the transfer is between individuals, who are either both within the top group or both outside the top group, then the share measure will remain unchanged. </w:t>
      </w:r>
    </w:p>
    <w:p w:rsidR="00676E3F" w:rsidRPr="00676E3F" w:rsidRDefault="00676E3F" w:rsidP="00676E3F">
      <w:pPr>
        <w:rPr>
          <w:lang w:val="en-US"/>
        </w:rPr>
      </w:pPr>
    </w:p>
    <w:p w:rsidR="00676E3F" w:rsidRDefault="00676E3F" w:rsidP="00676E3F">
      <w:pPr>
        <w:rPr>
          <w:lang w:val="en-US"/>
        </w:rPr>
      </w:pPr>
      <w:r w:rsidRPr="00676E3F">
        <w:rPr>
          <w:lang w:val="en-US"/>
        </w:rPr>
        <w:t>Furthermore the Atkinson index is also a widely used income measure. It is an index that is derived from social welfare function. Atkinson (1975:47) noted (p. 47) that inequality “cannot, in general, be measured without introducing social judgments. Measures such as the Gini coefficient are not purely ‘statistical' and they embody implicit judgments about the weight to be attached to inequality at different points on the income scale. Therefore,</w:t>
      </w:r>
      <w:r w:rsidR="001232D9">
        <w:rPr>
          <w:lang w:val="en-US"/>
        </w:rPr>
        <w:t xml:space="preserve"> his index incorporates a sensi</w:t>
      </w:r>
      <w:r w:rsidRPr="00676E3F">
        <w:rPr>
          <w:lang w:val="en-US"/>
        </w:rPr>
        <w:t>tivity parameter (</w:t>
      </w:r>
      <w:r w:rsidRPr="00676E3F">
        <w:rPr>
          <w:rFonts w:ascii="Arial" w:hAnsi="Arial" w:cs="Arial"/>
          <w:lang w:val="en-US"/>
        </w:rPr>
        <w:t>ε</w:t>
      </w:r>
      <w:r w:rsidRPr="00676E3F">
        <w:rPr>
          <w:lang w:val="en-US"/>
        </w:rPr>
        <w:t xml:space="preserve">); which can range from 0 (meaning that the researcher is in-different about the nature of the income distribution), to infinity (where the re-searcher is concerned only with the income position of the very lowest income group). But then again, the flexibility of the sensitivity parameter imposes the need to justify the chosen value thoroughly. Similar to the Atkinson index, measures derived from information theory (Theil-Index) incorporates a sensitivity parameter that varies in the weight given to inequalities </w:t>
      </w:r>
      <w:r w:rsidRPr="00676E3F">
        <w:rPr>
          <w:lang w:val="en-US"/>
        </w:rPr>
        <w:lastRenderedPageBreak/>
        <w:t>in differing parts of the income spectrum. A very beneficial property of the Information theory based measure is that they are decomposable; that is, they can be broken down to component parts (i.e. population subgroups). This enables analysis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Pr="00676E3F">
        <w:rPr>
          <w:lang w:val="en-US"/>
        </w:rPr>
        <w:t>area effects</w:t>
      </w:r>
    </w:p>
    <w:p w:rsidR="00676E3F" w:rsidRPr="00676E3F" w:rsidRDefault="00676E3F" w:rsidP="00676E3F">
      <w:pPr>
        <w:rPr>
          <w:lang w:val="en-US"/>
        </w:rPr>
      </w:pPr>
    </w:p>
    <w:p w:rsidR="00676E3F" w:rsidRPr="00676E3F" w:rsidRDefault="00676E3F" w:rsidP="00B14648">
      <w:pPr>
        <w:rPr>
          <w:lang w:val="en-US"/>
        </w:rPr>
      </w:pPr>
      <w:r w:rsidRPr="00676E3F">
        <w:rPr>
          <w:lang w:val="en-US"/>
        </w:rPr>
        <w:t xml:space="preserve">Distributional polarization </w:t>
      </w:r>
      <w:r w:rsidR="001232D9">
        <w:rPr>
          <w:lang w:val="en-US"/>
        </w:rPr>
        <w:t>when</w:t>
      </w:r>
      <w:r w:rsidRPr="00676E3F">
        <w:rPr>
          <w:lang w:val="en-US"/>
        </w:rPr>
        <w:t xml:space="preserve"> comparing two distr</w:t>
      </w:r>
      <w:r>
        <w:rPr>
          <w:lang w:val="en-US"/>
        </w:rPr>
        <w:t>ibutions is of particular inter</w:t>
      </w:r>
      <w:r w:rsidRPr="00676E3F">
        <w:rPr>
          <w:lang w:val="en-US"/>
        </w:rPr>
        <w:t xml:space="preserve">est in the study of inequality. However, common </w:t>
      </w:r>
      <w:r>
        <w:rPr>
          <w:lang w:val="en-US"/>
        </w:rPr>
        <w:t>inequality indicators (for exam</w:t>
      </w:r>
      <w:r w:rsidRPr="00676E3F">
        <w:rPr>
          <w:lang w:val="en-US"/>
        </w:rPr>
        <w:t>ple Gini or Theil’s index) are not designed to distinguish between differences in the upper and lower tails. Even if the measures register increasing inequality over time, one cannot distinguish a polarization of the distribution (increases in both tails) from upgrading (increases in the upper tail) or downgr</w:t>
      </w:r>
      <w:r w:rsidR="001232D9">
        <w:rPr>
          <w:lang w:val="en-US"/>
        </w:rPr>
        <w:t>ading (increas</w:t>
      </w:r>
      <w:r w:rsidRPr="00676E3F">
        <w:rPr>
          <w:lang w:val="en-US"/>
        </w:rPr>
        <w:t>es in lower tail). The polarization index developed by (</w:t>
      </w:r>
      <w:proofErr w:type="spellStart"/>
      <w:r w:rsidRPr="00676E3F">
        <w:rPr>
          <w:lang w:val="en-US"/>
        </w:rPr>
        <w:t>Handock</w:t>
      </w:r>
      <w:proofErr w:type="spellEnd"/>
      <w:r w:rsidRPr="00676E3F">
        <w:rPr>
          <w:lang w:val="en-US"/>
        </w:rPr>
        <w:t xml:space="preserve"> and Morris, 1999) addresses this issue and because this me</w:t>
      </w:r>
      <w:r w:rsidR="001232D9">
        <w:rPr>
          <w:lang w:val="en-US"/>
        </w:rPr>
        <w:t>asure is decomposable to distin</w:t>
      </w:r>
      <w:r w:rsidRPr="00676E3F">
        <w:rPr>
          <w:lang w:val="en-US"/>
        </w:rPr>
        <w:t>guish differences in the upper and lower tails.  Because it is based on the relative distribution it provides a simple link between what is observed in the graphical display and what is measured by the numerical summary.</w:t>
      </w:r>
      <w:commentRangeEnd w:id="13"/>
      <w:r w:rsidR="001232D9">
        <w:rPr>
          <w:rStyle w:val="Kommentarzeichen"/>
        </w:rPr>
        <w:commentReference w:id="13"/>
      </w:r>
    </w:p>
    <w:p w:rsidR="00676E3F" w:rsidRDefault="00676E3F" w:rsidP="00676E3F">
      <w:pPr>
        <w:pStyle w:val="berschrift2"/>
        <w:rPr>
          <w:lang w:val="en-US"/>
        </w:rPr>
      </w:pPr>
      <w:bookmarkStart w:id="14" w:name="_Toc399324950"/>
      <w:r w:rsidRPr="00676E3F">
        <w:rPr>
          <w:lang w:val="en-US"/>
        </w:rPr>
        <w:t>Coverage Issues</w:t>
      </w:r>
      <w:bookmarkEnd w:id="14"/>
    </w:p>
    <w:p w:rsidR="00511D21" w:rsidRPr="008E19F9" w:rsidRDefault="00676E3F" w:rsidP="00B14648">
      <w:pPr>
        <w:pStyle w:val="Verzeichnis1"/>
        <w:rPr>
          <w:lang w:val="en-US"/>
        </w:rPr>
      </w:pPr>
      <w:r w:rsidRPr="008E19F9">
        <w:rPr>
          <w:lang w:val="en-US"/>
        </w:rPr>
        <w:t>Because polices are usually implemented on a national or subnational level, inequality is most often assessed on the respective levels. This implies that inequality-studies usually try to cover the whole population of interest. The extend of success of such a venture is closely related to the way of data collection. We therefore will discuss general issues in regard to coverage issues in the next section, where we will summarize central benefits and shortcomings of tax data opposed to survey data.</w:t>
      </w:r>
    </w:p>
    <w:p w:rsidR="00B14648" w:rsidRPr="008E19F9" w:rsidRDefault="00B14648" w:rsidP="00B14648">
      <w:pPr>
        <w:rPr>
          <w:lang w:val="en-US"/>
        </w:rPr>
      </w:pPr>
    </w:p>
    <w:p w:rsidR="00B14648" w:rsidRDefault="00B14648" w:rsidP="00B14648">
      <w:pPr>
        <w:pStyle w:val="berschrift1"/>
        <w:rPr>
          <w:lang w:val="en-US"/>
        </w:rPr>
      </w:pPr>
      <w:bookmarkStart w:id="15" w:name="_Toc399324951"/>
      <w:bookmarkStart w:id="16" w:name="_Ref399330540"/>
      <w:r w:rsidRPr="00B14648">
        <w:rPr>
          <w:lang w:val="en-US"/>
        </w:rPr>
        <w:t>Comparison of tax data and survey data – overview of advantages and shortcomings</w:t>
      </w:r>
      <w:bookmarkEnd w:id="15"/>
      <w:bookmarkEnd w:id="16"/>
    </w:p>
    <w:p w:rsidR="00B14648" w:rsidRPr="00B14648" w:rsidRDefault="00B14648" w:rsidP="00B14648">
      <w:pPr>
        <w:pStyle w:val="Standard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dimensions the data needs to address. </w:t>
      </w:r>
      <w:proofErr w:type="gramStart"/>
      <w:r w:rsidRPr="00B14648">
        <w:rPr>
          <w:rFonts w:ascii="Lucida Sans" w:hAnsi="Lucida Sans"/>
          <w:sz w:val="19"/>
          <w:szCs w:val="19"/>
          <w:lang w:val="en-US"/>
        </w:rPr>
        <w:t>To sum up; if we are interested in how the possibility to experience economic well-being is distributed within a society and how that distribution developed over time.</w:t>
      </w:r>
      <w:proofErr w:type="gramEnd"/>
      <w:r w:rsidRPr="00B14648">
        <w:rPr>
          <w:rFonts w:ascii="Lucida Sans" w:hAnsi="Lucida Sans"/>
          <w:sz w:val="19"/>
          <w:szCs w:val="19"/>
          <w:lang w:val="en-US"/>
        </w:rPr>
        <w:t xml:space="preserve"> We ideally would look at income, wealth and consumption together; we would look at the disposable resources on household level, we are interested in data that is flexible to apply different inequality measures and we would like to have an unbiased estimate.</w:t>
      </w:r>
      <w:r w:rsidR="001232D9">
        <w:rPr>
          <w:rFonts w:ascii="Lucida Sans" w:hAnsi="Lucida Sans"/>
          <w:sz w:val="19"/>
          <w:szCs w:val="19"/>
          <w:lang w:val="en-US"/>
        </w:rPr>
        <w:t xml:space="preserv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Pr="00B14648">
        <w:rPr>
          <w:rFonts w:ascii="Lucida Sans" w:hAnsi="Lucida Sans"/>
          <w:sz w:val="19"/>
          <w:szCs w:val="19"/>
          <w:lang w:val="en-US"/>
        </w:rPr>
        <w:t xml:space="preserve"> compares tax-data and survey on this four dimensions and ads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rsidR="00B14648" w:rsidRDefault="00B14648" w:rsidP="00B14648">
      <w:pPr>
        <w:pStyle w:val="Beschriftung"/>
        <w:keepNext/>
        <w:rPr>
          <w:lang w:val="en-US"/>
        </w:rPr>
      </w:pPr>
    </w:p>
    <w:p w:rsidR="00B14648" w:rsidRPr="00B14648" w:rsidRDefault="00B14648" w:rsidP="00B14648">
      <w:pPr>
        <w:pStyle w:val="Beschriftung"/>
        <w:keepNext/>
        <w:rPr>
          <w:sz w:val="24"/>
          <w:szCs w:val="24"/>
          <w:lang w:val="en-US"/>
        </w:rPr>
      </w:pPr>
      <w:bookmarkStart w:id="17" w:name="_Ref399323828"/>
      <w:r w:rsidRPr="00B14648">
        <w:rPr>
          <w:sz w:val="24"/>
          <w:szCs w:val="24"/>
          <w:lang w:val="en-US"/>
        </w:rPr>
        <w:t xml:space="preserve">Table </w:t>
      </w:r>
      <w:r w:rsidRPr="00B14648">
        <w:rPr>
          <w:sz w:val="24"/>
          <w:szCs w:val="24"/>
        </w:rPr>
        <w:fldChar w:fldCharType="begin"/>
      </w:r>
      <w:r w:rsidRPr="00B14648">
        <w:rPr>
          <w:sz w:val="24"/>
          <w:szCs w:val="24"/>
          <w:lang w:val="en-US"/>
        </w:rPr>
        <w:instrText xml:space="preserve"> SEQ Table \* ARABIC </w:instrText>
      </w:r>
      <w:r w:rsidRPr="00B14648">
        <w:rPr>
          <w:sz w:val="24"/>
          <w:szCs w:val="24"/>
        </w:rPr>
        <w:fldChar w:fldCharType="separate"/>
      </w:r>
      <w:r w:rsidRPr="00B14648">
        <w:rPr>
          <w:noProof/>
          <w:sz w:val="24"/>
          <w:szCs w:val="24"/>
          <w:lang w:val="en-US"/>
        </w:rPr>
        <w:t>1</w:t>
      </w:r>
      <w:r w:rsidRPr="00B14648">
        <w:rPr>
          <w:sz w:val="24"/>
          <w:szCs w:val="24"/>
        </w:rPr>
        <w:fldChar w:fldCharType="end"/>
      </w:r>
      <w:bookmarkEnd w:id="17"/>
      <w:r w:rsidRPr="00B14648">
        <w:rPr>
          <w:sz w:val="24"/>
          <w:szCs w:val="24"/>
          <w:lang w:val="en-US"/>
        </w:rPr>
        <w:t> : Comparison of tax-data and survey data</w:t>
      </w:r>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rsidTr="000F66A6">
        <w:trPr>
          <w:trHeight w:val="525"/>
        </w:trPr>
        <w:tc>
          <w:tcPr>
            <w:tcW w:w="3820" w:type="dxa"/>
            <w:tcBorders>
              <w:top w:val="nil"/>
              <w:left w:val="nil"/>
              <w:bottom w:val="nil"/>
              <w:right w:val="nil"/>
            </w:tcBorders>
            <w:shd w:val="clear" w:color="auto" w:fill="auto"/>
            <w:vAlign w:val="center"/>
            <w:hideMark/>
          </w:tcPr>
          <w:p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central measures</w:t>
            </w:r>
          </w:p>
        </w:tc>
        <w:tc>
          <w:tcPr>
            <w:tcW w:w="1320" w:type="dxa"/>
            <w:tcBorders>
              <w:top w:val="nil"/>
              <w:left w:val="nil"/>
              <w:bottom w:val="nil"/>
              <w:right w:val="nil"/>
            </w:tcBorders>
            <w:shd w:val="clear" w:color="auto" w:fill="auto"/>
            <w:noWrap/>
            <w:vAlign w:val="center"/>
            <w:hideMark/>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data-driven</w:t>
            </w:r>
            <w:proofErr w:type="spellEnd"/>
          </w:p>
        </w:tc>
        <w:tc>
          <w:tcPr>
            <w:tcW w:w="1320" w:type="dxa"/>
            <w:tcBorders>
              <w:top w:val="nil"/>
              <w:left w:val="nil"/>
              <w:bottom w:val="nil"/>
              <w:right w:val="nil"/>
            </w:tcBorders>
            <w:shd w:val="clear" w:color="auto" w:fill="auto"/>
            <w:noWrap/>
            <w:vAlign w:val="center"/>
            <w:hideMark/>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theory-driven</w:t>
            </w:r>
            <w:proofErr w:type="spellEnd"/>
          </w:p>
        </w:tc>
      </w:tr>
      <w:tr w:rsidR="00B14648" w:rsidRPr="007C1C84" w:rsidTr="000F66A6">
        <w:trPr>
          <w:trHeight w:val="525"/>
        </w:trPr>
        <w:tc>
          <w:tcPr>
            <w:tcW w:w="3820" w:type="dxa"/>
            <w:tcBorders>
              <w:top w:val="nil"/>
              <w:left w:val="nil"/>
              <w:bottom w:val="nil"/>
              <w:right w:val="nil"/>
            </w:tcBorders>
            <w:shd w:val="clear" w:color="auto" w:fill="auto"/>
            <w:vAlign w:val="center"/>
          </w:tcPr>
          <w:p w:rsidR="00B14648" w:rsidRPr="007C1C84" w:rsidRDefault="00B14648" w:rsidP="000F66A6">
            <w:pPr>
              <w:spacing w:line="240" w:lineRule="auto"/>
              <w:rPr>
                <w:rFonts w:eastAsia="Times New Roman"/>
                <w:color w:val="000000"/>
                <w:szCs w:val="19"/>
                <w:lang w:eastAsia="de-CH"/>
              </w:rPr>
            </w:pPr>
            <w:r w:rsidRPr="007C1C84">
              <w:rPr>
                <w:rFonts w:eastAsia="Times New Roman"/>
                <w:color w:val="000000"/>
                <w:szCs w:val="19"/>
                <w:lang w:eastAsia="de-CH"/>
              </w:rPr>
              <w:t xml:space="preserve">Statistical </w:t>
            </w:r>
            <w:proofErr w:type="spellStart"/>
            <w:r w:rsidRPr="007C1C84">
              <w:rPr>
                <w:rFonts w:eastAsia="Times New Roman"/>
                <w:color w:val="000000"/>
                <w:szCs w:val="19"/>
                <w:lang w:eastAsia="de-CH"/>
              </w:rPr>
              <w:t>unit</w:t>
            </w:r>
            <w:proofErr w:type="spellEnd"/>
          </w:p>
        </w:tc>
        <w:tc>
          <w:tcPr>
            <w:tcW w:w="1320" w:type="dxa"/>
            <w:tcBorders>
              <w:top w:val="nil"/>
              <w:left w:val="nil"/>
              <w:bottom w:val="nil"/>
              <w:right w:val="nil"/>
            </w:tcBorders>
            <w:shd w:val="clear" w:color="auto" w:fill="auto"/>
            <w:noWrap/>
            <w:vAlign w:val="center"/>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tax</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units</w:t>
            </w:r>
            <w:proofErr w:type="spellEnd"/>
          </w:p>
        </w:tc>
        <w:tc>
          <w:tcPr>
            <w:tcW w:w="1320" w:type="dxa"/>
            <w:tcBorders>
              <w:top w:val="nil"/>
              <w:left w:val="nil"/>
              <w:bottom w:val="nil"/>
              <w:right w:val="nil"/>
            </w:tcBorders>
            <w:shd w:val="clear" w:color="auto" w:fill="auto"/>
            <w:noWrap/>
            <w:vAlign w:val="center"/>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households</w:t>
            </w:r>
            <w:proofErr w:type="spellEnd"/>
          </w:p>
        </w:tc>
      </w:tr>
      <w:tr w:rsidR="00B14648" w:rsidRPr="007C1C84" w:rsidTr="000F66A6">
        <w:trPr>
          <w:trHeight w:val="525"/>
        </w:trPr>
        <w:tc>
          <w:tcPr>
            <w:tcW w:w="3820" w:type="dxa"/>
            <w:tcBorders>
              <w:top w:val="nil"/>
              <w:left w:val="nil"/>
              <w:bottom w:val="nil"/>
              <w:right w:val="nil"/>
            </w:tcBorders>
            <w:shd w:val="clear" w:color="auto" w:fill="auto"/>
            <w:vAlign w:val="center"/>
          </w:tcPr>
          <w:p w:rsidR="00B14648" w:rsidRPr="007C1C84" w:rsidRDefault="00B14648" w:rsidP="000F66A6">
            <w:pPr>
              <w:spacing w:line="240" w:lineRule="auto"/>
              <w:rPr>
                <w:rFonts w:eastAsia="Times New Roman"/>
                <w:color w:val="000000"/>
                <w:szCs w:val="19"/>
                <w:lang w:eastAsia="de-CH"/>
              </w:rPr>
            </w:pPr>
            <w:proofErr w:type="spellStart"/>
            <w:r w:rsidRPr="007C1C84">
              <w:rPr>
                <w:rFonts w:eastAsia="Times New Roman"/>
                <w:color w:val="000000"/>
                <w:szCs w:val="19"/>
                <w:lang w:eastAsia="de-CH"/>
              </w:rPr>
              <w:t>Application</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of</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inequality</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measure</w:t>
            </w:r>
            <w:proofErr w:type="spellEnd"/>
          </w:p>
        </w:tc>
        <w:tc>
          <w:tcPr>
            <w:tcW w:w="1320" w:type="dxa"/>
            <w:tcBorders>
              <w:top w:val="nil"/>
              <w:left w:val="nil"/>
              <w:bottom w:val="nil"/>
              <w:right w:val="nil"/>
            </w:tcBorders>
            <w:shd w:val="clear" w:color="auto" w:fill="auto"/>
            <w:noWrap/>
            <w:vAlign w:val="center"/>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restricted</w:t>
            </w:r>
            <w:proofErr w:type="spellEnd"/>
          </w:p>
        </w:tc>
        <w:tc>
          <w:tcPr>
            <w:tcW w:w="1320" w:type="dxa"/>
            <w:tcBorders>
              <w:top w:val="nil"/>
              <w:left w:val="nil"/>
              <w:bottom w:val="nil"/>
              <w:right w:val="nil"/>
            </w:tcBorders>
            <w:shd w:val="clear" w:color="auto" w:fill="auto"/>
            <w:noWrap/>
            <w:vAlign w:val="center"/>
          </w:tcPr>
          <w:p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flexible</w:t>
            </w:r>
          </w:p>
        </w:tc>
      </w:tr>
      <w:tr w:rsidR="00B14648" w:rsidRPr="007C1C84" w:rsidTr="000F66A6">
        <w:trPr>
          <w:trHeight w:val="525"/>
        </w:trPr>
        <w:tc>
          <w:tcPr>
            <w:tcW w:w="3820" w:type="dxa"/>
            <w:tcBorders>
              <w:top w:val="nil"/>
              <w:left w:val="nil"/>
              <w:bottom w:val="nil"/>
              <w:right w:val="nil"/>
            </w:tcBorders>
            <w:shd w:val="clear" w:color="auto" w:fill="auto"/>
            <w:vAlign w:val="center"/>
            <w:hideMark/>
          </w:tcPr>
          <w:p w:rsidR="00B14648" w:rsidRPr="007C1C84" w:rsidRDefault="00B14648" w:rsidP="000F66A6">
            <w:pPr>
              <w:spacing w:line="240" w:lineRule="auto"/>
              <w:rPr>
                <w:rFonts w:eastAsia="Times New Roman"/>
                <w:color w:val="000000"/>
                <w:szCs w:val="19"/>
                <w:lang w:eastAsia="de-CH"/>
              </w:rPr>
            </w:pPr>
            <w:proofErr w:type="spellStart"/>
            <w:r w:rsidRPr="007C1C84">
              <w:rPr>
                <w:rFonts w:eastAsia="Times New Roman"/>
                <w:color w:val="000000"/>
                <w:szCs w:val="19"/>
                <w:lang w:eastAsia="de-CH"/>
              </w:rPr>
              <w:t>Coverage</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problems</w:t>
            </w:r>
            <w:proofErr w:type="spellEnd"/>
          </w:p>
        </w:tc>
        <w:tc>
          <w:tcPr>
            <w:tcW w:w="1320" w:type="dxa"/>
            <w:tcBorders>
              <w:top w:val="nil"/>
              <w:left w:val="nil"/>
              <w:bottom w:val="nil"/>
              <w:right w:val="nil"/>
            </w:tcBorders>
            <w:shd w:val="clear" w:color="auto" w:fill="auto"/>
            <w:noWrap/>
            <w:vAlign w:val="center"/>
            <w:hideMark/>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tax</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evasion</w:t>
            </w:r>
            <w:proofErr w:type="spellEnd"/>
            <w:r>
              <w:rPr>
                <w:rFonts w:eastAsia="Times New Roman"/>
                <w:color w:val="000000"/>
                <w:szCs w:val="19"/>
                <w:lang w:eastAsia="de-CH"/>
              </w:rPr>
              <w:t>, non-</w:t>
            </w:r>
            <w:proofErr w:type="spellStart"/>
            <w:r>
              <w:rPr>
                <w:rFonts w:eastAsia="Times New Roman"/>
                <w:color w:val="000000"/>
                <w:szCs w:val="19"/>
                <w:lang w:eastAsia="de-CH"/>
              </w:rPr>
              <w:t>taxed</w:t>
            </w:r>
            <w:proofErr w:type="spellEnd"/>
          </w:p>
        </w:tc>
        <w:tc>
          <w:tcPr>
            <w:tcW w:w="1320" w:type="dxa"/>
            <w:tcBorders>
              <w:top w:val="nil"/>
              <w:left w:val="nil"/>
              <w:bottom w:val="nil"/>
              <w:right w:val="nil"/>
            </w:tcBorders>
            <w:shd w:val="clear" w:color="auto" w:fill="auto"/>
            <w:noWrap/>
            <w:vAlign w:val="center"/>
            <w:hideMark/>
          </w:tcPr>
          <w:p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 xml:space="preserve">sample </w:t>
            </w:r>
            <w:proofErr w:type="spellStart"/>
            <w:r w:rsidRPr="007C1C84">
              <w:rPr>
                <w:rFonts w:eastAsia="Times New Roman"/>
                <w:color w:val="000000"/>
                <w:szCs w:val="19"/>
                <w:lang w:eastAsia="de-CH"/>
              </w:rPr>
              <w:t>bias</w:t>
            </w:r>
            <w:proofErr w:type="spellEnd"/>
          </w:p>
        </w:tc>
      </w:tr>
      <w:tr w:rsidR="00B14648" w:rsidRPr="007C1C84" w:rsidTr="000F66A6">
        <w:trPr>
          <w:trHeight w:val="525"/>
        </w:trPr>
        <w:tc>
          <w:tcPr>
            <w:tcW w:w="3820" w:type="dxa"/>
            <w:tcBorders>
              <w:top w:val="nil"/>
              <w:left w:val="nil"/>
              <w:bottom w:val="double" w:sz="6" w:space="0" w:color="auto"/>
              <w:right w:val="nil"/>
            </w:tcBorders>
            <w:shd w:val="clear" w:color="auto" w:fill="auto"/>
            <w:vAlign w:val="center"/>
            <w:hideMark/>
          </w:tcPr>
          <w:p w:rsidR="00B14648" w:rsidRPr="00DA02B8" w:rsidRDefault="00B14648" w:rsidP="000F66A6">
            <w:pPr>
              <w:spacing w:line="240" w:lineRule="auto"/>
              <w:rPr>
                <w:rFonts w:eastAsia="Times New Roman"/>
                <w:color w:val="000000"/>
                <w:szCs w:val="19"/>
                <w:lang w:val="en-US" w:eastAsia="de-CH"/>
              </w:rPr>
            </w:pPr>
            <w:r w:rsidRPr="00DA02B8">
              <w:rPr>
                <w:rFonts w:eastAsia="Times New Roman"/>
                <w:color w:val="000000"/>
                <w:szCs w:val="19"/>
                <w:lang w:val="en-US" w:eastAsia="de-CH"/>
              </w:rPr>
              <w:t>Possibility to assess trend</w:t>
            </w:r>
            <w:r>
              <w:rPr>
                <w:rFonts w:eastAsia="Times New Roman"/>
                <w:color w:val="000000"/>
                <w:szCs w:val="19"/>
                <w:lang w:val="en-US" w:eastAsia="de-CH"/>
              </w:rPr>
              <w:t xml:space="preserve"> of inequality</w:t>
            </w:r>
          </w:p>
        </w:tc>
        <w:tc>
          <w:tcPr>
            <w:tcW w:w="1320" w:type="dxa"/>
            <w:tcBorders>
              <w:top w:val="nil"/>
              <w:left w:val="nil"/>
              <w:bottom w:val="double" w:sz="6" w:space="0" w:color="auto"/>
              <w:right w:val="nil"/>
            </w:tcBorders>
            <w:shd w:val="clear" w:color="auto" w:fill="auto"/>
            <w:noWrap/>
            <w:vAlign w:val="center"/>
            <w:hideMark/>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long</w:t>
            </w:r>
            <w:proofErr w:type="spellEnd"/>
            <w:r w:rsidRPr="007C1C84">
              <w:rPr>
                <w:rFonts w:eastAsia="Times New Roman"/>
                <w:color w:val="000000"/>
                <w:szCs w:val="19"/>
                <w:lang w:eastAsia="de-CH"/>
              </w:rPr>
              <w:t xml:space="preserve"> </w:t>
            </w:r>
          </w:p>
        </w:tc>
        <w:tc>
          <w:tcPr>
            <w:tcW w:w="1320" w:type="dxa"/>
            <w:tcBorders>
              <w:top w:val="nil"/>
              <w:left w:val="nil"/>
              <w:bottom w:val="double" w:sz="6" w:space="0" w:color="auto"/>
              <w:right w:val="nil"/>
            </w:tcBorders>
            <w:shd w:val="clear" w:color="auto" w:fill="auto"/>
            <w:noWrap/>
            <w:vAlign w:val="center"/>
            <w:hideMark/>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short</w:t>
            </w:r>
            <w:proofErr w:type="spellEnd"/>
          </w:p>
        </w:tc>
      </w:tr>
    </w:tbl>
    <w:p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 The missing of the link on the individual level implies therefore no possibility of a conjoint analysis of income and wealth. In addition, Information on consumption is missing at all. This leaves </w:t>
      </w:r>
      <w:r w:rsidRPr="00B14648">
        <w:rPr>
          <w:rFonts w:ascii="Lucida Sans" w:hAnsi="Lucida Sans"/>
          <w:sz w:val="19"/>
          <w:szCs w:val="19"/>
          <w:lang w:val="en-US"/>
        </w:rPr>
        <w:lastRenderedPageBreak/>
        <w:t xml:space="preserve">the researcher only with the possibility to look at income or wealth. The definition of central measures also is often restricted, because only the taxable measures are at hand. In regard to income, this implies that researchers often have to look at neither a pre- nor a </w:t>
      </w:r>
      <w:proofErr w:type="spellStart"/>
      <w:r w:rsidRPr="00B14648">
        <w:rPr>
          <w:rFonts w:ascii="Lucida Sans" w:hAnsi="Lucida Sans"/>
          <w:sz w:val="19"/>
          <w:szCs w:val="19"/>
          <w:lang w:val="en-US"/>
        </w:rPr>
        <w:t>postransfer</w:t>
      </w:r>
      <w:proofErr w:type="spellEnd"/>
      <w:r w:rsidRPr="00B14648">
        <w:rPr>
          <w:rFonts w:ascii="Lucida Sans" w:hAnsi="Lucida Sans"/>
          <w:sz w:val="19"/>
          <w:szCs w:val="19"/>
          <w:lang w:val="en-US"/>
        </w:rPr>
        <w:t xml:space="preserve"> measure. </w:t>
      </w:r>
      <w:proofErr w:type="gramStart"/>
      <w:r w:rsidRPr="00B14648">
        <w:rPr>
          <w:rFonts w:ascii="Lucida Sans" w:hAnsi="Lucida Sans"/>
          <w:sz w:val="19"/>
          <w:szCs w:val="19"/>
          <w:lang w:val="en-US"/>
        </w:rPr>
        <w:t>Because often part of direct social transfers (like rents) are included, but – on the other hand – no taxes are subtracted.</w:t>
      </w:r>
      <w:proofErr w:type="gramEnd"/>
      <w:r w:rsidRPr="00B14648">
        <w:rPr>
          <w:rFonts w:ascii="Lucida Sans" w:hAnsi="Lucida Sans"/>
          <w:sz w:val="19"/>
          <w:szCs w:val="19"/>
          <w:lang w:val="en-US"/>
        </w:rPr>
        <w:t xml:space="preserve"> Furthermore deductions impose changes to income measures, which can bias the result. Concerning this dimension, survey-Data is clearly superior, because concepts and measures can be tailored carefully to the need of scientists.</w:t>
      </w:r>
    </w:p>
    <w:p w:rsidR="00B14648" w:rsidRPr="00B14648" w:rsidRDefault="00B14648" w:rsidP="00B14648">
      <w:pPr>
        <w:pStyle w:val="indent"/>
        <w:rPr>
          <w:rFonts w:ascii="Lucida Sans" w:hAnsi="Lucida Sans"/>
          <w:sz w:val="19"/>
          <w:szCs w:val="19"/>
          <w:lang w:val="en-US"/>
        </w:rPr>
      </w:pPr>
      <w:commentRangeStart w:id="18"/>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 xml:space="preserve">a second drawback of tax data has to be mentioned. The statistic </w:t>
      </w:r>
      <w:proofErr w:type="gramStart"/>
      <w:r w:rsidRPr="00B14648">
        <w:rPr>
          <w:rFonts w:ascii="Lucida Sans" w:hAnsi="Lucida Sans"/>
          <w:sz w:val="19"/>
          <w:szCs w:val="19"/>
          <w:lang w:val="en-US"/>
        </w:rPr>
        <w:t>unit of tax data are</w:t>
      </w:r>
      <w:proofErr w:type="gramEnd"/>
      <w:r w:rsidRPr="00B14648">
        <w:rPr>
          <w:rFonts w:ascii="Lucida Sans" w:hAnsi="Lucida Sans"/>
          <w:sz w:val="19"/>
          <w:szCs w:val="19"/>
          <w:lang w:val="en-US"/>
        </w:rPr>
        <w:t xml:space="preserve"> tax units, but they do not necessarily correspond to households. Indeed there are constellations where members of the same household hand in several tax forms, like for example an unmarried couple living together. Here again surveys are able to address the ideal statistical unit in a more appropriate way.   </w:t>
      </w:r>
      <w:commentRangeEnd w:id="18"/>
      <w:r w:rsidR="001232D9">
        <w:rPr>
          <w:rStyle w:val="Kommentarzeichen"/>
          <w:rFonts w:ascii="Lucida Sans" w:eastAsia="Lucida Sans" w:hAnsi="Lucida Sans"/>
          <w:lang w:eastAsia="en-US"/>
        </w:rPr>
        <w:commentReference w:id="18"/>
      </w:r>
    </w:p>
    <w:p w:rsidR="00B14648" w:rsidRPr="00B14648" w:rsidRDefault="001232D9" w:rsidP="00B14648">
      <w:pPr>
        <w:pStyle w:val="indent"/>
        <w:rPr>
          <w:rFonts w:ascii="Lucida Sans" w:hAnsi="Lucida Sans"/>
          <w:sz w:val="19"/>
          <w:szCs w:val="19"/>
          <w:lang w:val="en-US"/>
        </w:rPr>
      </w:pPr>
      <w:r w:rsidRPr="00B14648">
        <w:rPr>
          <w:rFonts w:ascii="Lucida Sans" w:hAnsi="Lucida Sans"/>
          <w:sz w:val="19"/>
          <w:szCs w:val="19"/>
          <w:lang w:val="en-US"/>
        </w:rPr>
        <w:t>With</w:t>
      </w:r>
      <w:r w:rsidR="00B14648" w:rsidRPr="00B14648">
        <w:rPr>
          <w:rFonts w:ascii="Lucida Sans" w:hAnsi="Lucida Sans"/>
          <w:sz w:val="19"/>
          <w:szCs w:val="19"/>
          <w:lang w:val="en-US"/>
        </w:rPr>
        <w:t xml:space="preserve"> tax data the </w:t>
      </w:r>
      <w:r w:rsidR="00B14648" w:rsidRPr="00B14648">
        <w:rPr>
          <w:rFonts w:ascii="Lucida Sans" w:hAnsi="Lucida Sans"/>
          <w:i/>
          <w:sz w:val="19"/>
          <w:szCs w:val="19"/>
          <w:lang w:val="en-US"/>
        </w:rPr>
        <w:t xml:space="preserve">application of inequality measures </w:t>
      </w:r>
      <w:r w:rsidR="00B14648" w:rsidRPr="00B14648">
        <w:rPr>
          <w:rFonts w:ascii="Lucida Sans" w:hAnsi="Lucida Sans"/>
          <w:sz w:val="19"/>
          <w:szCs w:val="19"/>
          <w:lang w:val="en-US"/>
        </w:rPr>
        <w:t xml:space="preserve">can be restricted, if one thinks of tax data as information in aggregated form. Out of that it is possible to estimate the form of the distribution or the quantile function, therefore it is possible to calculate common measures like the </w:t>
      </w:r>
      <w:proofErr w:type="spellStart"/>
      <w:r w:rsidR="00B14648" w:rsidRPr="00B14648">
        <w:rPr>
          <w:rFonts w:ascii="Lucida Sans" w:hAnsi="Lucida Sans"/>
          <w:sz w:val="19"/>
          <w:szCs w:val="19"/>
          <w:lang w:val="en-US"/>
        </w:rPr>
        <w:t>gini-coefficent</w:t>
      </w:r>
      <w:proofErr w:type="spellEnd"/>
      <w:r w:rsidR="00B14648" w:rsidRPr="00B14648">
        <w:rPr>
          <w:rFonts w:ascii="Lucida Sans" w:hAnsi="Lucida Sans"/>
          <w:sz w:val="19"/>
          <w:szCs w:val="19"/>
          <w:lang w:val="en-US"/>
        </w:rPr>
        <w:t xml:space="preserve"> or the income/wealth shares, but measures based on welfare function or information theory need individual data and are therefore not applicable. Survey data usually is collected on household level and therefore leaves every option open a statistician can think of. </w:t>
      </w:r>
    </w:p>
    <w:p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This is a special thorny task for surveys working with samples, because nonresponse is a major source of bias (Bethlehem et al., 2011). </w:t>
      </w:r>
      <w:proofErr w:type="gramStart"/>
      <w:r w:rsidRPr="00B14648">
        <w:rPr>
          <w:rFonts w:ascii="Lucida Sans" w:hAnsi="Lucida Sans"/>
          <w:sz w:val="19"/>
          <w:szCs w:val="19"/>
          <w:lang w:val="en-US"/>
        </w:rPr>
        <w:t>(</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 that the position in the income distribution influence the probability to participate in a survey.</w:t>
      </w:r>
      <w:proofErr w:type="gramEnd"/>
      <w:r w:rsidRPr="00B14648">
        <w:rPr>
          <w:rFonts w:ascii="Lucida Sans" w:hAnsi="Lucida Sans"/>
          <w:sz w:val="19"/>
          <w:szCs w:val="19"/>
          <w:lang w:val="en-US"/>
        </w:rPr>
        <w:t xml:space="preserve"> Low income and high income households are more likely to refuse survey response, which leads to an overrepresentation of middle income households. This mechanism can be referred to as </w:t>
      </w:r>
      <w:proofErr w:type="gramStart"/>
      <w:r w:rsidRPr="00B14648">
        <w:rPr>
          <w:rFonts w:ascii="Lucida Sans" w:hAnsi="Lucida Sans"/>
          <w:sz w:val="19"/>
          <w:szCs w:val="19"/>
          <w:lang w:val="en-US"/>
        </w:rPr>
        <w:t>the ”</w:t>
      </w:r>
      <w:proofErr w:type="gramEnd"/>
      <w:r w:rsidRPr="00B14648">
        <w:rPr>
          <w:rFonts w:ascii="Lucida Sans" w:hAnsi="Lucida Sans"/>
          <w:sz w:val="19"/>
          <w:szCs w:val="19"/>
          <w:lang w:val="en-US"/>
        </w:rPr>
        <w:t>middleclass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w:t>
      </w:r>
      <w:proofErr w:type="spellStart"/>
      <w:r w:rsidR="000F66A6" w:rsidRPr="000F66A6">
        <w:rPr>
          <w:rFonts w:ascii="Lucida Sans" w:hAnsi="Lucida Sans"/>
          <w:sz w:val="19"/>
          <w:szCs w:val="19"/>
          <w:lang w:val="en-US"/>
        </w:rPr>
        <w:t>Särndal</w:t>
      </w:r>
      <w:proofErr w:type="spellEnd"/>
      <w:r w:rsidR="000F66A6" w:rsidRPr="000F66A6">
        <w:rPr>
          <w:rFonts w:ascii="Lucida Sans" w:hAnsi="Lucida Sans"/>
          <w:sz w:val="19"/>
          <w:szCs w:val="19"/>
          <w:lang w:val="en-US"/>
        </w:rPr>
        <w:t xml:space="preserve">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 In many countries tax data is only available for people who file their taxes. Therefore a significant proportion of the population is missing, when not accounting for this. Another critical issue with tax data is the problem of tax evasion, which definitely can bias the assessment of inequality. </w:t>
      </w:r>
      <w:r w:rsidR="008E19F9">
        <w:fldChar w:fldCharType="begin"/>
      </w:r>
      <w:r w:rsidR="008E19F9" w:rsidRPr="008E19F9">
        <w:rPr>
          <w:lang w:val="en-US"/>
        </w:rPr>
        <w:instrText xml:space="preserve"> HYPERLINK \l "Xalvaredo_income_2009" </w:instrText>
      </w:r>
      <w:r w:rsidR="008E19F9">
        <w:fldChar w:fldCharType="separate"/>
      </w:r>
      <w:r w:rsidRPr="008E19F9">
        <w:rPr>
          <w:rFonts w:ascii="Lucida Sans" w:hAnsi="Lucida Sans"/>
          <w:sz w:val="19"/>
          <w:szCs w:val="19"/>
          <w:lang w:val="en-US"/>
        </w:rPr>
        <w:t>Alvaredo and Saez</w:t>
      </w:r>
      <w:r w:rsidR="008E19F9">
        <w:rPr>
          <w:rFonts w:ascii="Lucida Sans" w:hAnsi="Lucida Sans"/>
          <w:sz w:val="19"/>
          <w:szCs w:val="19"/>
        </w:rPr>
        <w:fldChar w:fldCharType="end"/>
      </w:r>
      <w:r w:rsidRPr="00B14648">
        <w:rPr>
          <w:rFonts w:ascii="Lucida Sans" w:hAnsi="Lucida Sans"/>
          <w:sz w:val="19"/>
          <w:szCs w:val="19"/>
          <w:lang w:val="en-US"/>
        </w:rPr>
        <w:t> (</w:t>
      </w:r>
      <w:r w:rsidR="008E19F9">
        <w:fldChar w:fldCharType="begin"/>
      </w:r>
      <w:r w:rsidR="008E19F9" w:rsidRPr="008E19F9">
        <w:rPr>
          <w:lang w:val="en-US"/>
        </w:rPr>
        <w:instrText xml:space="preserve"> HYPERLINK \l "Xalvaredo_income_2009" </w:instrText>
      </w:r>
      <w:r w:rsidR="008E19F9">
        <w:fldChar w:fldCharType="separate"/>
      </w:r>
      <w:r w:rsidRPr="008E19F9">
        <w:rPr>
          <w:rFonts w:ascii="Lucida Sans" w:hAnsi="Lucida Sans"/>
          <w:sz w:val="19"/>
          <w:szCs w:val="19"/>
          <w:lang w:val="en-US"/>
        </w:rPr>
        <w:t>2009</w:t>
      </w:r>
      <w:r w:rsidR="008E19F9">
        <w:rPr>
          <w:rFonts w:ascii="Lucida Sans" w:hAnsi="Lucida Sans"/>
          <w:sz w:val="19"/>
          <w:szCs w:val="19"/>
        </w:rPr>
        <w:fldChar w:fldCharType="end"/>
      </w:r>
      <w:r w:rsidRPr="00B14648">
        <w:rPr>
          <w:rFonts w:ascii="Lucida Sans" w:hAnsi="Lucida Sans"/>
          <w:sz w:val="19"/>
          <w:szCs w:val="19"/>
          <w:lang w:val="en-US"/>
        </w:rPr>
        <w:t xml:space="preserve">) for example regard estimates of Spanish top incomes prior to 1981 as unreliable due to widespread tax evasion. Evasion can occur, when individuals try not to fill tax returns or by misreporting of incomes. </w:t>
      </w:r>
    </w:p>
    <w:p w:rsidR="00B14648" w:rsidRPr="006C2FBE"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Pr>
          <w:rFonts w:ascii="Lucida Sans" w:hAnsi="Lucida Sans"/>
          <w:sz w:val="19"/>
          <w:szCs w:val="19"/>
          <w:lang w:val="en-US"/>
        </w:rPr>
        <w:t>possibility to assess trends of inequality</w:t>
      </w:r>
      <w:r w:rsidRPr="00B14648">
        <w:rPr>
          <w:rFonts w:ascii="Lucida Sans" w:hAnsi="Lucida Sans"/>
          <w:sz w:val="19"/>
          <w:szCs w:val="19"/>
          <w:lang w:val="en-US"/>
        </w:rPr>
        <w:t>. This makes it an interesting data source albeit the mentioned restrictions. 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reaching for several countries back in time for 50 years allowing </w:t>
      </w:r>
      <w:r w:rsidR="001232D9" w:rsidRPr="00B14648">
        <w:rPr>
          <w:rFonts w:ascii="Lucida Sans" w:hAnsi="Lucida Sans"/>
          <w:sz w:val="19"/>
          <w:szCs w:val="19"/>
          <w:lang w:val="en-US"/>
        </w:rPr>
        <w:t>assessing</w:t>
      </w:r>
      <w:r w:rsidRPr="00B14648">
        <w:rPr>
          <w:rFonts w:ascii="Lucida Sans" w:hAnsi="Lucida Sans"/>
          <w:sz w:val="19"/>
          <w:szCs w:val="19"/>
          <w:lang w:val="en-US"/>
        </w:rPr>
        <w:t xml:space="preserve"> time trends that cover substantial longer periods than it is possible with survey data. Nonetheless when it comes to comparison over time, scientists have </w:t>
      </w:r>
      <w:proofErr w:type="spellStart"/>
      <w:r w:rsidRPr="00B14648">
        <w:rPr>
          <w:rFonts w:ascii="Lucida Sans" w:hAnsi="Lucida Sans"/>
          <w:sz w:val="19"/>
          <w:szCs w:val="19"/>
          <w:lang w:val="en-US"/>
        </w:rPr>
        <w:t>to</w:t>
      </w:r>
      <w:proofErr w:type="spellEnd"/>
      <w:r w:rsidRPr="00B14648">
        <w:rPr>
          <w:rFonts w:ascii="Lucida Sans" w:hAnsi="Lucida Sans"/>
          <w:sz w:val="19"/>
          <w:szCs w:val="19"/>
          <w:lang w:val="en-US"/>
        </w:rPr>
        <w:t xml:space="preserve"> aware of test if data is truly comparable overt time, because measures and population might be affected by changes in the tax systems or the way tax statistics are reported.</w:t>
      </w:r>
    </w:p>
    <w:p w:rsidR="00B14648" w:rsidRDefault="00B14648" w:rsidP="00B14648">
      <w:pPr>
        <w:rPr>
          <w:lang w:val="en-US"/>
        </w:rPr>
      </w:pPr>
    </w:p>
    <w:p w:rsidR="00B14648" w:rsidRPr="00B14648" w:rsidRDefault="00B14648" w:rsidP="00B14648">
      <w:pPr>
        <w:pStyle w:val="berschrift1"/>
        <w:rPr>
          <w:lang w:val="en-US"/>
        </w:rPr>
      </w:pPr>
      <w:bookmarkStart w:id="19" w:name="_Toc399324952"/>
      <w:r w:rsidRPr="00B14648">
        <w:rPr>
          <w:lang w:val="en-US"/>
        </w:rPr>
        <w:t>Conflicting results due to methodological differences</w:t>
      </w:r>
      <w:r w:rsidR="006C2FBE">
        <w:rPr>
          <w:lang w:val="en-US"/>
        </w:rPr>
        <w:t xml:space="preserve"> in Switzerland</w:t>
      </w:r>
      <w:r w:rsidRPr="00B14648">
        <w:rPr>
          <w:lang w:val="en-US"/>
        </w:rPr>
        <w:t>?</w:t>
      </w:r>
      <w:bookmarkEnd w:id="19"/>
    </w:p>
    <w:p w:rsidR="00B14648" w:rsidRPr="00B14648" w:rsidRDefault="00B14648" w:rsidP="00B14648">
      <w:pPr>
        <w:rPr>
          <w:lang w:val="en-US"/>
        </w:rPr>
      </w:pPr>
      <w:commentRangeStart w:id="20"/>
      <w:r w:rsidRPr="00B14648">
        <w:rPr>
          <w:lang w:val="en-US"/>
        </w:rPr>
        <w:t>As we will show in this section, the state of research for Switzerland concerning the trend of income inequality is especially contr</w:t>
      </w:r>
      <w:r w:rsidR="001232D9">
        <w:rPr>
          <w:lang w:val="en-US"/>
        </w:rPr>
        <w:t>adictory, making it an interest</w:t>
      </w:r>
      <w:r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Pr="00B14648">
        <w:rPr>
          <w:lang w:val="en-US"/>
        </w:rPr>
        <w:t xml:space="preserve">, which can be considered as de facto official data sources: EU-SILC, HBS and LIS-data. Figure XY shows the results stemming from these three sources while looking at Gini of equalized disposable income. Up to the day, EU-SILC (Statistics on Income and Living Conditions) is the main source used for policy monitoring at EU-level. The main focus of EU-SILC is to collect data on a common “framework” to ensure comparability among EU and EFTA </w:t>
      </w:r>
      <w:r w:rsidR="001232D9" w:rsidRPr="00B14648">
        <w:rPr>
          <w:lang w:val="en-US"/>
        </w:rPr>
        <w:t>countries</w:t>
      </w:r>
      <w:r w:rsidRPr="00B14648">
        <w:rPr>
          <w:lang w:val="en-US"/>
        </w:rPr>
        <w:t xml:space="preserve">. As a Non-EU member Switzerland implemented the instrument not from the beginning (2004) but from 2007. Therefore this </w:t>
      </w:r>
      <w:r w:rsidRPr="00B14648">
        <w:rPr>
          <w:lang w:val="en-US"/>
        </w:rPr>
        <w:lastRenderedPageBreak/>
        <w:t>times-series doesn’t cover time periods before 2007. As graph XY shows, following the results from SILC, income inequali</w:t>
      </w:r>
      <w:r w:rsidR="00A456DA">
        <w:rPr>
          <w:lang w:val="en-US"/>
        </w:rPr>
        <w:t>ty de-creased from 2007 to 2013</w:t>
      </w:r>
      <w:r w:rsidRPr="00B14648">
        <w:rPr>
          <w:lang w:val="en-US"/>
        </w:rPr>
        <w:t>. The second impo</w:t>
      </w:r>
      <w:r w:rsidR="001232D9">
        <w:rPr>
          <w:lang w:val="en-US"/>
        </w:rPr>
        <w:t>rtant source concerning the dis</w:t>
      </w:r>
      <w:r w:rsidRPr="00B14648">
        <w:rPr>
          <w:lang w:val="en-US"/>
        </w:rPr>
        <w:t xml:space="preserve">tribution of income is the Household Budget Survey (HBS). The main focus of this survey lays in providing detailed data on household budgets. Since 2000 the survey has been conducted on a continuous basis, which allows looking at a consistent time series from 2000 to 2011. As it can be seen from graph XY the trend is rather </w:t>
      </w:r>
      <w:r w:rsidR="001232D9" w:rsidRPr="00B14648">
        <w:rPr>
          <w:lang w:val="en-US"/>
        </w:rPr>
        <w:t xml:space="preserve">stable. </w:t>
      </w:r>
      <w:r w:rsidRPr="00B14648">
        <w:rPr>
          <w:lang w:val="en-US"/>
        </w:rPr>
        <w:t>Both time-series (SILC and HBS) cover a relatively short time period. A longer period is covered in the LIS-Data-set (1982-2004). Data-provider for the LIS Data is the Swiss Federal Statistical Office too. In contrast the aforementioned surveys</w:t>
      </w:r>
      <w:r w:rsidR="001232D9">
        <w:rPr>
          <w:lang w:val="en-US"/>
        </w:rPr>
        <w:t>,</w:t>
      </w:r>
      <w:r w:rsidRPr="00B14648">
        <w:rPr>
          <w:lang w:val="en-US"/>
        </w:rPr>
        <w:t xml:space="preserve"> the LIS-data is harmonized out of three surveys: Swiss Income and Wealth Survey (1982), Swiss Poverty Survey (1992) and the Income and Consumption survey (2000, 2002, </w:t>
      </w:r>
      <w:proofErr w:type="gramStart"/>
      <w:r w:rsidRPr="00B14648">
        <w:rPr>
          <w:lang w:val="en-US"/>
        </w:rPr>
        <w:t>2004</w:t>
      </w:r>
      <w:proofErr w:type="gramEnd"/>
      <w:r w:rsidRPr="00B14648">
        <w:rPr>
          <w:lang w:val="en-US"/>
        </w:rPr>
        <w:t xml:space="preserve">). All in all the LIS dataset contains the longest time series on inequality for Switzerland. Analyzing this data </w:t>
      </w:r>
      <w:proofErr w:type="spellStart"/>
      <w:r w:rsidRPr="00B14648">
        <w:rPr>
          <w:lang w:val="en-US"/>
        </w:rPr>
        <w:t>Gornick</w:t>
      </w:r>
      <w:proofErr w:type="spellEnd"/>
      <w:r w:rsidRPr="00B14648">
        <w:rPr>
          <w:lang w:val="en-US"/>
        </w:rPr>
        <w:t xml:space="preserve"> and </w:t>
      </w:r>
      <w:proofErr w:type="spellStart"/>
      <w:r w:rsidRPr="00B14648">
        <w:rPr>
          <w:lang w:val="en-US"/>
        </w:rPr>
        <w:t>Jäntti</w:t>
      </w:r>
      <w:proofErr w:type="spellEnd"/>
      <w:r w:rsidRPr="00B14648">
        <w:rPr>
          <w:lang w:val="en-US"/>
        </w:rPr>
        <w:t xml:space="preserve"> (2013) found for Switzerland a quite substantially decreases in income inequality, contradictory to the development in most other western countries. This result is supported by </w:t>
      </w:r>
      <w:proofErr w:type="spellStart"/>
      <w:r w:rsidRPr="00B14648">
        <w:rPr>
          <w:lang w:val="en-US"/>
        </w:rPr>
        <w:t>Grabka</w:t>
      </w:r>
      <w:proofErr w:type="spellEnd"/>
      <w:r w:rsidRPr="00B14648">
        <w:rPr>
          <w:lang w:val="en-US"/>
        </w:rPr>
        <w:t xml:space="preserve"> and Kuhn (2012) analyzing the Swiss Household Panel (2000-2009). </w:t>
      </w:r>
      <w:commentRangeEnd w:id="20"/>
      <w:r>
        <w:rPr>
          <w:rStyle w:val="Kommentarzeichen"/>
        </w:rPr>
        <w:commentReference w:id="20"/>
      </w:r>
    </w:p>
    <w:p w:rsidR="00B14648" w:rsidRPr="00B14648" w:rsidRDefault="00B14648" w:rsidP="00B14648">
      <w:pPr>
        <w:rPr>
          <w:lang w:val="en-US"/>
        </w:rPr>
      </w:pPr>
    </w:p>
    <w:p w:rsidR="00B14648" w:rsidRPr="00B14648" w:rsidRDefault="00B14648" w:rsidP="00B14648">
      <w:pPr>
        <w:rPr>
          <w:lang w:val="en-US"/>
        </w:rPr>
      </w:pPr>
      <w:r>
        <w:rPr>
          <w:noProof/>
          <w:lang w:eastAsia="de-CH"/>
        </w:rPr>
        <w:drawing>
          <wp:inline distT="0" distB="0" distL="0" distR="0" wp14:anchorId="395E2C18" wp14:editId="6CCE790C">
            <wp:extent cx="3114040" cy="33559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040" cy="3355975"/>
                    </a:xfrm>
                    <a:prstGeom prst="rect">
                      <a:avLst/>
                    </a:prstGeom>
                    <a:noFill/>
                    <a:ln>
                      <a:noFill/>
                    </a:ln>
                  </pic:spPr>
                </pic:pic>
              </a:graphicData>
            </a:graphic>
          </wp:inline>
        </w:drawing>
      </w:r>
      <w:r w:rsidR="00B92879" w:rsidRPr="008E19F9">
        <w:rPr>
          <w:noProof/>
          <w:lang w:val="en-US" w:eastAsia="de-CH"/>
        </w:rPr>
        <w:t xml:space="preserve"> </w:t>
      </w:r>
      <w:r w:rsidR="00B92879">
        <w:rPr>
          <w:noProof/>
          <w:lang w:eastAsia="de-CH"/>
        </w:rPr>
        <w:drawing>
          <wp:inline distT="0" distB="0" distL="0" distR="0" wp14:anchorId="4806A384" wp14:editId="41BBD6D8">
            <wp:extent cx="2805546" cy="2978727"/>
            <wp:effectExtent l="0" t="0" r="13970" b="1270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14648" w:rsidRPr="00B14648" w:rsidRDefault="00B14648" w:rsidP="00B14648">
      <w:pPr>
        <w:rPr>
          <w:lang w:val="en-US"/>
        </w:rPr>
      </w:pPr>
    </w:p>
    <w:p w:rsidR="00B14648" w:rsidRPr="00B14648" w:rsidRDefault="00B14648" w:rsidP="00B14648">
      <w:pPr>
        <w:rPr>
          <w:lang w:val="en-US"/>
        </w:rPr>
      </w:pPr>
      <w:commentRangeStart w:id="21"/>
      <w:r w:rsidRPr="00B14648">
        <w:rPr>
          <w:lang w:val="en-US"/>
        </w:rPr>
        <w:t>Figure 2: trends of income inequality for Switzerland.</w:t>
      </w:r>
      <w:commentRangeEnd w:id="21"/>
      <w:r w:rsidR="001232D9">
        <w:rPr>
          <w:rStyle w:val="Kommentarzeichen"/>
        </w:rPr>
        <w:commentReference w:id="21"/>
      </w:r>
    </w:p>
    <w:p w:rsidR="00B14648" w:rsidRPr="00B14648" w:rsidRDefault="00B14648" w:rsidP="00B14648">
      <w:pPr>
        <w:rPr>
          <w:lang w:val="en-US"/>
        </w:rPr>
      </w:pPr>
    </w:p>
    <w:p w:rsidR="00B14648" w:rsidRDefault="00B14648" w:rsidP="00B14648">
      <w:pPr>
        <w:rPr>
          <w:lang w:val="en-US"/>
        </w:rPr>
      </w:pPr>
      <w:r w:rsidRPr="00B14648">
        <w:rPr>
          <w:lang w:val="en-US"/>
        </w:rPr>
        <w: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 concentration of the highest incomes and wealth (top-shares). In contrast to most other examined countries, Switzerland did not experience a reduction in income and wealth concentration from the pre-First World War period to the decades following the </w:t>
      </w:r>
      <w:proofErr w:type="gramStart"/>
      <w:r w:rsidRPr="00B14648">
        <w:rPr>
          <w:lang w:val="en-US"/>
        </w:rPr>
        <w:t>second</w:t>
      </w:r>
      <w:proofErr w:type="gramEnd"/>
      <w:r w:rsidRPr="00B14648">
        <w:rPr>
          <w:lang w:val="en-US"/>
        </w:rPr>
        <w:t xml:space="preserve"> World War (up to 1996). Using the same approach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 to 2008 finding that the share of top income has </w:t>
      </w:r>
      <w:proofErr w:type="gramStart"/>
      <w:r w:rsidRPr="00B14648">
        <w:rPr>
          <w:lang w:val="en-US"/>
        </w:rPr>
        <w:t>risen</w:t>
      </w:r>
      <w:proofErr w:type="gramEnd"/>
      <w:r w:rsidRPr="00B14648">
        <w:rPr>
          <w:lang w:val="en-US"/>
        </w:rPr>
        <w:t xml:space="preserve">, the top 0.01% share even doubled in the last observed 20 years. </w:t>
      </w:r>
      <w:proofErr w:type="gramStart"/>
      <w:r w:rsidRPr="00B14648">
        <w:rPr>
          <w:lang w:val="en-US"/>
        </w:rPr>
        <w:t>A result which oppos</w:t>
      </w:r>
      <w:r w:rsidR="001232D9">
        <w:rPr>
          <w:lang w:val="en-US"/>
        </w:rPr>
        <w:t>es the outcome of official data.</w:t>
      </w:r>
      <w:proofErr w:type="gramEnd"/>
    </w:p>
    <w:p w:rsidR="00B14648" w:rsidRPr="00B14648" w:rsidRDefault="00B14648" w:rsidP="00B14648">
      <w:pPr>
        <w:rPr>
          <w:lang w:val="en-US"/>
        </w:rPr>
      </w:pPr>
    </w:p>
    <w:p w:rsidR="00B92879" w:rsidRDefault="00B14648" w:rsidP="00B14648">
      <w:pPr>
        <w:rPr>
          <w:lang w:val="en-US"/>
        </w:rPr>
      </w:pPr>
      <w:r w:rsidRPr="00B14648">
        <w:rPr>
          <w:lang w:val="en-US"/>
        </w:rPr>
        <w:t xml:space="preserve">To sum it up briefly: </w:t>
      </w:r>
      <w:r w:rsidR="006943AC">
        <w:rPr>
          <w:lang w:val="en-US"/>
        </w:rPr>
        <w:t>survey</w:t>
      </w:r>
      <w:r w:rsidRPr="00B14648">
        <w:rPr>
          <w:lang w:val="en-US"/>
        </w:rPr>
        <w:t xml:space="preserve"> studies suggest a declining trend in income inequality while top-share studies argue that the concentration of income at the top of the distribution is rising. </w:t>
      </w:r>
      <w:r w:rsidR="00860C48">
        <w:rPr>
          <w:lang w:val="en-US"/>
        </w:rPr>
        <w:t xml:space="preserve">Differences </w:t>
      </w:r>
      <w:r w:rsidR="00860C48" w:rsidRPr="00B14648">
        <w:rPr>
          <w:lang w:val="en-US"/>
        </w:rPr>
        <w:t>can be explained with several factors.</w:t>
      </w:r>
      <w:r w:rsidR="00860C48">
        <w:rPr>
          <w:lang w:val="en-US"/>
        </w:rPr>
        <w:t xml:space="preserve"> As described in section </w:t>
      </w:r>
      <w:r w:rsidR="00860C48">
        <w:rPr>
          <w:lang w:val="en-US"/>
        </w:rPr>
        <w:fldChar w:fldCharType="begin"/>
      </w:r>
      <w:r w:rsidR="00860C48">
        <w:rPr>
          <w:lang w:val="en-US"/>
        </w:rPr>
        <w:instrText xml:space="preserve"> REF _Ref399330537 \r \h </w:instrText>
      </w:r>
      <w:r w:rsidR="00860C48">
        <w:rPr>
          <w:lang w:val="en-US"/>
        </w:rPr>
      </w:r>
      <w:r w:rsidR="00860C48">
        <w:rPr>
          <w:lang w:val="en-US"/>
        </w:rPr>
        <w:fldChar w:fldCharType="separate"/>
      </w:r>
      <w:r w:rsidR="00860C48">
        <w:rPr>
          <w:lang w:val="en-US"/>
        </w:rPr>
        <w:t>2</w:t>
      </w:r>
      <w:r w:rsidR="00860C48">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860C48">
        <w:rPr>
          <w:lang w:val="en-US"/>
        </w:rPr>
        <w:t>3</w:t>
      </w:r>
      <w:r w:rsidR="00860C48">
        <w:rPr>
          <w:lang w:val="en-US"/>
        </w:rPr>
        <w:fldChar w:fldCharType="end"/>
      </w:r>
      <w:r w:rsidR="00860C48">
        <w:rPr>
          <w:lang w:val="en-US"/>
        </w:rPr>
        <w:t xml:space="preserve"> the choice of data source comes al</w:t>
      </w:r>
      <w:r w:rsidR="000F66A6">
        <w:rPr>
          <w:lang w:val="en-US"/>
        </w:rPr>
        <w:t>ong with several implications</w:t>
      </w:r>
      <w:r w:rsidR="006943AC">
        <w:rPr>
          <w:lang w:val="en-US"/>
        </w:rPr>
        <w:t>, sometimes these implications get closer the ideal standard, sometimes they are away</w:t>
      </w:r>
      <w:r w:rsidR="000F66A6">
        <w:rPr>
          <w:lang w:val="en-US"/>
        </w:rPr>
        <w:t xml:space="preserve">. </w:t>
      </w:r>
      <w:r w:rsidR="000F66A6" w:rsidRPr="00B14648">
        <w:rPr>
          <w:lang w:val="en-US"/>
        </w:rPr>
        <w:t xml:space="preserve">First of all, </w:t>
      </w:r>
      <w:r w:rsidR="000F66A6">
        <w:rPr>
          <w:lang w:val="en-US"/>
        </w:rPr>
        <w:t>i</w:t>
      </w:r>
      <w:r w:rsidR="000F66A6" w:rsidRPr="00B14648">
        <w:rPr>
          <w:lang w:val="en-US"/>
        </w:rPr>
        <w:t xml:space="preserve">t is assumed that the coverage of top incomes is better in tax data than it is in survey data (non-respondent bias), which is a crucial issue concerning inequality. On the other hand the focus on top income neglects other changes in the distribution of income as it is not possible to see, whether newer concerns like the “hollowing of the middle class” occurred in </w:t>
      </w:r>
      <w:r w:rsidR="000F66A6" w:rsidRPr="00B14648">
        <w:rPr>
          <w:lang w:val="en-US"/>
        </w:rPr>
        <w:lastRenderedPageBreak/>
        <w:t xml:space="preserve">Switzerland or not, which leads to the second point. Different measure of inequality hampers the comparability. Third, different income concepts were used. As it is shown by </w:t>
      </w:r>
      <w:proofErr w:type="spellStart"/>
      <w:r w:rsidR="000F66A6" w:rsidRPr="00B14648">
        <w:rPr>
          <w:lang w:val="en-US"/>
        </w:rPr>
        <w:t>Modetta</w:t>
      </w:r>
      <w:proofErr w:type="spellEnd"/>
      <w:r w:rsidR="000F66A6" w:rsidRPr="00B14648">
        <w:rPr>
          <w:lang w:val="en-US"/>
        </w:rPr>
        <w:t xml:space="preserve"> and Müller (2012) income distribution is strongly affected by governmental redistribution through social transfers and taxes, reducing inequality substantially. With the focus on tax data the change in institutional settings is not covered. Fourth, tax data also neglect the household structure, because tax units don’t necessarily correspond to households. Whereas it is unclear how inequality is affected whether one looks at household income or at income of tax units. It can be assumed, that inequality corresponding to different concepts reacts differently on demographic change (change in household structure).</w:t>
      </w:r>
      <w:r w:rsidR="000F66A6">
        <w:rPr>
          <w:lang w:val="en-US"/>
        </w:rPr>
        <w:t xml:space="preserve"> </w:t>
      </w:r>
    </w:p>
    <w:p w:rsidR="00B92879" w:rsidRDefault="00B92879" w:rsidP="00B14648">
      <w:pPr>
        <w:rPr>
          <w:lang w:val="en-US"/>
        </w:rPr>
      </w:pPr>
    </w:p>
    <w:p w:rsidR="000F66A6" w:rsidRDefault="000F66A6" w:rsidP="00B14648">
      <w:pPr>
        <w:rPr>
          <w:lang w:val="en-US"/>
        </w:rPr>
      </w:pPr>
      <w:r>
        <w:rPr>
          <w:lang w:val="en-US"/>
        </w:rPr>
        <w:t xml:space="preserve">In the end it is unclear, if the different </w:t>
      </w:r>
      <w:r w:rsidR="00B92879">
        <w:rPr>
          <w:lang w:val="en-US"/>
        </w:rPr>
        <w:t>interpretation</w:t>
      </w:r>
      <w:r>
        <w:rPr>
          <w:lang w:val="en-US"/>
        </w:rPr>
        <w:t xml:space="preserve"> concerning the trend in income inequality only arises because different concepts</w:t>
      </w:r>
      <w:r w:rsidR="00B92879">
        <w:rPr>
          <w:lang w:val="en-US"/>
        </w:rPr>
        <w:t xml:space="preserve"> were used</w:t>
      </w:r>
      <w:r>
        <w:rPr>
          <w:lang w:val="en-US"/>
        </w:rPr>
        <w:t xml:space="preserve"> </w:t>
      </w:r>
      <w:r w:rsidR="00B92879">
        <w:rPr>
          <w:lang w:val="en-US"/>
        </w:rPr>
        <w:t>or because of coverage issues.</w:t>
      </w:r>
    </w:p>
    <w:p w:rsidR="00860C48" w:rsidRPr="00B92879" w:rsidRDefault="00B14648" w:rsidP="00154023">
      <w:pPr>
        <w:pStyle w:val="berschrift1"/>
        <w:rPr>
          <w:lang w:val="en-US"/>
        </w:rPr>
      </w:pPr>
      <w:bookmarkStart w:id="22" w:name="_Toc399324953"/>
      <w:r w:rsidRPr="00B14648">
        <w:rPr>
          <w:lang w:val="en-US"/>
        </w:rPr>
        <w:t>Assessing income inequality trend with tax data for Switzerland</w:t>
      </w:r>
      <w:bookmarkEnd w:id="22"/>
    </w:p>
    <w:p w:rsidR="00154023" w:rsidRDefault="006943AC" w:rsidP="00154023">
      <w:pPr>
        <w:rPr>
          <w:lang w:val="en-US"/>
        </w:rPr>
      </w:pPr>
      <w:r>
        <w:rPr>
          <w:lang w:val="en-US"/>
        </w:rPr>
        <w:t>As just showed, the use of different data sources</w:t>
      </w:r>
      <w:r w:rsidR="001F533F">
        <w:rPr>
          <w:lang w:val="en-US"/>
        </w:rPr>
        <w:t xml:space="preserve"> and different concepts</w:t>
      </w:r>
      <w:r>
        <w:rPr>
          <w:lang w:val="en-US"/>
        </w:rPr>
        <w:t xml:space="preserve"> can lead to different interpretations</w:t>
      </w:r>
      <w:r w:rsidR="001F533F">
        <w:rPr>
          <w:lang w:val="en-US"/>
        </w:rPr>
        <w:t>, albeit looking at the same time period.</w:t>
      </w:r>
      <w:commentRangeStart w:id="23"/>
      <w:r w:rsidR="001F533F">
        <w:rPr>
          <w:lang w:val="en-US"/>
        </w:rPr>
        <w:t xml:space="preserve"> </w:t>
      </w:r>
      <w:r>
        <w:rPr>
          <w:lang w:val="en-US"/>
        </w:rPr>
        <w:t>In this section we therefore have a closer look at</w:t>
      </w:r>
      <w:r w:rsidR="001F533F">
        <w:rPr>
          <w:lang w:val="en-US"/>
        </w:rPr>
        <w:t xml:space="preserve"> choices that have to be made concerning the four dimensions 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1F533F">
        <w:rPr>
          <w:lang w:val="en-US"/>
        </w:rPr>
        <w:t>2</w:t>
      </w:r>
      <w:r w:rsidR="001F533F">
        <w:rPr>
          <w:lang w:val="en-US"/>
        </w:rPr>
        <w:fldChar w:fldCharType="end"/>
      </w:r>
      <w:r w:rsidR="001F533F">
        <w:rPr>
          <w:lang w:val="en-US"/>
        </w:rPr>
        <w:t xml:space="preserve"> when working with tax data. </w:t>
      </w:r>
      <w:commentRangeEnd w:id="23"/>
      <w:r w:rsidR="00C715C7">
        <w:rPr>
          <w:rStyle w:val="Kommentarzeichen"/>
        </w:rPr>
        <w:commentReference w:id="23"/>
      </w:r>
      <w:r w:rsidR="001F533F">
        <w:rPr>
          <w:lang w:val="en-US"/>
        </w:rPr>
        <w:t xml:space="preserve">We therefore have a closer look at </w:t>
      </w:r>
      <w:r w:rsidR="00C715C7">
        <w:rPr>
          <w:lang w:val="en-US"/>
        </w:rPr>
        <w:t xml:space="preserve">income </w:t>
      </w:r>
      <w:r>
        <w:rPr>
          <w:lang w:val="en-US"/>
        </w:rPr>
        <w:t>tax data</w:t>
      </w:r>
      <w:r w:rsidR="001F533F">
        <w:rPr>
          <w:lang w:val="en-US"/>
        </w:rPr>
        <w:t xml:space="preserve"> for individuals (not legal persons)</w:t>
      </w:r>
      <w:r>
        <w:rPr>
          <w:lang w:val="en-US"/>
        </w:rPr>
        <w:t xml:space="preserve"> published by the Swiss Federal Tax Administration (FTA)</w:t>
      </w:r>
      <w:r w:rsidR="001F533F">
        <w:rPr>
          <w:lang w:val="en-US"/>
        </w:rPr>
        <w:t>.</w:t>
      </w:r>
      <w:r>
        <w:rPr>
          <w:rStyle w:val="Funotenzeichen"/>
          <w:lang w:val="en-US"/>
        </w:rPr>
        <w:footnoteReference w:id="1"/>
      </w:r>
      <w:r w:rsidR="001F533F">
        <w:rPr>
          <w:lang w:val="en-US"/>
        </w:rPr>
        <w:t xml:space="preserve"> </w:t>
      </w:r>
      <w:r w:rsidR="001F533F" w:rsidRPr="00154023">
        <w:rPr>
          <w:lang w:val="en-US"/>
        </w:rPr>
        <w:t xml:space="preserve">To get a feeling of the importance of </w:t>
      </w:r>
      <w:r w:rsidR="001F533F">
        <w:rPr>
          <w:lang w:val="en-US"/>
        </w:rPr>
        <w:t>the four dimensions</w:t>
      </w:r>
      <w:r w:rsidR="001F533F" w:rsidRPr="00154023">
        <w:rPr>
          <w:lang w:val="en-US"/>
        </w:rPr>
        <w:t xml:space="preserve">, we exploit the FTA-tax data as far as possible and perform </w:t>
      </w:r>
      <w:r w:rsidR="001F533F">
        <w:rPr>
          <w:lang w:val="en-US"/>
        </w:rPr>
        <w:t xml:space="preserve">several insightful calculations. </w:t>
      </w:r>
      <w:r w:rsidR="001F533F" w:rsidRPr="00154023">
        <w:rPr>
          <w:lang w:val="en-US"/>
        </w:rPr>
        <w:t xml:space="preserve">In general our main strategy is to apply different possible concepts within one </w:t>
      </w:r>
      <w:proofErr w:type="spellStart"/>
      <w:r w:rsidR="001F533F" w:rsidRPr="00154023">
        <w:rPr>
          <w:lang w:val="en-US"/>
        </w:rPr>
        <w:t>conceptional</w:t>
      </w:r>
      <w:proofErr w:type="spellEnd"/>
      <w:r w:rsidR="001F533F" w:rsidRPr="00154023">
        <w:rPr>
          <w:lang w:val="en-US"/>
        </w:rPr>
        <w:t xml:space="preserve"> area (</w:t>
      </w:r>
      <w:r w:rsidR="00C715C7">
        <w:rPr>
          <w:lang w:val="en-US"/>
        </w:rPr>
        <w:t>measurement concepts</w:t>
      </w:r>
      <w:r w:rsidR="001F533F" w:rsidRPr="00154023">
        <w:rPr>
          <w:lang w:val="en-US"/>
        </w:rPr>
        <w:t>,</w:t>
      </w:r>
      <w:r w:rsidR="00C715C7">
        <w:rPr>
          <w:lang w:val="en-US"/>
        </w:rPr>
        <w:t xml:space="preserve"> statistical</w:t>
      </w:r>
      <w:r w:rsidR="001F533F" w:rsidRPr="00154023">
        <w:rPr>
          <w:lang w:val="en-US"/>
        </w:rPr>
        <w:t xml:space="preserve"> units, </w:t>
      </w:r>
      <w:r w:rsidR="00C715C7">
        <w:rPr>
          <w:lang w:val="en-US"/>
        </w:rPr>
        <w:t>measuring inequality</w:t>
      </w:r>
      <w:r w:rsidR="001F533F" w:rsidRPr="00154023">
        <w:rPr>
          <w:lang w:val="en-US"/>
        </w:rPr>
        <w:t xml:space="preserve">, </w:t>
      </w:r>
      <w:r w:rsidR="00C715C7">
        <w:rPr>
          <w:lang w:val="en-US"/>
        </w:rPr>
        <w:t>coverage</w:t>
      </w:r>
      <w:r w:rsidR="001F533F" w:rsidRPr="00154023">
        <w:rPr>
          <w:lang w:val="en-US"/>
        </w:rPr>
        <w:t xml:space="preserve"> </w:t>
      </w:r>
      <w:r w:rsidR="00C715C7">
        <w:rPr>
          <w:lang w:val="en-US"/>
        </w:rPr>
        <w:t>Issues</w:t>
      </w:r>
      <w:r w:rsidR="001F533F" w:rsidRPr="00154023">
        <w:rPr>
          <w:lang w:val="en-US"/>
        </w:rPr>
        <w:t xml:space="preserve">) while holding other conceptual differences constant. </w:t>
      </w:r>
      <w:r w:rsidR="00C715C7">
        <w:rPr>
          <w:lang w:val="en-US"/>
        </w:rPr>
        <w:t>Where possible, we compare results from tax data to results from survey data</w:t>
      </w:r>
      <w:r w:rsidR="00C715C7">
        <w:rPr>
          <w:rStyle w:val="Funotenzeichen"/>
          <w:lang w:val="en-US"/>
        </w:rPr>
        <w:footnoteReference w:id="2"/>
      </w:r>
      <w:r w:rsidR="00941937">
        <w:rPr>
          <w:lang w:val="en-US"/>
        </w:rPr>
        <w:t>.</w:t>
      </w:r>
      <w:r w:rsidR="006003AB">
        <w:rPr>
          <w:lang w:val="en-US"/>
        </w:rPr>
        <w:t xml:space="preserve"> </w:t>
      </w:r>
      <w:r w:rsidR="00941937">
        <w:rPr>
          <w:lang w:val="en-US"/>
        </w:rPr>
        <w:t>W</w:t>
      </w:r>
      <w:r w:rsidR="00941937" w:rsidRPr="00154023">
        <w:rPr>
          <w:lang w:val="en-US"/>
        </w:rPr>
        <w:t>ith</w:t>
      </w:r>
      <w:r w:rsidR="001F533F" w:rsidRPr="00154023">
        <w:rPr>
          <w:lang w:val="en-US"/>
        </w:rPr>
        <w:t xml:space="preserve"> this strategy we want to show, the sensitiveness</w:t>
      </w:r>
      <w:r w:rsidR="006003AB">
        <w:rPr>
          <w:lang w:val="en-US"/>
        </w:rPr>
        <w:t xml:space="preserve"> researchers have to make</w:t>
      </w:r>
      <w:r w:rsidR="001F533F" w:rsidRPr="00154023">
        <w:rPr>
          <w:lang w:val="en-US"/>
        </w:rPr>
        <w:t xml:space="preserve"> </w:t>
      </w:r>
      <w:r w:rsidR="001F533F">
        <w:rPr>
          <w:lang w:val="en-US"/>
        </w:rPr>
        <w:t xml:space="preserve">concerning the </w:t>
      </w:r>
      <w:r w:rsidR="001F533F" w:rsidRPr="00154023">
        <w:rPr>
          <w:lang w:val="en-US"/>
        </w:rPr>
        <w:t>assessment</w:t>
      </w:r>
      <w:r w:rsidR="001F533F">
        <w:rPr>
          <w:lang w:val="en-US"/>
        </w:rPr>
        <w:t xml:space="preserve"> of inequality</w:t>
      </w:r>
      <w:r w:rsidR="001F533F" w:rsidRPr="00154023">
        <w:rPr>
          <w:lang w:val="en-US"/>
        </w:rPr>
        <w:t xml:space="preserve">. </w:t>
      </w:r>
    </w:p>
    <w:p w:rsidR="00154023" w:rsidRDefault="00154023" w:rsidP="00154023">
      <w:pPr>
        <w:pStyle w:val="berschrift2"/>
        <w:rPr>
          <w:lang w:val="en-US"/>
        </w:rPr>
      </w:pPr>
      <w:bookmarkStart w:id="24" w:name="_Toc399324954"/>
      <w:r w:rsidRPr="00154023">
        <w:rPr>
          <w:lang w:val="en-US"/>
        </w:rPr>
        <w:t>Tax statistics in Switzerland</w:t>
      </w:r>
      <w:bookmarkEnd w:id="24"/>
    </w:p>
    <w:p w:rsidR="00154023" w:rsidRDefault="00154023" w:rsidP="00154023">
      <w:pPr>
        <w:rPr>
          <w:lang w:val="en-US"/>
        </w:rPr>
      </w:pPr>
    </w:p>
    <w:p w:rsidR="0069494D" w:rsidRDefault="00154023" w:rsidP="00154023">
      <w:pPr>
        <w:rPr>
          <w:lang w:val="en-US"/>
        </w:rPr>
      </w:pPr>
      <w:r w:rsidRPr="00154023">
        <w:rPr>
          <w:lang w:val="en-US"/>
        </w:rPr>
        <w:t>Federal taxes are collected and documented by the FTA since 1915. Being called a war-tax in the beginning, the federal tax was renamed to crisis levy in 1934, defense-tax in 1939 and is finally known as direct federal tax since 1983. The time frame we were able to collect ranges from 1945 to 2010 including 44 tax periods</w:t>
      </w:r>
      <w:r w:rsidR="006003AB">
        <w:rPr>
          <w:rStyle w:val="Funotenzeichen"/>
          <w:lang w:val="en-US"/>
        </w:rPr>
        <w:footnoteReference w:id="3"/>
      </w:r>
      <w:r w:rsidR="006003AB">
        <w:rPr>
          <w:lang w:val="en-US"/>
        </w:rPr>
        <w:t xml:space="preserve">. </w:t>
      </w:r>
      <w:r w:rsidRPr="00154023">
        <w:rPr>
          <w:lang w:val="en-US"/>
        </w:rPr>
        <w:t xml:space="preserve"> </w:t>
      </w:r>
      <w:commentRangeStart w:id="25"/>
      <w:r w:rsidRPr="00154023">
        <w:rPr>
          <w:lang w:val="en-US"/>
        </w:rPr>
        <w:t>While the FTA provides data in electronic form since 1973 we collected earlier data by scanning hard copies</w:t>
      </w:r>
      <w:commentRangeEnd w:id="25"/>
      <w:r w:rsidR="006003AB">
        <w:rPr>
          <w:rStyle w:val="Kommentarzeichen"/>
        </w:rPr>
        <w:commentReference w:id="25"/>
      </w:r>
      <w:r w:rsidRPr="00154023">
        <w:rPr>
          <w:lang w:val="en-US"/>
        </w:rPr>
        <w:t xml:space="preserve">. Data is available for Switzerland plus all cantons and basically covers every </w:t>
      </w:r>
      <w:r w:rsidR="00091C2D">
        <w:rPr>
          <w:lang w:val="en-US"/>
        </w:rPr>
        <w:t xml:space="preserve">individual </w:t>
      </w:r>
      <w:r w:rsidRPr="00154023">
        <w:rPr>
          <w:lang w:val="en-US"/>
        </w:rPr>
        <w:t>in Switzerland liable to pay federal taxes.</w:t>
      </w:r>
      <w:r w:rsidR="006003AB">
        <w:rPr>
          <w:lang w:val="en-US"/>
        </w:rPr>
        <w:t xml:space="preserve"> </w:t>
      </w:r>
      <w:r w:rsidR="0069494D">
        <w:rPr>
          <w:lang w:val="en-US"/>
        </w:rPr>
        <w:t>In general d</w:t>
      </w:r>
      <w:r w:rsidRPr="00154023">
        <w:rPr>
          <w:lang w:val="en-US"/>
        </w:rPr>
        <w:t xml:space="preserve">ata is provided by the FTA in an aggregate form for privacy reasons, i.e. they are classified into numerous income brackets. </w:t>
      </w:r>
      <w:r w:rsidR="008C2F1A">
        <w:rPr>
          <w:lang w:val="en-US"/>
        </w:rPr>
        <w:t>Additionally t</w:t>
      </w:r>
      <w:r w:rsidR="0069494D">
        <w:rPr>
          <w:lang w:val="en-US"/>
        </w:rPr>
        <w:t xml:space="preserve">he FTA publishes </w:t>
      </w:r>
      <w:r w:rsidR="008C2F1A">
        <w:rPr>
          <w:lang w:val="en-US"/>
        </w:rPr>
        <w:t>statistical key figures based on the federal tax statistics</w:t>
      </w:r>
      <w:r w:rsidR="008C2F1A">
        <w:rPr>
          <w:rStyle w:val="Funotenzeichen"/>
          <w:lang w:val="en-US"/>
        </w:rPr>
        <w:footnoteReference w:id="4"/>
      </w:r>
      <w:r w:rsidR="005B4CDB">
        <w:rPr>
          <w:lang w:val="en-US"/>
        </w:rPr>
        <w:t xml:space="preserve">. This figures include </w:t>
      </w:r>
      <w:proofErr w:type="spellStart"/>
      <w:r w:rsidR="005B4CDB">
        <w:rPr>
          <w:lang w:val="en-US"/>
        </w:rPr>
        <w:t>gini</w:t>
      </w:r>
      <w:proofErr w:type="spellEnd"/>
      <w:r w:rsidR="005B4CDB">
        <w:rPr>
          <w:lang w:val="en-US"/>
        </w:rPr>
        <w:t xml:space="preserve">-coefficients and percentiles ranging from 1973-1974 to </w:t>
      </w:r>
      <w:r w:rsidR="00091C2D">
        <w:rPr>
          <w:lang w:val="en-US"/>
        </w:rPr>
        <w:t xml:space="preserve">2010 </w:t>
      </w:r>
      <w:r w:rsidR="005B4CDB">
        <w:rPr>
          <w:lang w:val="en-US"/>
        </w:rPr>
        <w:t xml:space="preserve">only </w:t>
      </w:r>
      <w:r w:rsidR="00091C2D">
        <w:rPr>
          <w:lang w:val="en-US"/>
        </w:rPr>
        <w:t xml:space="preserve">individuals, who had to pay federal taxes and from 1995-1996 for all taxable individuals. </w:t>
      </w:r>
      <w:r w:rsidR="005B4CDB">
        <w:rPr>
          <w:lang w:val="en-US"/>
        </w:rPr>
        <w:t xml:space="preserve">  </w:t>
      </w:r>
    </w:p>
    <w:p w:rsidR="00091C2D" w:rsidRDefault="00091C2D" w:rsidP="00154023">
      <w:pPr>
        <w:rPr>
          <w:lang w:val="en-US"/>
        </w:rPr>
      </w:pPr>
    </w:p>
    <w:p w:rsidR="00091C2D" w:rsidRDefault="00091C2D" w:rsidP="00154023">
      <w:pPr>
        <w:rPr>
          <w:lang w:val="en-US"/>
        </w:rPr>
      </w:pPr>
    </w:p>
    <w:p w:rsidR="00154023" w:rsidRDefault="00154023" w:rsidP="00154023">
      <w:pPr>
        <w:pStyle w:val="berschrift2"/>
        <w:rPr>
          <w:lang w:val="en-US"/>
        </w:rPr>
      </w:pPr>
      <w:bookmarkStart w:id="26" w:name="_Toc399324955"/>
      <w:r w:rsidRPr="00154023">
        <w:rPr>
          <w:lang w:val="en-US"/>
        </w:rPr>
        <w:lastRenderedPageBreak/>
        <w:t>Defining Economic resources</w:t>
      </w:r>
      <w:bookmarkEnd w:id="26"/>
    </w:p>
    <w:p w:rsidR="00154023" w:rsidRP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88351B">
        <w:rPr>
          <w:lang w:val="en-US"/>
        </w:rPr>
        <w:t>2.1</w:t>
      </w:r>
      <w:r w:rsidR="0088351B">
        <w:rPr>
          <w:lang w:val="en-US"/>
        </w:rPr>
        <w:fldChar w:fldCharType="end"/>
      </w:r>
      <w:r w:rsidRPr="00154023">
        <w:rPr>
          <w:lang w:val="en-US"/>
        </w:rPr>
        <w:t xml:space="preserve">on page </w:t>
      </w:r>
      <w:r w:rsidR="0088351B">
        <w:rPr>
          <w:lang w:val="en-US"/>
        </w:rPr>
        <w:fldChar w:fldCharType="begin"/>
      </w:r>
      <w:r w:rsidR="0088351B">
        <w:rPr>
          <w:lang w:val="en-US"/>
        </w:rPr>
        <w:instrText xml:space="preserve"> PAGEREF _Ref399337302 \h </w:instrText>
      </w:r>
      <w:r w:rsidR="0088351B">
        <w:rPr>
          <w:lang w:val="en-US"/>
        </w:rPr>
      </w:r>
      <w:r w:rsidR="0088351B">
        <w:rPr>
          <w:lang w:val="en-US"/>
        </w:rPr>
        <w:fldChar w:fldCharType="separate"/>
      </w:r>
      <w:r w:rsidR="0088351B">
        <w:rPr>
          <w:noProof/>
          <w:lang w:val="en-US"/>
        </w:rPr>
        <w:t>3</w:t>
      </w:r>
      <w:r w:rsidR="0088351B">
        <w:rPr>
          <w:lang w:val="en-US"/>
        </w:rPr>
        <w:fldChar w:fldCharType="end"/>
      </w:r>
      <w:r w:rsidRPr="00154023">
        <w:rPr>
          <w:lang w:val="en-US"/>
        </w:rPr>
        <w:t xml:space="preserve">, the recommendation is to look at income, wealth and consumption simultaneously. But </w:t>
      </w:r>
      <w:r w:rsidR="0088351B">
        <w:rPr>
          <w:lang w:val="en-US"/>
        </w:rPr>
        <w:t xml:space="preserve">the </w:t>
      </w:r>
      <w:proofErr w:type="spellStart"/>
      <w:r w:rsidR="0088351B">
        <w:rPr>
          <w:lang w:val="en-US"/>
        </w:rPr>
        <w:t>oecd</w:t>
      </w:r>
      <w:proofErr w:type="spellEnd"/>
      <w:r w:rsidR="0088351B">
        <w:rPr>
          <w:lang w:val="en-US"/>
        </w:rPr>
        <w:t xml:space="preserve"> (2013:13) is also states</w:t>
      </w:r>
      <w:r w:rsidRPr="00154023">
        <w:rPr>
          <w:lang w:val="en-US"/>
        </w:rPr>
        <w:t>:</w:t>
      </w:r>
      <w:proofErr w:type="gramStart"/>
      <w:r w:rsidRPr="00154023">
        <w:rPr>
          <w:lang w:val="en-US"/>
        </w:rPr>
        <w:t>”[</w:t>
      </w:r>
      <w:proofErr w:type="gramEnd"/>
      <w:r w:rsidRPr="00154023">
        <w:rPr>
          <w:lang w:val="en-US"/>
        </w:rPr>
        <w:t xml:space="preserve">...] integrated analysis at the household level has significant data requirements that go beyond the measurement efforts currently undertaken in most countries. This last statement holds for Switzerland too, although the HBS study is strongly influenced by the recommendations of the Canberra group handbook (United Nations, 2011), which concepts </w:t>
      </w:r>
      <w:proofErr w:type="gramStart"/>
      <w:r w:rsidRPr="00154023">
        <w:rPr>
          <w:lang w:val="en-US"/>
        </w:rPr>
        <w:t>are part</w:t>
      </w:r>
      <w:proofErr w:type="gramEnd"/>
      <w:r w:rsidRPr="00154023">
        <w:rPr>
          <w:lang w:val="en-US"/>
        </w:rPr>
        <w:t xml:space="preserve"> of the ICW framework. Federal Tax Administration (FTA) publishes statistics on income and wealth but it is not possible to analyze the joint distribution on the individual or household level. Also measures of consumption are largely missing in tax data.</w:t>
      </w:r>
    </w:p>
    <w:p w:rsidR="00154023" w:rsidRPr="00154023" w:rsidRDefault="00154023" w:rsidP="00154023">
      <w:pPr>
        <w:rPr>
          <w:lang w:val="en-US"/>
        </w:rPr>
      </w:pPr>
    </w:p>
    <w:p w:rsidR="00154023" w:rsidRDefault="0088351B" w:rsidP="00154023">
      <w:pPr>
        <w:rPr>
          <w:lang w:val="en-US"/>
        </w:rPr>
      </w:pPr>
      <w:r>
        <w:rPr>
          <w:lang w:val="en-US"/>
        </w:rPr>
        <w:t>When focusing on income the</w:t>
      </w:r>
      <w:r w:rsidR="00154023" w:rsidRPr="00154023">
        <w:rPr>
          <w:lang w:val="en-US"/>
        </w:rPr>
        <w:t xml:space="preserve"> central </w:t>
      </w:r>
      <w:r>
        <w:rPr>
          <w:lang w:val="en-US"/>
        </w:rPr>
        <w:t>measure</w:t>
      </w:r>
      <w:r w:rsidR="00154023" w:rsidRPr="00154023">
        <w:rPr>
          <w:lang w:val="en-US"/>
        </w:rPr>
        <w:t xml:space="preserve"> reported through tax statistics is taxable income. It includes all reported incomes (income from employment, income from p</w:t>
      </w:r>
      <w:r w:rsidR="00091C2D">
        <w:rPr>
          <w:lang w:val="en-US"/>
        </w:rPr>
        <w:t>roperty and received transfers</w:t>
      </w:r>
      <w:r w:rsidR="00091C2D">
        <w:rPr>
          <w:rStyle w:val="Funotenzeichen"/>
          <w:lang w:val="en-US"/>
        </w:rPr>
        <w:footnoteReference w:id="5"/>
      </w:r>
      <w:r w:rsidR="00154023" w:rsidRPr="00154023">
        <w:rPr>
          <w:lang w:val="en-US"/>
        </w:rPr>
        <w:t xml:space="preserve"> ) minus several deductions. It is therefore neither a pre-transfer income</w:t>
      </w:r>
      <w:r>
        <w:rPr>
          <w:lang w:val="en-US"/>
        </w:rPr>
        <w:t xml:space="preserve"> (because it includes social transfer)</w:t>
      </w:r>
      <w:r w:rsidR="00154023" w:rsidRPr="00154023">
        <w:rPr>
          <w:lang w:val="en-US"/>
        </w:rPr>
        <w:t xml:space="preserve"> nor a post-transfer income</w:t>
      </w:r>
      <w:r>
        <w:rPr>
          <w:lang w:val="en-US"/>
        </w:rPr>
        <w:t xml:space="preserve"> (because taxes are neglected)</w:t>
      </w:r>
      <w:r w:rsidR="00154023" w:rsidRPr="00154023">
        <w:rPr>
          <w:lang w:val="en-US"/>
        </w:rPr>
        <w:t xml:space="preserve">. </w:t>
      </w:r>
      <w:r w:rsidRPr="00154023">
        <w:rPr>
          <w:lang w:val="en-US"/>
        </w:rPr>
        <w:t>R</w:t>
      </w:r>
      <w:r w:rsidR="00154023" w:rsidRPr="00154023">
        <w:rPr>
          <w:lang w:val="en-US"/>
        </w:rPr>
        <w:t>ather</w:t>
      </w:r>
      <w:r>
        <w:rPr>
          <w:lang w:val="en-US"/>
        </w:rPr>
        <w:t xml:space="preserve"> it is</w:t>
      </w:r>
      <w:r w:rsidR="00154023" w:rsidRPr="00154023">
        <w:rPr>
          <w:lang w:val="en-US"/>
        </w:rPr>
        <w:t xml:space="preserve"> something in between. As the FTA tax statistics inclu</w:t>
      </w:r>
      <w:r>
        <w:rPr>
          <w:lang w:val="en-US"/>
        </w:rPr>
        <w:t>de some but not all deductions</w:t>
      </w:r>
      <w:r>
        <w:rPr>
          <w:rStyle w:val="Funotenzeichen"/>
          <w:lang w:val="en-US"/>
        </w:rPr>
        <w:footnoteReference w:id="6"/>
      </w:r>
      <w:r w:rsidR="00154023" w:rsidRPr="00154023">
        <w:rPr>
          <w:lang w:val="en-US"/>
        </w:rPr>
        <w:t xml:space="preserve"> it is possible to calculate a sort of total in</w:t>
      </w:r>
      <w:r>
        <w:rPr>
          <w:lang w:val="en-US"/>
        </w:rPr>
        <w:t>come, which is called “net incom</w:t>
      </w:r>
      <w:r w:rsidR="00154023" w:rsidRPr="00154023">
        <w:rPr>
          <w:lang w:val="en-US"/>
        </w:rPr>
        <w:t>e” (</w:t>
      </w:r>
      <w:proofErr w:type="spellStart"/>
      <w:r w:rsidR="00154023" w:rsidRPr="00154023">
        <w:rPr>
          <w:lang w:val="en-US"/>
        </w:rPr>
        <w:t>Reineinkommen</w:t>
      </w:r>
      <w:proofErr w:type="spellEnd"/>
      <w:r w:rsidR="00154023" w:rsidRPr="00154023">
        <w:rPr>
          <w:lang w:val="en-US"/>
        </w:rPr>
        <w:t xml:space="preserve">). As some deductions can be interpreted as compulsory expenses similar to taxes the step towards total income is a step away from the income, which can be used for consumption. Similar when calculating the disposable income out of the taxable income through accounting the reported federal taxes, this is a step towards the income, which is left in the basket for consumption (disposable income). Again it is not </w:t>
      </w:r>
      <w:proofErr w:type="gramStart"/>
      <w:r w:rsidR="00154023" w:rsidRPr="00154023">
        <w:rPr>
          <w:lang w:val="en-US"/>
        </w:rPr>
        <w:t>a ”</w:t>
      </w:r>
      <w:proofErr w:type="gramEnd"/>
      <w:r w:rsidR="00154023" w:rsidRPr="00154023">
        <w:rPr>
          <w:lang w:val="en-US"/>
        </w:rPr>
        <w:t>pure” disposable income</w:t>
      </w:r>
      <w:commentRangeStart w:id="27"/>
      <w:r w:rsidR="00154023" w:rsidRPr="00154023">
        <w:rPr>
          <w:lang w:val="en-US"/>
        </w:rPr>
        <w:t>, because cantonal, municipal taxes and taxes from churches, which represent the bulk of taxes in Switzerland, are missing.</w:t>
      </w:r>
      <w:commentRangeEnd w:id="27"/>
      <w:r w:rsidR="00154023">
        <w:rPr>
          <w:rStyle w:val="Kommentarzeichen"/>
        </w:rPr>
        <w:commentReference w:id="27"/>
      </w:r>
    </w:p>
    <w:p w:rsidR="008C2F1A" w:rsidRDefault="008C2F1A" w:rsidP="00154023">
      <w:pPr>
        <w:rPr>
          <w:lang w:val="en-US"/>
        </w:rPr>
      </w:pPr>
    </w:p>
    <w:p w:rsidR="008C2F1A" w:rsidRDefault="008C2F1A" w:rsidP="008C2F1A">
      <w:pPr>
        <w:rPr>
          <w:lang w:val="en-US"/>
        </w:rPr>
      </w:pPr>
      <w:r w:rsidRPr="00154023">
        <w:rPr>
          <w:lang w:val="en-US"/>
        </w:rPr>
        <w:t>The FTA provides two income measures: taxable income and net income. Net income here is an administrative term and means taxable income plus social deductions (children and supported persons) but not including other deductions like donations or health-care costs. Both measures are designed for taxation purposes which might limit the suitability to measure inequal</w:t>
      </w:r>
      <w:r w:rsidR="005329E3">
        <w:rPr>
          <w:lang w:val="en-US"/>
        </w:rPr>
        <w:t>ity as we will discuss later</w:t>
      </w:r>
      <w:r w:rsidR="005329E3" w:rsidRPr="00154023">
        <w:rPr>
          <w:lang w:val="en-US"/>
        </w:rPr>
        <w:t>. Standards</w:t>
      </w:r>
      <w:r w:rsidRPr="00154023">
        <w:rPr>
          <w:lang w:val="en-US"/>
        </w:rPr>
        <w:t xml:space="preserve"> for measuring economic resources and inequality Concepts on measuring economic resources</w:t>
      </w:r>
    </w:p>
    <w:p w:rsidR="00091C2D" w:rsidRDefault="00091C2D" w:rsidP="008C2F1A">
      <w:pPr>
        <w:rPr>
          <w:lang w:val="en-US"/>
        </w:rPr>
      </w:pPr>
    </w:p>
    <w:p w:rsidR="00091C2D" w:rsidRPr="00091C2D" w:rsidRDefault="00091C2D" w:rsidP="008C2F1A">
      <w:r w:rsidRPr="00091C2D">
        <w:rPr>
          <w:highlight w:val="yellow"/>
        </w:rPr>
        <w:t xml:space="preserve">Was lernen wir aus den </w:t>
      </w:r>
      <w:proofErr w:type="spellStart"/>
      <w:r w:rsidRPr="00091C2D">
        <w:rPr>
          <w:highlight w:val="yellow"/>
        </w:rPr>
        <w:t>Ergebnisen</w:t>
      </w:r>
      <w:proofErr w:type="spellEnd"/>
      <w:r w:rsidRPr="00091C2D">
        <w:rPr>
          <w:highlight w:val="yellow"/>
        </w:rPr>
        <w:t>?</w:t>
      </w:r>
    </w:p>
    <w:p w:rsidR="008C2F1A" w:rsidRPr="00091C2D" w:rsidRDefault="008C2F1A" w:rsidP="00154023"/>
    <w:p w:rsidR="00154023" w:rsidRDefault="00154023" w:rsidP="00154023">
      <w:pPr>
        <w:pStyle w:val="berschrift2"/>
        <w:rPr>
          <w:lang w:val="en-US"/>
        </w:rPr>
      </w:pPr>
      <w:bookmarkStart w:id="28" w:name="_Toc399324956"/>
      <w:r w:rsidRPr="00154023">
        <w:rPr>
          <w:lang w:val="en-US"/>
        </w:rPr>
        <w:t>Statistical units</w:t>
      </w:r>
      <w:bookmarkEnd w:id="28"/>
    </w:p>
    <w:p w:rsidR="00154023" w:rsidRDefault="00154023" w:rsidP="00154023">
      <w:pPr>
        <w:rPr>
          <w:lang w:val="en-US"/>
        </w:rPr>
      </w:pPr>
    </w:p>
    <w:p w:rsidR="00154023" w:rsidRPr="00154023" w:rsidRDefault="00154023" w:rsidP="00154023">
      <w:pPr>
        <w:rPr>
          <w:lang w:val="en-US"/>
        </w:rPr>
      </w:pPr>
      <w:r w:rsidRPr="00154023">
        <w:rPr>
          <w:lang w:val="en-US"/>
        </w:rPr>
        <w:t xml:space="preserve">The usual </w:t>
      </w:r>
      <w:proofErr w:type="gramStart"/>
      <w:r w:rsidRPr="00154023">
        <w:rPr>
          <w:lang w:val="en-US"/>
        </w:rPr>
        <w:t>unit to assess inequality are</w:t>
      </w:r>
      <w:proofErr w:type="gramEnd"/>
      <w:r w:rsidRPr="00154023">
        <w:rPr>
          <w:lang w:val="en-US"/>
        </w:rPr>
        <w:t xml:space="preserve"> households, because the possibility to experience economic wellbeing is strongly affected to households (see </w:t>
      </w:r>
      <w:proofErr w:type="spellStart"/>
      <w:r w:rsidRPr="00154023">
        <w:rPr>
          <w:lang w:val="en-US"/>
        </w:rPr>
        <w:t>secetion</w:t>
      </w:r>
      <w:proofErr w:type="spellEnd"/>
      <w:r w:rsidRPr="00154023">
        <w:rPr>
          <w:lang w:val="en-US"/>
        </w:rPr>
        <w:t xml:space="preserve"> 2.b on page 4) In tax data, however, the units are represented according to ad-</w:t>
      </w:r>
      <w:proofErr w:type="spellStart"/>
      <w:r w:rsidRPr="00154023">
        <w:rPr>
          <w:lang w:val="en-US"/>
        </w:rPr>
        <w:t>ministrative</w:t>
      </w:r>
      <w:proofErr w:type="spellEnd"/>
      <w:r w:rsidRPr="00154023">
        <w:rPr>
          <w:lang w:val="en-US"/>
        </w:rPr>
        <w:t xml:space="preserve"> rules. Tax units therefore neither represent individuals in every case nor true households. Tax units rather represent individuals and couples, but couples, who are married or officially registered. This doesn’t </w:t>
      </w:r>
      <w:proofErr w:type="gramStart"/>
      <w:r w:rsidRPr="00154023">
        <w:rPr>
          <w:lang w:val="en-US"/>
        </w:rPr>
        <w:t>imply,</w:t>
      </w:r>
      <w:proofErr w:type="gramEnd"/>
      <w:r w:rsidRPr="00154023">
        <w:rPr>
          <w:lang w:val="en-US"/>
        </w:rPr>
        <w:t xml:space="preserve"> that those couples live together, as it is needed to satisfy the definition of a household. On the other hand, is it quite likely that more than one tax unit live in the same household (unmarried/unregistered couples, see Müller and </w:t>
      </w:r>
      <w:proofErr w:type="spellStart"/>
      <w:r w:rsidRPr="00154023">
        <w:rPr>
          <w:lang w:val="en-US"/>
        </w:rPr>
        <w:t>Schoch</w:t>
      </w:r>
      <w:proofErr w:type="spellEnd"/>
      <w:r w:rsidRPr="00154023">
        <w:rPr>
          <w:lang w:val="en-US"/>
        </w:rPr>
        <w:t xml:space="preserve"> (2014, 99)). It is therefore not directly possible to elicit households and household income from tax data. This might influence the assessment of inequ</w:t>
      </w:r>
      <w:commentRangeStart w:id="29"/>
      <w:r w:rsidRPr="00154023">
        <w:rPr>
          <w:lang w:val="en-US"/>
        </w:rPr>
        <w:t>ality development, taking into account the change from traditional household and family structures over the last century.</w:t>
      </w:r>
      <w:commentRangeEnd w:id="29"/>
      <w:r>
        <w:rPr>
          <w:rStyle w:val="Kommentarzeichen"/>
        </w:rPr>
        <w:commentReference w:id="29"/>
      </w:r>
    </w:p>
    <w:p w:rsidR="00154023" w:rsidRDefault="00154023" w:rsidP="00154023">
      <w:pPr>
        <w:pStyle w:val="berschrift2"/>
        <w:rPr>
          <w:lang w:val="en-US"/>
        </w:rPr>
      </w:pPr>
      <w:bookmarkStart w:id="30" w:name="_Toc399324957"/>
      <w:r w:rsidRPr="00154023">
        <w:rPr>
          <w:lang w:val="en-US"/>
        </w:rPr>
        <w:t>Measuring inequality</w:t>
      </w:r>
      <w:bookmarkEnd w:id="30"/>
    </w:p>
    <w:p w:rsidR="008C2F1A" w:rsidRDefault="008C2F1A" w:rsidP="008C2F1A">
      <w:pPr>
        <w:rPr>
          <w:lang w:val="en-US"/>
        </w:rPr>
      </w:pPr>
    </w:p>
    <w:p w:rsidR="008C2F1A" w:rsidRPr="008C2F1A" w:rsidRDefault="008C2F1A" w:rsidP="008C2F1A">
      <w:pPr>
        <w:rPr>
          <w:lang w:val="en-US"/>
        </w:rPr>
      </w:pPr>
      <w:r w:rsidRPr="00154023">
        <w:rPr>
          <w:lang w:val="en-US"/>
        </w:rPr>
        <w:lastRenderedPageBreak/>
        <w:t xml:space="preserve">While we don’t know incomes </w:t>
      </w:r>
      <w:r>
        <w:rPr>
          <w:lang w:val="en-US"/>
        </w:rPr>
        <w:t xml:space="preserve">for every single individual </w:t>
      </w:r>
      <w:r w:rsidRPr="00154023">
        <w:rPr>
          <w:lang w:val="en-US"/>
        </w:rPr>
        <w:t>we still have sufficient information (number of tax units per income bracket plus sum of incomes within each bracket) to calculate percentiles, Gini coefficients and other desired measures.</w:t>
      </w:r>
    </w:p>
    <w:p w:rsidR="00154023" w:rsidRDefault="00154023" w:rsidP="00154023">
      <w:pPr>
        <w:rPr>
          <w:lang w:val="en-US"/>
        </w:rPr>
      </w:pPr>
    </w:p>
    <w:p w:rsidR="00154023" w:rsidRPr="00154023" w:rsidRDefault="00154023" w:rsidP="00154023">
      <w:pPr>
        <w:rPr>
          <w:lang w:val="en-US"/>
        </w:rPr>
      </w:pPr>
      <w:r w:rsidRPr="00154023">
        <w:rPr>
          <w:lang w:val="en-US"/>
        </w:rPr>
        <w:t>The RD-framework is based on the concept of a ``relative distribution'', a transformation of the data from two distributions into a single distribution that contains all of the information necessary for scale-invariant comparison. This allows to make distribution differences ``visual'' in an elegant way and it is also a base for summary statistics, which are more sensitive to detailed theoretical hypotheses in contrast to other measures like the Gini-coefficient or top income-shares, which inform either about the whole population or only about the top part of the distribution.\\</w:t>
      </w:r>
    </w:p>
    <w:p w:rsidR="00154023" w:rsidRPr="00154023" w:rsidRDefault="00154023" w:rsidP="00154023">
      <w:pPr>
        <w:rPr>
          <w:lang w:val="en-US"/>
        </w:rPr>
      </w:pPr>
    </w:p>
    <w:p w:rsidR="00154023" w:rsidRPr="00154023" w:rsidRDefault="00154023" w:rsidP="00154023">
      <w:pPr>
        <w:rPr>
          <w:lang w:val="en-US"/>
        </w:rPr>
      </w:pPr>
      <w:r w:rsidRPr="00154023">
        <w:rPr>
          <w:lang w:val="en-US"/>
        </w:rPr>
        <w:t>% Probability Density function as a base for the RD</w:t>
      </w:r>
    </w:p>
    <w:p w:rsidR="00154023" w:rsidRPr="00154023" w:rsidRDefault="00154023" w:rsidP="00154023">
      <w:pPr>
        <w:rPr>
          <w:lang w:val="en-US"/>
        </w:rPr>
      </w:pPr>
      <w:r w:rsidRPr="00154023">
        <w:rPr>
          <w:lang w:val="en-US"/>
        </w:rPr>
        <w:t>The goal of RD is to study the differences between two distributions. A common example could be the income distribution for man and women. Subject of the comparison can also be two distributions describing the same population, but stemming from two different data sources like survey or tax data or even comparison of the same source/population but for different time points, like the income distribution out of tax data for Switzerland today compared to an earlier time point. To describe how the two distributions are going to be transformed into a relative distribution, we start with defining the two distributions. One represents the reference population $Y</w:t>
      </w:r>
      <w:proofErr w:type="gramStart"/>
      <w:r w:rsidRPr="00154023">
        <w:rPr>
          <w:lang w:val="en-US"/>
        </w:rPr>
        <w:t>_{</w:t>
      </w:r>
      <w:proofErr w:type="gramEnd"/>
      <w:r w:rsidRPr="00154023">
        <w:rPr>
          <w:lang w:val="en-US"/>
        </w:rPr>
        <w:t>0}$ and the other the comparison population $Y$. $x$ represents our measure of interest (income). A first visual approach is to compare the two probability density functions (PDF). The PDF is a function $f(x</w:t>
      </w:r>
      <w:proofErr w:type="gramStart"/>
      <w:r w:rsidRPr="00154023">
        <w:rPr>
          <w:lang w:val="en-US"/>
        </w:rPr>
        <w:t>)$</w:t>
      </w:r>
      <w:proofErr w:type="gramEnd"/>
      <w:r w:rsidRPr="00154023">
        <w:rPr>
          <w:lang w:val="en-US"/>
        </w:rPr>
        <w:t xml:space="preserve"> which describes the distribution of probability over the outcome set and is defined for all possible values of $x$. This function integrates to 1, which means that the sum of all probabilities over all possible values is 100\%. Out of the comparison of the PDF, it is possible to see, which values of $x$ are more and less probable. This already allows to spot distributional differences over the whole scale of $x$ visually. \\</w:t>
      </w:r>
    </w:p>
    <w:p w:rsidR="00154023" w:rsidRPr="00154023" w:rsidRDefault="00154023" w:rsidP="00154023">
      <w:pPr>
        <w:rPr>
          <w:lang w:val="en-US"/>
        </w:rPr>
      </w:pPr>
    </w:p>
    <w:p w:rsidR="00154023" w:rsidRPr="00154023" w:rsidRDefault="00154023" w:rsidP="00154023">
      <w:pPr>
        <w:rPr>
          <w:lang w:val="en-US"/>
        </w:rPr>
      </w:pPr>
      <w:r w:rsidRPr="00154023">
        <w:rPr>
          <w:lang w:val="en-US"/>
        </w:rPr>
        <w:t>The PDF can be characterized by its cumulative distribution function (CDF). The CDF can be formulated as $F(x</w:t>
      </w:r>
      <w:proofErr w:type="gramStart"/>
      <w:r w:rsidRPr="00154023">
        <w:rPr>
          <w:lang w:val="en-US"/>
        </w:rPr>
        <w:t>)$</w:t>
      </w:r>
      <w:proofErr w:type="gramEnd"/>
      <w:r w:rsidRPr="00154023">
        <w:rPr>
          <w:lang w:val="en-US"/>
        </w:rPr>
        <w:t>, which represents the probability that a randomly chosen value is less than or equal to $x$. The relative distribution of $Y$ to $Y</w:t>
      </w:r>
      <w:proofErr w:type="gramStart"/>
      <w:r w:rsidRPr="00154023">
        <w:rPr>
          <w:lang w:val="en-US"/>
        </w:rPr>
        <w:t>_{</w:t>
      </w:r>
      <w:proofErr w:type="gramEnd"/>
      <w:r w:rsidRPr="00154023">
        <w:rPr>
          <w:lang w:val="en-US"/>
        </w:rPr>
        <w:t xml:space="preserve">0}$ is then defined as </w:t>
      </w:r>
    </w:p>
    <w:p w:rsidR="00154023" w:rsidRPr="00154023" w:rsidRDefault="00154023" w:rsidP="00154023">
      <w:pPr>
        <w:rPr>
          <w:lang w:val="en-US"/>
        </w:rPr>
      </w:pPr>
    </w:p>
    <w:p w:rsidR="00154023" w:rsidRPr="00154023" w:rsidRDefault="00154023" w:rsidP="00154023">
      <w:pPr>
        <w:rPr>
          <w:lang w:val="en-US"/>
        </w:rPr>
      </w:pPr>
      <w:r w:rsidRPr="00154023">
        <w:rPr>
          <w:lang w:val="en-US"/>
        </w:rPr>
        <w:t>\begin{equation}</w:t>
      </w:r>
    </w:p>
    <w:p w:rsidR="00154023" w:rsidRPr="00154023" w:rsidRDefault="00154023" w:rsidP="00154023">
      <w:pPr>
        <w:rPr>
          <w:lang w:val="en-US"/>
        </w:rPr>
      </w:pPr>
      <w:r w:rsidRPr="00154023">
        <w:rPr>
          <w:lang w:val="en-US"/>
        </w:rPr>
        <w:t>R=F</w:t>
      </w:r>
      <w:proofErr w:type="gramStart"/>
      <w:r w:rsidRPr="00154023">
        <w:rPr>
          <w:lang w:val="en-US"/>
        </w:rPr>
        <w:t>_{</w:t>
      </w:r>
      <w:proofErr w:type="gramEnd"/>
      <w:r w:rsidRPr="00154023">
        <w:rPr>
          <w:lang w:val="en-US"/>
        </w:rPr>
        <w:t>0}(Y)</w:t>
      </w:r>
    </w:p>
    <w:p w:rsidR="00154023" w:rsidRPr="00154023" w:rsidRDefault="00154023" w:rsidP="00154023">
      <w:pPr>
        <w:rPr>
          <w:lang w:val="en-US"/>
        </w:rPr>
      </w:pPr>
      <w:r w:rsidRPr="00154023">
        <w:rPr>
          <w:lang w:val="en-US"/>
        </w:rPr>
        <w:t>\end{equation}</w:t>
      </w:r>
    </w:p>
    <w:p w:rsidR="00154023" w:rsidRPr="00154023" w:rsidRDefault="00154023" w:rsidP="00154023">
      <w:pPr>
        <w:rPr>
          <w:lang w:val="en-US"/>
        </w:rPr>
      </w:pPr>
    </w:p>
    <w:p w:rsidR="00154023" w:rsidRPr="00154023" w:rsidRDefault="00154023" w:rsidP="00154023">
      <w:pPr>
        <w:rPr>
          <w:lang w:val="en-US"/>
        </w:rPr>
      </w:pPr>
      <w:r w:rsidRPr="00154023">
        <w:rPr>
          <w:lang w:val="en-US"/>
        </w:rPr>
        <w:t>$R$ is obtained from $Y$ by transforming it by the CDF for $Y</w:t>
      </w:r>
      <w:proofErr w:type="gramStart"/>
      <w:r w:rsidRPr="00154023">
        <w:rPr>
          <w:lang w:val="en-US"/>
        </w:rPr>
        <w:t>_{</w:t>
      </w:r>
      <w:proofErr w:type="gramEnd"/>
      <w:r w:rsidRPr="00154023">
        <w:rPr>
          <w:lang w:val="en-US"/>
        </w:rPr>
        <w:t>0}$, $F_{0}$. $R$ therefore measures the relative rank of $Y$ compared to $Y</w:t>
      </w:r>
      <w:proofErr w:type="gramStart"/>
      <w:r w:rsidRPr="00154023">
        <w:rPr>
          <w:lang w:val="en-US"/>
        </w:rPr>
        <w:t>_{</w:t>
      </w:r>
      <w:proofErr w:type="gramEnd"/>
      <w:r w:rsidRPr="00154023">
        <w:rPr>
          <w:lang w:val="en-US"/>
        </w:rPr>
        <w:t xml:space="preserve">0}$. </w:t>
      </w:r>
    </w:p>
    <w:p w:rsidR="00154023" w:rsidRPr="00154023" w:rsidRDefault="00154023" w:rsidP="00154023">
      <w:pPr>
        <w:rPr>
          <w:lang w:val="en-US"/>
        </w:rPr>
      </w:pPr>
    </w:p>
    <w:p w:rsidR="00154023" w:rsidRPr="00154023" w:rsidRDefault="00154023" w:rsidP="00154023">
      <w:pPr>
        <w:rPr>
          <w:lang w:val="en-US"/>
        </w:rPr>
      </w:pPr>
      <w:r w:rsidRPr="00154023">
        <w:rPr>
          <w:lang w:val="en-US"/>
        </w:rPr>
        <w:t>% Relative Distribution</w:t>
      </w:r>
    </w:p>
    <w:p w:rsidR="00154023" w:rsidRPr="00154023" w:rsidRDefault="00154023" w:rsidP="00154023">
      <w:pPr>
        <w:rPr>
          <w:lang w:val="en-US"/>
        </w:rPr>
      </w:pPr>
    </w:p>
    <w:p w:rsidR="00154023" w:rsidRPr="00154023" w:rsidRDefault="00154023" w:rsidP="00154023">
      <w:pPr>
        <w:rPr>
          <w:lang w:val="en-US"/>
        </w:rPr>
      </w:pPr>
    </w:p>
    <w:p w:rsidR="00154023" w:rsidRPr="00154023" w:rsidRDefault="00154023" w:rsidP="00154023">
      <w:pPr>
        <w:rPr>
          <w:lang w:val="en-US"/>
        </w:rPr>
      </w:pPr>
      <w:r w:rsidRPr="00154023">
        <w:rPr>
          <w:lang w:val="en-US"/>
        </w:rPr>
        <w:t>\begin{equation}</w:t>
      </w:r>
    </w:p>
    <w:p w:rsidR="00154023" w:rsidRPr="00154023" w:rsidRDefault="00154023" w:rsidP="00154023">
      <w:pPr>
        <w:rPr>
          <w:lang w:val="en-US"/>
        </w:rPr>
      </w:pPr>
      <w:r w:rsidRPr="00154023">
        <w:rPr>
          <w:lang w:val="en-US"/>
        </w:rPr>
        <w:t>g(r)=\</w:t>
      </w:r>
      <w:proofErr w:type="spellStart"/>
      <w:r w:rsidRPr="00154023">
        <w:rPr>
          <w:lang w:val="en-US"/>
        </w:rPr>
        <w:t>frac</w:t>
      </w:r>
      <w:proofErr w:type="spellEnd"/>
      <w:r w:rsidRPr="00154023">
        <w:rPr>
          <w:lang w:val="en-US"/>
        </w:rPr>
        <w:t>{f(F_{0}^{-1}(r))}{^{f_{0}(F_{0}^{-1}(r))}}</w:t>
      </w:r>
    </w:p>
    <w:p w:rsidR="00154023" w:rsidRPr="00154023" w:rsidRDefault="00154023" w:rsidP="00154023">
      <w:pPr>
        <w:rPr>
          <w:lang w:val="en-US"/>
        </w:rPr>
      </w:pPr>
      <w:r w:rsidRPr="00154023">
        <w:rPr>
          <w:lang w:val="en-US"/>
        </w:rPr>
        <w:t>\end{equation}</w:t>
      </w:r>
    </w:p>
    <w:p w:rsidR="00154023" w:rsidRPr="00154023" w:rsidRDefault="00154023" w:rsidP="00154023">
      <w:pPr>
        <w:rPr>
          <w:lang w:val="en-US"/>
        </w:rPr>
      </w:pPr>
    </w:p>
    <w:p w:rsidR="00154023" w:rsidRPr="00154023" w:rsidRDefault="00154023" w:rsidP="00154023">
      <w:pPr>
        <w:rPr>
          <w:lang w:val="en-US"/>
        </w:rPr>
      </w:pPr>
    </w:p>
    <w:p w:rsidR="00154023" w:rsidRPr="00154023" w:rsidRDefault="00154023" w:rsidP="00154023">
      <w:pPr>
        <w:rPr>
          <w:lang w:val="en-US"/>
        </w:rPr>
      </w:pPr>
      <w:r w:rsidRPr="00154023">
        <w:rPr>
          <w:lang w:val="en-US"/>
        </w:rPr>
        <w:t>We can calculate the Probability Density Function $g(r</w:t>
      </w:r>
      <w:proofErr w:type="gramStart"/>
      <w:r w:rsidRPr="00154023">
        <w:rPr>
          <w:lang w:val="en-US"/>
        </w:rPr>
        <w:t>)$</w:t>
      </w:r>
      <w:proofErr w:type="gramEnd"/>
      <w:r w:rsidRPr="00154023">
        <w:rPr>
          <w:lang w:val="en-US"/>
        </w:rPr>
        <w:t xml:space="preserve"> of R, where $r$ represents the proportion of values and $F_{0}^{-1}(r)$ is the inverse cumulative distribution function, also called the quantile function. $g(r</w:t>
      </w:r>
      <w:proofErr w:type="gramStart"/>
      <w:r w:rsidRPr="00154023">
        <w:rPr>
          <w:lang w:val="en-US"/>
        </w:rPr>
        <w:t>)$</w:t>
      </w:r>
      <w:proofErr w:type="gramEnd"/>
      <w:r w:rsidRPr="00154023">
        <w:rPr>
          <w:lang w:val="en-US"/>
        </w:rPr>
        <w:t xml:space="preserve"> can be interpreted as a density ratio, which is defined as the ratio of these two quantities evaluated at every percentile of the reference distribution [0,1]. With a complete overlap of both distributions the probability density function of the $R$ is 1 at every point of the PDF. On the other hand, values higher than 1 represent higher probabilities in the comparison distribution than in the references distribution at this specific point and values lower than 1 respectively represent lower probabilities. It is a proper PDF in the sense that it integrates to 1 over the unit interval.\\</w:t>
      </w:r>
    </w:p>
    <w:p w:rsidR="00154023" w:rsidRPr="00154023" w:rsidRDefault="00154023" w:rsidP="00154023">
      <w:pPr>
        <w:rPr>
          <w:lang w:val="en-US"/>
        </w:rPr>
      </w:pPr>
    </w:p>
    <w:p w:rsidR="00154023" w:rsidRPr="00154023" w:rsidRDefault="00154023" w:rsidP="00154023">
      <w:pPr>
        <w:rPr>
          <w:lang w:val="en-US"/>
        </w:rPr>
      </w:pPr>
      <w:r w:rsidRPr="00154023">
        <w:rPr>
          <w:lang w:val="en-US"/>
        </w:rPr>
        <w:t>% Median and shape differences</w:t>
      </w:r>
    </w:p>
    <w:p w:rsidR="00154023" w:rsidRPr="00154023" w:rsidRDefault="00154023" w:rsidP="00154023">
      <w:pPr>
        <w:rPr>
          <w:lang w:val="en-US"/>
        </w:rPr>
      </w:pPr>
      <w:r w:rsidRPr="00154023">
        <w:rPr>
          <w:lang w:val="en-US"/>
        </w:rPr>
        <w:t xml:space="preserve">What we got through the above transformation of two distributions is the overall relative probability density. But differences between distributions can be divided into two basic components: changes in </w:t>
      </w:r>
      <w:r w:rsidRPr="00154023">
        <w:rPr>
          <w:lang w:val="en-US"/>
        </w:rPr>
        <w:lastRenderedPageBreak/>
        <w:t xml:space="preserve">location and changes in shape. If the comparative distribution is a simple location-shifted version of the reference distribution, then the difference between the two distributions can be parsimoniously summarized by this shift. Differences that remain after a location adjustment are differences in ``shape'' (scale, </w:t>
      </w:r>
      <w:proofErr w:type="spellStart"/>
      <w:r w:rsidRPr="00154023">
        <w:rPr>
          <w:lang w:val="en-US"/>
        </w:rPr>
        <w:t>skewness</w:t>
      </w:r>
      <w:proofErr w:type="spellEnd"/>
      <w:r w:rsidRPr="00154023">
        <w:rPr>
          <w:lang w:val="en-US"/>
        </w:rPr>
        <w:t xml:space="preserve"> and other distributional characteristics). When both types of shifts are operating, or when factors other than scale are changing in the shape component, we need a way to separate out the various effects. If we want to identify the effect of a location shift and separate it from other changes in the distribution, it is necessary to specify what scale this shift operates on. It is possible to adjust distributions by any measure of central tendency. Here we choose a median location adjustment because the median is a natural, robust and scale invariant unit of measurement. Because our interest lies in analyzing distributional differences concerning the degree of inequality, we will focus in the results section on shape differences and look therefore at the relative distribution after the distributions are adjusted for location differences. </w:t>
      </w:r>
    </w:p>
    <w:p w:rsidR="00154023" w:rsidRPr="00154023" w:rsidRDefault="00154023" w:rsidP="00154023">
      <w:pPr>
        <w:rPr>
          <w:lang w:val="en-US"/>
        </w:rPr>
      </w:pPr>
    </w:p>
    <w:p w:rsidR="00154023" w:rsidRPr="00154023" w:rsidRDefault="00154023" w:rsidP="00154023">
      <w:pPr>
        <w:rPr>
          <w:lang w:val="en-US"/>
        </w:rPr>
      </w:pPr>
      <w:r w:rsidRPr="00154023">
        <w:rPr>
          <w:lang w:val="en-US"/>
        </w:rPr>
        <w:t xml:space="preserve">% R based Summary </w:t>
      </w:r>
      <w:proofErr w:type="spellStart"/>
      <w:r w:rsidRPr="00154023">
        <w:rPr>
          <w:lang w:val="en-US"/>
        </w:rPr>
        <w:t>Meausres</w:t>
      </w:r>
      <w:proofErr w:type="spellEnd"/>
    </w:p>
    <w:p w:rsidR="00154023" w:rsidRPr="00154023" w:rsidRDefault="00154023" w:rsidP="00154023">
      <w:pPr>
        <w:rPr>
          <w:lang w:val="en-US"/>
        </w:rPr>
      </w:pPr>
      <w:r w:rsidRPr="00154023">
        <w:rPr>
          <w:lang w:val="en-US"/>
        </w:rPr>
        <w:t>Distributional polarization is of particular interest in the study of inequality. However, common inequality indicators (for example Gini or Theil’s index) are not designed to distinguish between growth in the upper and lower tails. Even if the measures register increasing inequality over time, one cannot distinguish a polarization of the distribution (increases in both tails) from upgrading (increases in the upper tail) or downgrading (increases in lower tail). The polarization index developed by \</w:t>
      </w:r>
      <w:proofErr w:type="spellStart"/>
      <w:r w:rsidRPr="00154023">
        <w:rPr>
          <w:lang w:val="en-US"/>
        </w:rPr>
        <w:t>citep</w:t>
      </w:r>
      <w:proofErr w:type="spellEnd"/>
      <w:r w:rsidRPr="00154023">
        <w:rPr>
          <w:lang w:val="en-US"/>
        </w:rPr>
        <w:t>{handcock_relative_1999} addresses this issue, because it is decomposable to distinguish differences in the upper and lower tails.  Because it is based on the relative distribution it provides a simple link between what is observed in the graphical display and what is measured by the numerical summary. \\</w:t>
      </w:r>
    </w:p>
    <w:p w:rsidR="00154023" w:rsidRPr="00154023" w:rsidRDefault="00154023" w:rsidP="00154023">
      <w:pPr>
        <w:rPr>
          <w:lang w:val="en-US"/>
        </w:rPr>
      </w:pPr>
    </w:p>
    <w:p w:rsidR="00154023" w:rsidRPr="00154023" w:rsidRDefault="00154023" w:rsidP="00154023">
      <w:pPr>
        <w:rPr>
          <w:lang w:val="en-US"/>
        </w:rPr>
      </w:pPr>
      <w:r w:rsidRPr="00154023">
        <w:rPr>
          <w:lang w:val="en-US"/>
        </w:rPr>
        <w:t>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And it has several interesting features. MRP can be interpreted in terms of a proportional shift of mass in the distribution from more central to less central values. A value of 0.1, for example, is equivalent to a 10\% population shift from the center of the distribution to the upper and lower quartiles and the MRP is decomposable along the scale of $y$. This makes it possible to compare the contribution of each section of the distribution to the overall polarization. A natural decomposition is the contributions made by components above (upper polarization index, URP) and below (lower polarization index, LRP) the median (of $g(r</w:t>
      </w:r>
      <w:proofErr w:type="gramStart"/>
      <w:r w:rsidRPr="00154023">
        <w:rPr>
          <w:lang w:val="en-US"/>
        </w:rPr>
        <w:t>)$</w:t>
      </w:r>
      <w:proofErr w:type="gramEnd"/>
      <w:r w:rsidRPr="00154023">
        <w:rPr>
          <w:lang w:val="en-US"/>
        </w:rPr>
        <w:t>).</w:t>
      </w:r>
    </w:p>
    <w:p w:rsidR="00154023" w:rsidRDefault="00154023" w:rsidP="00154023">
      <w:pPr>
        <w:pStyle w:val="berschrift2"/>
        <w:rPr>
          <w:lang w:val="en-US"/>
        </w:rPr>
      </w:pPr>
      <w:bookmarkStart w:id="31" w:name="_Toc399324958"/>
      <w:r w:rsidRPr="00154023">
        <w:rPr>
          <w:lang w:val="en-US"/>
        </w:rPr>
        <w:t>Coverage issues</w:t>
      </w:r>
      <w:bookmarkEnd w:id="31"/>
    </w:p>
    <w:p w:rsidR="00154023" w:rsidRDefault="00154023" w:rsidP="00154023">
      <w:pPr>
        <w:rPr>
          <w:lang w:val="en-US"/>
        </w:rPr>
      </w:pPr>
    </w:p>
    <w:p w:rsidR="00154023" w:rsidRPr="00154023" w:rsidRDefault="00154023" w:rsidP="00154023">
      <w:pPr>
        <w:rPr>
          <w:lang w:val="en-US"/>
        </w:rPr>
      </w:pPr>
      <w:r w:rsidRPr="00154023">
        <w:rPr>
          <w:lang w:val="en-US"/>
        </w:rPr>
        <w:t>The magnitude of this bias in Switzerland, however, is unknown. Strategies to handle this kind of bias are discussed in the literature (</w:t>
      </w:r>
      <w:proofErr w:type="spellStart"/>
      <w:r w:rsidRPr="00154023">
        <w:rPr>
          <w:lang w:val="en-US"/>
        </w:rPr>
        <w:t>Särndal</w:t>
      </w:r>
      <w:proofErr w:type="spellEnd"/>
      <w:r w:rsidRPr="00154023">
        <w:rPr>
          <w:lang w:val="en-US"/>
        </w:rPr>
        <w:t xml:space="preserve"> et al., 2003), but require a register for every unit, that is proportional to income. Currently no such register exists for Switzerland Müller and </w:t>
      </w:r>
      <w:proofErr w:type="spellStart"/>
      <w:r w:rsidRPr="00154023">
        <w:rPr>
          <w:lang w:val="en-US"/>
        </w:rPr>
        <w:t>Schoch</w:t>
      </w:r>
      <w:proofErr w:type="spellEnd"/>
      <w:r w:rsidRPr="00154023">
        <w:rPr>
          <w:lang w:val="en-US"/>
        </w:rPr>
        <w:t xml:space="preserve"> (2014, 43). Currently used micro datasets, which are used for official publications concerning inequality in Switzerland (SILC and </w:t>
      </w:r>
      <w:proofErr w:type="gramStart"/>
      <w:r w:rsidRPr="00154023">
        <w:rPr>
          <w:lang w:val="en-US"/>
        </w:rPr>
        <w:t>HABE)</w:t>
      </w:r>
      <w:proofErr w:type="gramEnd"/>
      <w:r w:rsidRPr="00154023">
        <w:rPr>
          <w:lang w:val="en-US"/>
        </w:rPr>
        <w:t xml:space="preserve"> are furthermore confronted with a constructed coverage problem, because these surveys rely on the phone register, which excludes households not having a registered connection.</w:t>
      </w:r>
    </w:p>
    <w:p w:rsidR="00154023" w:rsidRPr="00154023" w:rsidRDefault="00154023" w:rsidP="00154023">
      <w:pPr>
        <w:rPr>
          <w:lang w:val="en-US"/>
        </w:rPr>
      </w:pPr>
    </w:p>
    <w:p w:rsidR="00154023" w:rsidRDefault="00154023" w:rsidP="00154023">
      <w:pPr>
        <w:rPr>
          <w:lang w:val="en-US"/>
        </w:rPr>
      </w:pPr>
      <w:r w:rsidRPr="00154023">
        <w:rPr>
          <w:lang w:val="en-US"/>
        </w:rPr>
        <w:t xml:space="preserve">The issue of incomplete coverage is less </w:t>
      </w:r>
      <w:proofErr w:type="spellStart"/>
      <w:r w:rsidRPr="00154023">
        <w:rPr>
          <w:lang w:val="en-US"/>
        </w:rPr>
        <w:t>dramatical</w:t>
      </w:r>
      <w:proofErr w:type="spellEnd"/>
      <w:r w:rsidRPr="00154023">
        <w:rPr>
          <w:lang w:val="en-US"/>
        </w:rPr>
        <w:t xml:space="preserve"> with tax data. Essentially every permanent resident in Switzerland over 18 years of age (respectively 20 years of age prior to 1996) is taxed on a yearly base (or every two years before the change of the tax system). Essentially this leads to a full representation of the adult population of Switzerland and a complete coverage of the income distribution. This includes a separation of normal cases, which embrace the majority of taxpayers, and the special cases, which cover (not only) foreign nationals living in Switzerland but with a yearly or any other temporary resident permit only. Most important this includes high net wealth individuals taxed according to their expenditures. Special attention has to be paid to tax units with none or very low incomes. Even though they have to hand in a tax return, their income does not show up in the </w:t>
      </w:r>
      <w:r w:rsidRPr="00154023">
        <w:rPr>
          <w:lang w:val="en-US"/>
        </w:rPr>
        <w:lastRenderedPageBreak/>
        <w:t>statistics if their income after deductions falls below 15’000 CHF and they are therefore not taxed with direct federal taxes. This is possible for normal and special cases alike. From 1995/1996 until 2010 the number of non-taxed units is reported, but not for the years before. Dell et al. (2007) try to estimate the fraction of non-taxed by comparing the reported numbers of tax units to census reports about the number of adult population. According to their estimations this fraction drops from 94% in 1993/1994 to 63% back in 1945/46.</w:t>
      </w:r>
    </w:p>
    <w:p w:rsidR="00154023" w:rsidRDefault="00154023" w:rsidP="00154023">
      <w:pPr>
        <w:rPr>
          <w:lang w:val="en-US"/>
        </w:rPr>
      </w:pPr>
    </w:p>
    <w:p w:rsidR="00154023" w:rsidRDefault="00154023" w:rsidP="00154023">
      <w:pPr>
        <w:rPr>
          <w:lang w:val="en-US"/>
        </w:rPr>
      </w:pPr>
      <w:r w:rsidRPr="00154023">
        <w:rPr>
          <w:lang w:val="en-US"/>
        </w:rPr>
        <w:t xml:space="preserve">In Switzerland non-fillers show up in the tax-statistics either way, as long as they are registered. This person gets an imputed income based on an older tax return and information given by employers. Only </w:t>
      </w:r>
      <w:proofErr w:type="spellStart"/>
      <w:r w:rsidRPr="00154023">
        <w:rPr>
          <w:lang w:val="en-US"/>
        </w:rPr>
        <w:t>non registered</w:t>
      </w:r>
      <w:proofErr w:type="spellEnd"/>
      <w:r w:rsidRPr="00154023">
        <w:rPr>
          <w:lang w:val="en-US"/>
        </w:rPr>
        <w:t xml:space="preserve"> non-fillers are not in the records. Therefore non-fillers are a minor problem. Not negligible is the circumstance, that individuals misreport incomes. Feld and Frey (2006) examine the role of tax evasion in Switzerland by calculating the difference of the national accounts measures of primary income and the income reported to the tax authorities. They can </w:t>
      </w:r>
      <w:proofErr w:type="gramStart"/>
      <w:r w:rsidRPr="00154023">
        <w:rPr>
          <w:lang w:val="en-US"/>
        </w:rPr>
        <w:t>show,</w:t>
      </w:r>
      <w:proofErr w:type="gramEnd"/>
      <w:r w:rsidRPr="00154023">
        <w:rPr>
          <w:lang w:val="en-US"/>
        </w:rPr>
        <w:t xml:space="preserve"> that the average level of income tax evasion from 1965 to 1995 varies between 13% and 35%. They </w:t>
      </w:r>
      <w:proofErr w:type="gramStart"/>
      <w:r w:rsidRPr="00154023">
        <w:rPr>
          <w:lang w:val="en-US"/>
        </w:rPr>
        <w:t>suggest,</w:t>
      </w:r>
      <w:proofErr w:type="gramEnd"/>
      <w:r w:rsidRPr="00154023">
        <w:rPr>
          <w:lang w:val="en-US"/>
        </w:rPr>
        <w:t xml:space="preserve"> that evasion is heavily driven by capital income tax evasion.</w:t>
      </w:r>
    </w:p>
    <w:p w:rsidR="000B1BAB" w:rsidRDefault="000B1BAB" w:rsidP="00154023">
      <w:pPr>
        <w:rPr>
          <w:lang w:val="en-US"/>
        </w:rPr>
      </w:pPr>
    </w:p>
    <w:p w:rsidR="00D3034A" w:rsidRDefault="00D3034A" w:rsidP="00154023">
      <w:pPr>
        <w:rPr>
          <w:lang w:val="en-US"/>
        </w:rPr>
      </w:pPr>
    </w:p>
    <w:p w:rsidR="00D3034A" w:rsidRDefault="00D3034A" w:rsidP="00154023">
      <w:pPr>
        <w:rPr>
          <w:lang w:val="en-US"/>
        </w:rPr>
      </w:pPr>
    </w:p>
    <w:p w:rsidR="00D3034A" w:rsidRPr="00154023" w:rsidRDefault="00D3034A" w:rsidP="00154023">
      <w:pPr>
        <w:rPr>
          <w:lang w:val="en-US"/>
        </w:rPr>
      </w:pPr>
    </w:p>
    <w:p w:rsidR="00154023" w:rsidRDefault="00154023" w:rsidP="00154023">
      <w:pPr>
        <w:pStyle w:val="berschrift3"/>
        <w:rPr>
          <w:lang w:val="en-US"/>
        </w:rPr>
      </w:pPr>
      <w:bookmarkStart w:id="32" w:name="_Toc399324959"/>
      <w:r w:rsidRPr="00154023">
        <w:rPr>
          <w:lang w:val="en-US"/>
        </w:rPr>
        <w:t>Normal vs Special cases</w:t>
      </w:r>
      <w:bookmarkEnd w:id="32"/>
    </w:p>
    <w:p w:rsidR="000B1BAB" w:rsidRDefault="000B1BAB" w:rsidP="000B1BAB">
      <w:pPr>
        <w:rPr>
          <w:lang w:val="en-US"/>
        </w:rPr>
      </w:pPr>
    </w:p>
    <w:p w:rsidR="0069494D" w:rsidRDefault="0069494D" w:rsidP="000B1BAB">
      <w:pPr>
        <w:rPr>
          <w:lang w:val="en-US"/>
        </w:rPr>
      </w:pPr>
      <w:r>
        <w:rPr>
          <w:lang w:val="en-US"/>
        </w:rPr>
        <w:t>Fur</w:t>
      </w:r>
      <w:r w:rsidRPr="00154023">
        <w:rPr>
          <w:lang w:val="en-US"/>
        </w:rPr>
        <w:t>thermore the FTA differentiates between two gro</w:t>
      </w:r>
      <w:r>
        <w:rPr>
          <w:lang w:val="en-US"/>
        </w:rPr>
        <w:t>ups of tax units, so called nor</w:t>
      </w:r>
      <w:r w:rsidRPr="00154023">
        <w:rPr>
          <w:lang w:val="en-US"/>
        </w:rPr>
        <w:t>mal cases and special cases. A normal case is a t</w:t>
      </w:r>
      <w:r>
        <w:rPr>
          <w:lang w:val="en-US"/>
        </w:rPr>
        <w:t xml:space="preserve">ax unit residing in a </w:t>
      </w:r>
      <w:proofErr w:type="spellStart"/>
      <w:r>
        <w:rPr>
          <w:lang w:val="en-US"/>
        </w:rPr>
        <w:t>swiss</w:t>
      </w:r>
      <w:proofErr w:type="spellEnd"/>
      <w:r>
        <w:rPr>
          <w:lang w:val="en-US"/>
        </w:rPr>
        <w:t xml:space="preserve"> can</w:t>
      </w:r>
      <w:r w:rsidRPr="00154023">
        <w:rPr>
          <w:lang w:val="en-US"/>
        </w:rPr>
        <w:t xml:space="preserve">ton without foreign source income and being liable to taxation all year long. </w:t>
      </w:r>
      <w:commentRangeStart w:id="33"/>
      <w:r w:rsidRPr="00154023">
        <w:rPr>
          <w:lang w:val="en-US"/>
        </w:rPr>
        <w:t>All other tax units</w:t>
      </w:r>
      <w:commentRangeEnd w:id="33"/>
      <w:r>
        <w:rPr>
          <w:rStyle w:val="Kommentarzeichen"/>
        </w:rPr>
        <w:commentReference w:id="33"/>
      </w:r>
      <w:r w:rsidRPr="00154023">
        <w:rPr>
          <w:lang w:val="en-US"/>
        </w:rPr>
        <w:t xml:space="preserve"> and very few that are taxed based on the style of living because they don’t work (</w:t>
      </w:r>
      <w:proofErr w:type="spellStart"/>
      <w:r w:rsidRPr="00154023">
        <w:rPr>
          <w:lang w:val="en-US"/>
        </w:rPr>
        <w:t>Pauschalbesteuerte</w:t>
      </w:r>
      <w:proofErr w:type="spellEnd"/>
      <w:r w:rsidRPr="00154023">
        <w:rPr>
          <w:lang w:val="en-US"/>
        </w:rPr>
        <w:t>) are special cases.</w:t>
      </w:r>
    </w:p>
    <w:p w:rsidR="0069494D" w:rsidRPr="000B1BAB" w:rsidRDefault="0069494D" w:rsidP="000B1BAB">
      <w:pPr>
        <w:rPr>
          <w:lang w:val="en-US"/>
        </w:rPr>
      </w:pPr>
    </w:p>
    <w:p w:rsidR="00154023" w:rsidRDefault="00154023" w:rsidP="00154023">
      <w:pPr>
        <w:pStyle w:val="berschrift3"/>
        <w:rPr>
          <w:lang w:val="en-US"/>
        </w:rPr>
      </w:pPr>
      <w:bookmarkStart w:id="34" w:name="_Toc399324960"/>
      <w:r w:rsidRPr="00154023">
        <w:rPr>
          <w:lang w:val="en-US"/>
        </w:rPr>
        <w:t>With and without non-taxed</w:t>
      </w:r>
      <w:bookmarkEnd w:id="34"/>
    </w:p>
    <w:p w:rsidR="001232D9" w:rsidRDefault="001232D9" w:rsidP="001232D9">
      <w:pPr>
        <w:rPr>
          <w:lang w:val="en-US"/>
        </w:rPr>
      </w:pPr>
    </w:p>
    <w:p w:rsidR="0069494D" w:rsidRDefault="0069494D" w:rsidP="001232D9">
      <w:pPr>
        <w:rPr>
          <w:lang w:val="en-US"/>
        </w:rPr>
      </w:pPr>
    </w:p>
    <w:p w:rsidR="0069494D" w:rsidRDefault="0069494D" w:rsidP="001232D9">
      <w:pPr>
        <w:rPr>
          <w:lang w:val="en-US"/>
        </w:rPr>
      </w:pPr>
      <w:r w:rsidRPr="00154023">
        <w:rPr>
          <w:lang w:val="en-US"/>
        </w:rPr>
        <w:t xml:space="preserve">This exempts all tax units with taxable income below a certain threshold (e.g. </w:t>
      </w:r>
      <w:r w:rsidRPr="006003AB">
        <w:rPr>
          <w:lang w:val="en-US"/>
        </w:rPr>
        <w:t>29</w:t>
      </w:r>
      <w:r>
        <w:rPr>
          <w:lang w:val="en-US"/>
        </w:rPr>
        <w:t>’</w:t>
      </w:r>
      <w:r w:rsidRPr="006003AB">
        <w:rPr>
          <w:lang w:val="en-US"/>
        </w:rPr>
        <w:t>200</w:t>
      </w:r>
      <w:r w:rsidRPr="00154023">
        <w:rPr>
          <w:lang w:val="en-US"/>
        </w:rPr>
        <w:t xml:space="preserve"> </w:t>
      </w:r>
      <w:r>
        <w:rPr>
          <w:lang w:val="en-US"/>
        </w:rPr>
        <w:t>for a married couple in 2010).</w:t>
      </w:r>
    </w:p>
    <w:p w:rsidR="0069494D" w:rsidRPr="001232D9" w:rsidRDefault="0069494D" w:rsidP="001232D9">
      <w:pPr>
        <w:rPr>
          <w:lang w:val="en-US"/>
        </w:rPr>
      </w:pPr>
    </w:p>
    <w:p w:rsidR="00154023" w:rsidRPr="00154023" w:rsidRDefault="00154023" w:rsidP="00154023">
      <w:pPr>
        <w:pStyle w:val="berschrift3"/>
        <w:rPr>
          <w:lang w:val="en-US"/>
        </w:rPr>
      </w:pPr>
      <w:bookmarkStart w:id="35" w:name="_Toc399324961"/>
      <w:r w:rsidRPr="00154023">
        <w:rPr>
          <w:lang w:val="en-US"/>
        </w:rPr>
        <w:lastRenderedPageBreak/>
        <w:t>Tax data vs Survey Data</w:t>
      </w:r>
      <w:bookmarkEnd w:id="35"/>
    </w:p>
    <w:p w:rsidR="00154023" w:rsidRDefault="00D3034A" w:rsidP="00154023">
      <w:pPr>
        <w:pStyle w:val="berschrift2"/>
        <w:numPr>
          <w:ilvl w:val="0"/>
          <w:numId w:val="0"/>
        </w:numPr>
        <w:rPr>
          <w:lang w:val="en-US"/>
        </w:rPr>
      </w:pPr>
      <w:r>
        <w:rPr>
          <w:noProof/>
          <w:lang w:eastAsia="de-CH"/>
        </w:rPr>
        <w:drawing>
          <wp:inline distT="0" distB="0" distL="0" distR="0" wp14:anchorId="722C64DA" wp14:editId="2C25F79B">
            <wp:extent cx="6011545" cy="4373032"/>
            <wp:effectExtent l="0" t="0" r="8255" b="8890"/>
            <wp:docPr id="10" name="Grafik 10" descr="C:\Users\hlo1\swiss_inequality_development\data\stata_data\figures\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lo1\swiss_inequality_development\data\stata_data\figures\combined_figu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4373032"/>
                    </a:xfrm>
                    <a:prstGeom prst="rect">
                      <a:avLst/>
                    </a:prstGeom>
                    <a:noFill/>
                    <a:ln>
                      <a:noFill/>
                    </a:ln>
                  </pic:spPr>
                </pic:pic>
              </a:graphicData>
            </a:graphic>
          </wp:inline>
        </w:drawing>
      </w:r>
    </w:p>
    <w:p w:rsidR="00D3034A" w:rsidRDefault="00D3034A" w:rsidP="00154023">
      <w:pPr>
        <w:rPr>
          <w:lang w:val="en-US"/>
        </w:rPr>
      </w:pP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2046"/>
        <w:gridCol w:w="1207"/>
        <w:gridCol w:w="1118"/>
        <w:gridCol w:w="1096"/>
        <w:gridCol w:w="590"/>
      </w:tblGrid>
      <w:tr w:rsidR="007E4221" w:rsidRPr="007E4221" w:rsidTr="006D4B0B">
        <w:trPr>
          <w:tblCellSpacing w:w="0" w:type="dxa"/>
        </w:trPr>
        <w:tc>
          <w:tcPr>
            <w:tcW w:w="0" w:type="auto"/>
            <w:gridSpan w:val="5"/>
            <w:tcBorders>
              <w:top w:val="nil"/>
              <w:left w:val="nil"/>
              <w:bottom w:val="nil"/>
              <w:right w:val="nil"/>
            </w:tcBorders>
            <w:vAlign w:val="center"/>
            <w:hideMark/>
          </w:tcPr>
          <w:p w:rsidR="007E4221" w:rsidRPr="007E4221" w:rsidRDefault="007E4221" w:rsidP="006D4B0B">
            <w:pPr>
              <w:spacing w:line="240" w:lineRule="auto"/>
              <w:jc w:val="center"/>
              <w:rPr>
                <w:rFonts w:ascii="Times New Roman" w:eastAsia="Times New Roman" w:hAnsi="Times New Roman"/>
                <w:sz w:val="24"/>
                <w:szCs w:val="24"/>
                <w:lang w:eastAsia="de-CH"/>
              </w:rPr>
            </w:pPr>
            <w:proofErr w:type="spellStart"/>
            <w:r w:rsidRPr="007E4221">
              <w:rPr>
                <w:rFonts w:ascii="Times New Roman" w:eastAsia="Times New Roman" w:hAnsi="Times New Roman"/>
                <w:sz w:val="24"/>
                <w:szCs w:val="24"/>
                <w:lang w:eastAsia="de-CH"/>
              </w:rPr>
              <w:t>Inequality</w:t>
            </w:r>
            <w:proofErr w:type="spellEnd"/>
            <w:r w:rsidRPr="007E4221">
              <w:rPr>
                <w:rFonts w:ascii="Times New Roman" w:eastAsia="Times New Roman" w:hAnsi="Times New Roman"/>
                <w:sz w:val="24"/>
                <w:szCs w:val="24"/>
                <w:lang w:eastAsia="de-CH"/>
              </w:rPr>
              <w:t xml:space="preserve"> Indices</w:t>
            </w:r>
          </w:p>
        </w:tc>
      </w:tr>
      <w:tr w:rsidR="007E4221" w:rsidRPr="007E4221" w:rsidTr="006D4B0B">
        <w:trPr>
          <w:tblCellSpacing w:w="0" w:type="dxa"/>
        </w:trPr>
        <w:tc>
          <w:tcPr>
            <w:tcW w:w="0" w:type="auto"/>
            <w:vAlign w:val="center"/>
            <w:hideMark/>
          </w:tcPr>
          <w:p w:rsidR="007E4221" w:rsidRPr="007E4221" w:rsidRDefault="007E4221" w:rsidP="006D4B0B">
            <w:pPr>
              <w:spacing w:line="240" w:lineRule="auto"/>
              <w:rPr>
                <w:rFonts w:ascii="Times New Roman" w:eastAsia="Times New Roman" w:hAnsi="Times New Roman"/>
                <w:sz w:val="24"/>
                <w:szCs w:val="24"/>
                <w:lang w:eastAsia="de-CH"/>
              </w:rPr>
            </w:pPr>
          </w:p>
        </w:tc>
        <w:tc>
          <w:tcPr>
            <w:tcW w:w="0" w:type="auto"/>
            <w:vAlign w:val="bottom"/>
            <w:hideMark/>
          </w:tcPr>
          <w:p w:rsidR="007E4221" w:rsidRPr="007E4221" w:rsidRDefault="007E4221" w:rsidP="006D4B0B">
            <w:pPr>
              <w:spacing w:line="240" w:lineRule="auto"/>
              <w:rPr>
                <w:rFonts w:ascii="Times New Roman" w:eastAsia="Times New Roman" w:hAnsi="Times New Roman"/>
                <w:sz w:val="20"/>
                <w:lang w:eastAsia="de-CH"/>
              </w:rPr>
            </w:pPr>
            <w:r w:rsidRPr="007E4221">
              <w:rPr>
                <w:rFonts w:ascii="Times New Roman" w:eastAsia="Times New Roman" w:hAnsi="Times New Roman"/>
                <w:sz w:val="20"/>
                <w:lang w:eastAsia="de-CH"/>
              </w:rPr>
              <w:t>Median Index</w:t>
            </w:r>
          </w:p>
        </w:tc>
        <w:tc>
          <w:tcPr>
            <w:tcW w:w="0" w:type="auto"/>
            <w:vAlign w:val="bottom"/>
            <w:hideMark/>
          </w:tcPr>
          <w:p w:rsidR="007E4221" w:rsidRPr="007E4221" w:rsidRDefault="007E4221" w:rsidP="006D4B0B">
            <w:pPr>
              <w:spacing w:line="240" w:lineRule="auto"/>
              <w:rPr>
                <w:rFonts w:ascii="Times New Roman" w:eastAsia="Times New Roman" w:hAnsi="Times New Roman"/>
                <w:sz w:val="20"/>
                <w:lang w:eastAsia="de-CH"/>
              </w:rPr>
            </w:pPr>
            <w:proofErr w:type="spellStart"/>
            <w:r w:rsidRPr="007E4221">
              <w:rPr>
                <w:rFonts w:ascii="Times New Roman" w:eastAsia="Times New Roman" w:hAnsi="Times New Roman"/>
                <w:sz w:val="20"/>
                <w:lang w:eastAsia="de-CH"/>
              </w:rPr>
              <w:t>Lower</w:t>
            </w:r>
            <w:proofErr w:type="spellEnd"/>
            <w:r w:rsidRPr="007E4221">
              <w:rPr>
                <w:rFonts w:ascii="Times New Roman" w:eastAsia="Times New Roman" w:hAnsi="Times New Roman"/>
                <w:sz w:val="20"/>
                <w:lang w:eastAsia="de-CH"/>
              </w:rPr>
              <w:t xml:space="preserve"> Index</w:t>
            </w:r>
          </w:p>
        </w:tc>
        <w:tc>
          <w:tcPr>
            <w:tcW w:w="0" w:type="auto"/>
            <w:vAlign w:val="bottom"/>
            <w:hideMark/>
          </w:tcPr>
          <w:p w:rsidR="007E4221" w:rsidRPr="007E4221" w:rsidRDefault="007E4221" w:rsidP="006D4B0B">
            <w:pPr>
              <w:spacing w:line="240" w:lineRule="auto"/>
              <w:rPr>
                <w:rFonts w:ascii="Times New Roman" w:eastAsia="Times New Roman" w:hAnsi="Times New Roman"/>
                <w:sz w:val="20"/>
                <w:lang w:eastAsia="de-CH"/>
              </w:rPr>
            </w:pPr>
            <w:proofErr w:type="spellStart"/>
            <w:r w:rsidRPr="007E4221">
              <w:rPr>
                <w:rFonts w:ascii="Times New Roman" w:eastAsia="Times New Roman" w:hAnsi="Times New Roman"/>
                <w:sz w:val="20"/>
                <w:lang w:eastAsia="de-CH"/>
              </w:rPr>
              <w:t>Upper</w:t>
            </w:r>
            <w:proofErr w:type="spellEnd"/>
            <w:r w:rsidRPr="007E4221">
              <w:rPr>
                <w:rFonts w:ascii="Times New Roman" w:eastAsia="Times New Roman" w:hAnsi="Times New Roman"/>
                <w:sz w:val="20"/>
                <w:lang w:eastAsia="de-CH"/>
              </w:rPr>
              <w:t xml:space="preserve"> Index</w:t>
            </w:r>
          </w:p>
        </w:tc>
        <w:tc>
          <w:tcPr>
            <w:tcW w:w="0" w:type="auto"/>
            <w:vAlign w:val="bottom"/>
            <w:hideMark/>
          </w:tcPr>
          <w:p w:rsidR="007E4221" w:rsidRPr="007E4221" w:rsidRDefault="007E4221" w:rsidP="006D4B0B">
            <w:pPr>
              <w:spacing w:line="240" w:lineRule="auto"/>
              <w:rPr>
                <w:rFonts w:ascii="Times New Roman" w:eastAsia="Times New Roman" w:hAnsi="Times New Roman"/>
                <w:sz w:val="20"/>
                <w:lang w:eastAsia="de-CH"/>
              </w:rPr>
            </w:pPr>
            <w:proofErr w:type="spellStart"/>
            <w:r w:rsidRPr="007E4221">
              <w:rPr>
                <w:rFonts w:ascii="Times New Roman" w:eastAsia="Times New Roman" w:hAnsi="Times New Roman"/>
                <w:sz w:val="20"/>
                <w:lang w:eastAsia="de-CH"/>
              </w:rPr>
              <w:t>DGini</w:t>
            </w:r>
            <w:proofErr w:type="spellEnd"/>
          </w:p>
        </w:tc>
      </w:tr>
      <w:tr w:rsidR="007E4221" w:rsidRPr="007E4221" w:rsidTr="006D4B0B">
        <w:trPr>
          <w:tblCellSpacing w:w="0" w:type="dxa"/>
        </w:trPr>
        <w:tc>
          <w:tcPr>
            <w:tcW w:w="0" w:type="auto"/>
            <w:vAlign w:val="bottom"/>
            <w:hideMark/>
          </w:tcPr>
          <w:p w:rsidR="007E4221" w:rsidRPr="007E4221" w:rsidRDefault="007E4221" w:rsidP="006D4B0B">
            <w:pPr>
              <w:spacing w:line="240" w:lineRule="auto"/>
              <w:rPr>
                <w:rFonts w:ascii="Times New Roman" w:eastAsia="Times New Roman" w:hAnsi="Times New Roman"/>
                <w:sz w:val="20"/>
                <w:lang w:eastAsia="de-CH"/>
              </w:rPr>
            </w:pPr>
            <w:r w:rsidRPr="007E4221">
              <w:rPr>
                <w:rFonts w:ascii="Times New Roman" w:eastAsia="Times New Roman" w:hAnsi="Times New Roman"/>
                <w:sz w:val="20"/>
                <w:lang w:eastAsia="de-CH"/>
              </w:rPr>
              <w:t>2003 vs. 2010</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0,058</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0,072</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0,045</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0,025</w:t>
            </w:r>
          </w:p>
        </w:tc>
      </w:tr>
      <w:tr w:rsidR="007E4221" w:rsidRPr="007E4221" w:rsidTr="006D4B0B">
        <w:trPr>
          <w:tblCellSpacing w:w="0" w:type="dxa"/>
        </w:trPr>
        <w:tc>
          <w:tcPr>
            <w:tcW w:w="0" w:type="auto"/>
            <w:vAlign w:val="bottom"/>
            <w:hideMark/>
          </w:tcPr>
          <w:p w:rsidR="007E4221" w:rsidRPr="007E4221" w:rsidRDefault="007E4221" w:rsidP="006D4B0B">
            <w:pPr>
              <w:spacing w:line="240" w:lineRule="auto"/>
              <w:rPr>
                <w:rFonts w:ascii="Times New Roman" w:eastAsia="Times New Roman" w:hAnsi="Times New Roman"/>
                <w:sz w:val="20"/>
                <w:lang w:eastAsia="de-CH"/>
              </w:rPr>
            </w:pPr>
            <w:r w:rsidRPr="007E4221">
              <w:rPr>
                <w:rFonts w:ascii="Times New Roman" w:eastAsia="Times New Roman" w:hAnsi="Times New Roman"/>
                <w:sz w:val="20"/>
                <w:lang w:eastAsia="de-CH"/>
              </w:rPr>
              <w:t xml:space="preserve">normal vs. </w:t>
            </w:r>
            <w:proofErr w:type="spellStart"/>
            <w:r w:rsidRPr="007E4221">
              <w:rPr>
                <w:rFonts w:ascii="Times New Roman" w:eastAsia="Times New Roman" w:hAnsi="Times New Roman"/>
                <w:sz w:val="20"/>
                <w:lang w:eastAsia="de-CH"/>
              </w:rPr>
              <w:t>special</w:t>
            </w:r>
            <w:proofErr w:type="spellEnd"/>
            <w:r w:rsidRPr="007E4221">
              <w:rPr>
                <w:rFonts w:ascii="Times New Roman" w:eastAsia="Times New Roman" w:hAnsi="Times New Roman"/>
                <w:sz w:val="20"/>
                <w:lang w:eastAsia="de-CH"/>
              </w:rPr>
              <w:t xml:space="preserve"> 93/94</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0,02</w:t>
            </w:r>
            <w:r>
              <w:rPr>
                <w:rFonts w:ascii="Times New Roman" w:eastAsia="Times New Roman" w:hAnsi="Times New Roman"/>
                <w:sz w:val="20"/>
                <w:lang w:eastAsia="de-CH"/>
              </w:rPr>
              <w:t>0</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0,029</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0,01</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0,013</w:t>
            </w:r>
          </w:p>
        </w:tc>
      </w:tr>
      <w:tr w:rsidR="007E4221" w:rsidRPr="007E4221" w:rsidTr="006D4B0B">
        <w:trPr>
          <w:tblCellSpacing w:w="0" w:type="dxa"/>
        </w:trPr>
        <w:tc>
          <w:tcPr>
            <w:tcW w:w="0" w:type="auto"/>
            <w:vAlign w:val="bottom"/>
            <w:hideMark/>
          </w:tcPr>
          <w:p w:rsidR="007E4221" w:rsidRPr="007E4221" w:rsidRDefault="007E4221" w:rsidP="006D4B0B">
            <w:pPr>
              <w:spacing w:line="240" w:lineRule="auto"/>
              <w:rPr>
                <w:rFonts w:ascii="Times New Roman" w:eastAsia="Times New Roman" w:hAnsi="Times New Roman"/>
                <w:sz w:val="20"/>
                <w:lang w:eastAsia="de-CH"/>
              </w:rPr>
            </w:pPr>
            <w:r w:rsidRPr="007E4221">
              <w:rPr>
                <w:rFonts w:ascii="Times New Roman" w:eastAsia="Times New Roman" w:hAnsi="Times New Roman"/>
                <w:sz w:val="20"/>
                <w:lang w:eastAsia="de-CH"/>
              </w:rPr>
              <w:t xml:space="preserve">normal vs. </w:t>
            </w:r>
            <w:proofErr w:type="spellStart"/>
            <w:r w:rsidRPr="007E4221">
              <w:rPr>
                <w:rFonts w:ascii="Times New Roman" w:eastAsia="Times New Roman" w:hAnsi="Times New Roman"/>
                <w:sz w:val="20"/>
                <w:lang w:eastAsia="de-CH"/>
              </w:rPr>
              <w:t>special</w:t>
            </w:r>
            <w:proofErr w:type="spellEnd"/>
            <w:r w:rsidRPr="007E4221">
              <w:rPr>
                <w:rFonts w:ascii="Times New Roman" w:eastAsia="Times New Roman" w:hAnsi="Times New Roman"/>
                <w:sz w:val="20"/>
                <w:lang w:eastAsia="de-CH"/>
              </w:rPr>
              <w:t xml:space="preserve"> 2010</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0,031</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0,039</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0,022</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0,02</w:t>
            </w:r>
          </w:p>
        </w:tc>
      </w:tr>
    </w:tbl>
    <w:p w:rsidR="007E4221" w:rsidRDefault="007E4221" w:rsidP="00154023">
      <w:pPr>
        <w:rPr>
          <w:lang w:val="en-US"/>
        </w:rPr>
      </w:pPr>
    </w:p>
    <w:p w:rsidR="007E4221" w:rsidRDefault="007E4221" w:rsidP="00154023">
      <w:pPr>
        <w:rPr>
          <w:lang w:val="en-US"/>
        </w:rPr>
      </w:pPr>
    </w:p>
    <w:p w:rsidR="00154023" w:rsidRDefault="00860C48" w:rsidP="00154023">
      <w:pPr>
        <w:rPr>
          <w:lang w:val="en-US"/>
        </w:rPr>
      </w:pPr>
      <w:r>
        <w:rPr>
          <w:noProof/>
          <w:lang w:eastAsia="de-CH"/>
        </w:rPr>
        <w:drawing>
          <wp:inline distT="0" distB="0" distL="0" distR="0">
            <wp:extent cx="1532982" cy="162052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2982" cy="1620520"/>
                    </a:xfrm>
                    <a:prstGeom prst="rect">
                      <a:avLst/>
                    </a:prstGeom>
                    <a:noFill/>
                    <a:ln>
                      <a:noFill/>
                    </a:ln>
                  </pic:spPr>
                </pic:pic>
              </a:graphicData>
            </a:graphic>
          </wp:inline>
        </w:drawing>
      </w:r>
      <w:r w:rsidR="00D3034A" w:rsidRPr="00D3034A">
        <w:rPr>
          <w:lang w:val="en-US"/>
        </w:rPr>
        <w:t xml:space="preserve"> </w:t>
      </w:r>
      <w:r>
        <w:rPr>
          <w:noProof/>
          <w:lang w:eastAsia="de-CH"/>
        </w:rPr>
        <w:drawing>
          <wp:inline distT="0" distB="0" distL="0" distR="0">
            <wp:extent cx="1542193" cy="1537855"/>
            <wp:effectExtent l="0" t="0" r="127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1997" cy="1537659"/>
                    </a:xfrm>
                    <a:prstGeom prst="rect">
                      <a:avLst/>
                    </a:prstGeom>
                    <a:noFill/>
                    <a:ln>
                      <a:noFill/>
                    </a:ln>
                  </pic:spPr>
                </pic:pic>
              </a:graphicData>
            </a:graphic>
          </wp:inline>
        </w:drawing>
      </w:r>
      <w:r w:rsidRPr="00860C48">
        <w:rPr>
          <w:lang w:val="en-US"/>
        </w:rPr>
        <w:t xml:space="preserve"> </w:t>
      </w:r>
      <w:r>
        <w:rPr>
          <w:noProof/>
          <w:lang w:eastAsia="de-CH"/>
        </w:rPr>
        <w:drawing>
          <wp:inline distT="0" distB="0" distL="0" distR="0">
            <wp:extent cx="1658248" cy="166174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61871" cy="1665377"/>
                    </a:xfrm>
                    <a:prstGeom prst="rect">
                      <a:avLst/>
                    </a:prstGeom>
                    <a:noFill/>
                    <a:ln>
                      <a:noFill/>
                    </a:ln>
                  </pic:spPr>
                </pic:pic>
              </a:graphicData>
            </a:graphic>
          </wp:inline>
        </w:drawing>
      </w:r>
    </w:p>
    <w:p w:rsidR="00D3034A" w:rsidRDefault="00D3034A" w:rsidP="00154023">
      <w:pPr>
        <w:rPr>
          <w:lang w:val="en-US"/>
        </w:rPr>
      </w:pPr>
      <w:r>
        <w:rPr>
          <w:lang w:val="en-US"/>
        </w:rPr>
        <w:t xml:space="preserve">Gini over time a) with/without </w:t>
      </w:r>
      <w:proofErr w:type="spellStart"/>
      <w:r>
        <w:rPr>
          <w:lang w:val="en-US"/>
        </w:rPr>
        <w:t>equivalizing</w:t>
      </w:r>
      <w:proofErr w:type="spellEnd"/>
      <w:r>
        <w:rPr>
          <w:lang w:val="en-US"/>
        </w:rPr>
        <w:t xml:space="preserve"> scale, b) different income definitions c)</w:t>
      </w:r>
    </w:p>
    <w:p w:rsidR="00860C48" w:rsidRDefault="00860C48" w:rsidP="00154023">
      <w:pPr>
        <w:rPr>
          <w:lang w:val="en-US"/>
        </w:rPr>
      </w:pPr>
    </w:p>
    <w:p w:rsidR="00860C48" w:rsidRDefault="00860C48" w:rsidP="00154023">
      <w:pPr>
        <w:rPr>
          <w:lang w:val="en-US"/>
        </w:rPr>
      </w:pPr>
      <w:proofErr w:type="gramStart"/>
      <w:r>
        <w:rPr>
          <w:lang w:val="en-US"/>
        </w:rPr>
        <w:t>Tables?</w:t>
      </w:r>
      <w:proofErr w:type="gramEnd"/>
    </w:p>
    <w:p w:rsidR="00D3034A" w:rsidRPr="00154023" w:rsidRDefault="00D3034A" w:rsidP="00154023">
      <w:pPr>
        <w:rPr>
          <w:lang w:val="en-US"/>
        </w:rPr>
      </w:pPr>
    </w:p>
    <w:p w:rsidR="00B14648" w:rsidRPr="00B14648" w:rsidRDefault="00154023" w:rsidP="00B14648">
      <w:pPr>
        <w:pStyle w:val="berschrift1"/>
        <w:rPr>
          <w:lang w:val="en-US"/>
        </w:rPr>
      </w:pPr>
      <w:bookmarkStart w:id="36" w:name="_Toc399324962"/>
      <w:r>
        <w:rPr>
          <w:lang w:val="en-US"/>
        </w:rPr>
        <w:lastRenderedPageBreak/>
        <w:t>Conclusion</w:t>
      </w:r>
      <w:bookmarkEnd w:id="36"/>
    </w:p>
    <w:p w:rsidR="00B14648" w:rsidRPr="00B14648" w:rsidRDefault="00B14648" w:rsidP="00B14648">
      <w:pPr>
        <w:pStyle w:val="berschrift1"/>
        <w:numPr>
          <w:ilvl w:val="0"/>
          <w:numId w:val="0"/>
        </w:numPr>
        <w:ind w:left="786"/>
        <w:rPr>
          <w:lang w:val="en-US"/>
        </w:rPr>
      </w:pPr>
    </w:p>
    <w:p w:rsidR="00B14648" w:rsidRPr="00D044CF" w:rsidRDefault="00B14648" w:rsidP="00B14648">
      <w:pPr>
        <w:pStyle w:val="berschrift1"/>
        <w:numPr>
          <w:ilvl w:val="0"/>
          <w:numId w:val="0"/>
        </w:numPr>
        <w:ind w:left="786"/>
        <w:rPr>
          <w:lang w:val="en-US"/>
        </w:rPr>
      </w:pPr>
    </w:p>
    <w:p w:rsidR="00B14648" w:rsidRPr="00B14648" w:rsidRDefault="00B14648" w:rsidP="00B14648">
      <w:pPr>
        <w:rPr>
          <w:lang w:val="en-US"/>
        </w:rPr>
      </w:pPr>
    </w:p>
    <w:p w:rsidR="00B14648" w:rsidRDefault="00B14648" w:rsidP="00B14648">
      <w:pPr>
        <w:rPr>
          <w:lang w:val="en-US"/>
        </w:rPr>
      </w:pPr>
    </w:p>
    <w:p w:rsidR="00B14648" w:rsidRDefault="00B14648">
      <w:pPr>
        <w:spacing w:line="240" w:lineRule="auto"/>
        <w:rPr>
          <w:lang w:val="en-US"/>
        </w:rPr>
      </w:pPr>
    </w:p>
    <w:p w:rsidR="00B14648" w:rsidRDefault="00B14648">
      <w:pPr>
        <w:spacing w:line="240" w:lineRule="auto"/>
        <w:rPr>
          <w:lang w:val="en-US"/>
        </w:rPr>
      </w:pPr>
    </w:p>
    <w:p w:rsidR="00B14648" w:rsidRDefault="00B14648">
      <w:pPr>
        <w:spacing w:line="240" w:lineRule="auto"/>
        <w:rPr>
          <w:lang w:val="en-US"/>
        </w:rPr>
      </w:pPr>
    </w:p>
    <w:p w:rsidR="00B14648" w:rsidRDefault="00B14648">
      <w:pPr>
        <w:spacing w:line="240" w:lineRule="auto"/>
        <w:rPr>
          <w:lang w:val="en-US"/>
        </w:rPr>
      </w:pPr>
      <w:r>
        <w:rPr>
          <w:lang w:val="en-US"/>
        </w:rPr>
        <w:br w:type="page"/>
      </w:r>
    </w:p>
    <w:p w:rsidR="00511D21" w:rsidRPr="00511D21" w:rsidRDefault="00511D21" w:rsidP="003779D0">
      <w:pPr>
        <w:pStyle w:val="berschrift1"/>
      </w:pPr>
      <w:bookmarkStart w:id="37" w:name="_Toc399324963"/>
      <w:r w:rsidRPr="00511D21">
        <w:lastRenderedPageBreak/>
        <w:t>Literaturverzeichnis</w:t>
      </w:r>
      <w:bookmarkEnd w:id="37"/>
    </w:p>
    <w:p w:rsidR="00B14648" w:rsidRDefault="00B14648">
      <w:pPr>
        <w:spacing w:line="240" w:lineRule="auto"/>
        <w:rPr>
          <w:rFonts w:eastAsia="Times New Roman"/>
          <w:bCs/>
          <w:sz w:val="28"/>
          <w:szCs w:val="28"/>
        </w:rPr>
      </w:pPr>
      <w:r>
        <w:br w:type="page"/>
      </w:r>
    </w:p>
    <w:p w:rsidR="00511D21" w:rsidRDefault="00511D21" w:rsidP="00676E3F">
      <w:pPr>
        <w:pStyle w:val="berschrift1"/>
      </w:pPr>
      <w:bookmarkStart w:id="38" w:name="_Toc399324964"/>
      <w:r w:rsidRPr="00511D21">
        <w:lastRenderedPageBreak/>
        <w:t>Anhang</w:t>
      </w:r>
      <w:bookmarkEnd w:id="38"/>
    </w:p>
    <w:p w:rsidR="00B14648" w:rsidRPr="00B14648" w:rsidRDefault="00B14648" w:rsidP="00B14648"/>
    <w:sectPr w:rsidR="00B14648" w:rsidRPr="00B14648" w:rsidSect="00A54C2F">
      <w:headerReference w:type="default" r:id="rId18"/>
      <w:footerReference w:type="default" r:id="rId19"/>
      <w:headerReference w:type="first" r:id="rId20"/>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4-09-24T11:52:00Z" w:initials="HO">
    <w:p w:rsidR="000F66A6" w:rsidRDefault="000F66A6">
      <w:pPr>
        <w:pStyle w:val="Kommentartext"/>
      </w:pPr>
      <w:r>
        <w:rPr>
          <w:rStyle w:val="Kommentarzeichen"/>
        </w:rPr>
        <w:annotationRef/>
      </w:r>
      <w:r>
        <w:t>Soll das so prominent rein?</w:t>
      </w:r>
    </w:p>
  </w:comment>
  <w:comment w:id="2" w:author="Hümbelin Oliver" w:date="2014-09-24T12:23:00Z" w:initials="HO">
    <w:p w:rsidR="000F66A6" w:rsidRDefault="000F66A6">
      <w:pPr>
        <w:pStyle w:val="Kommentartext"/>
      </w:pPr>
      <w:r>
        <w:rPr>
          <w:rStyle w:val="Kommentarzeichen"/>
        </w:rPr>
        <w:annotationRef/>
      </w:r>
      <w:r>
        <w:t>Was kommt genau?</w:t>
      </w:r>
    </w:p>
  </w:comment>
  <w:comment w:id="5" w:author="Hümbelin Oliver" w:date="2014-09-24T12:29:00Z" w:initials="HO">
    <w:p w:rsidR="000F66A6" w:rsidRDefault="000F66A6">
      <w:pPr>
        <w:pStyle w:val="Kommentartext"/>
      </w:pPr>
      <w:r>
        <w:rPr>
          <w:rStyle w:val="Kommentarzeichen"/>
        </w:rPr>
        <w:annotationRef/>
      </w:r>
      <w:r>
        <w:t>doof</w:t>
      </w:r>
    </w:p>
  </w:comment>
  <w:comment w:id="13" w:author="Hümbelin Oliver" w:date="2014-09-24T12:32:00Z" w:initials="HO">
    <w:p w:rsidR="000F66A6" w:rsidRDefault="000F66A6">
      <w:pPr>
        <w:pStyle w:val="Kommentartext"/>
      </w:pPr>
      <w:r>
        <w:rPr>
          <w:rStyle w:val="Kommentarzeichen"/>
        </w:rPr>
        <w:annotationRef/>
      </w:r>
      <w:proofErr w:type="spellStart"/>
      <w:r>
        <w:t>Laaaaaaaang</w:t>
      </w:r>
      <w:proofErr w:type="spellEnd"/>
      <w:r>
        <w:t>. Geht’s kürzer und prägnanter?</w:t>
      </w:r>
    </w:p>
  </w:comment>
  <w:comment w:id="18" w:author="Hümbelin Oliver" w:date="2014-09-24T12:37:00Z" w:initials="HO">
    <w:p w:rsidR="000F66A6" w:rsidRDefault="000F66A6">
      <w:pPr>
        <w:pStyle w:val="Kommentartext"/>
      </w:pPr>
      <w:r>
        <w:rPr>
          <w:rStyle w:val="Kommentarzeichen"/>
        </w:rPr>
        <w:annotationRef/>
      </w:r>
      <w:r>
        <w:t>Kann man das so sagen?</w:t>
      </w:r>
    </w:p>
  </w:comment>
  <w:comment w:id="20" w:author="Hümbelin Oliver" w:date="2014-09-24T12:06:00Z" w:initials="HO">
    <w:p w:rsidR="000F66A6" w:rsidRDefault="000F66A6">
      <w:pPr>
        <w:pStyle w:val="Kommentartext"/>
      </w:pPr>
      <w:r>
        <w:rPr>
          <w:rStyle w:val="Kommentarzeichen"/>
        </w:rPr>
        <w:annotationRef/>
      </w:r>
      <w:r>
        <w:t>Zu detailliert. Wo kürzen? Was ist das zentrale Argument</w:t>
      </w:r>
    </w:p>
  </w:comment>
  <w:comment w:id="21" w:author="Hümbelin Oliver" w:date="2014-09-24T12:33:00Z" w:initials="HO">
    <w:p w:rsidR="000F66A6" w:rsidRDefault="000F66A6">
      <w:pPr>
        <w:pStyle w:val="Kommentartext"/>
      </w:pPr>
      <w:r>
        <w:rPr>
          <w:rStyle w:val="Kommentarzeichen"/>
        </w:rPr>
        <w:annotationRef/>
      </w:r>
      <w:r>
        <w:t xml:space="preserve">Top </w:t>
      </w:r>
      <w:proofErr w:type="spellStart"/>
      <w:r>
        <w:t>incomes</w:t>
      </w:r>
      <w:proofErr w:type="spellEnd"/>
      <w:r>
        <w:t xml:space="preserve"> zeigen?</w:t>
      </w:r>
    </w:p>
  </w:comment>
  <w:comment w:id="23" w:author="Hümbelin Oliver" w:date="2014-09-24T15:13:00Z" w:initials="HO">
    <w:p w:rsidR="00C715C7" w:rsidRDefault="00C715C7">
      <w:pPr>
        <w:pStyle w:val="Kommentartext"/>
      </w:pPr>
      <w:r>
        <w:rPr>
          <w:rStyle w:val="Kommentarzeichen"/>
        </w:rPr>
        <w:annotationRef/>
      </w:r>
      <w:r>
        <w:t>Funktioniert der Übergang?</w:t>
      </w:r>
      <w:r w:rsidR="006003AB">
        <w:t xml:space="preserve"> Welchen Zweck </w:t>
      </w:r>
      <w:r w:rsidR="0069494D">
        <w:t>verfolgen wir mit diesem Teil? Können wir einhalten, was versprochen wird?</w:t>
      </w:r>
    </w:p>
  </w:comment>
  <w:comment w:id="25" w:author="Hümbelin Oliver" w:date="2014-09-24T15:01:00Z" w:initials="HO">
    <w:p w:rsidR="006003AB" w:rsidRDefault="006003AB">
      <w:pPr>
        <w:pStyle w:val="Kommentartext"/>
      </w:pPr>
      <w:r>
        <w:rPr>
          <w:rStyle w:val="Kommentarzeichen"/>
        </w:rPr>
        <w:annotationRef/>
      </w:r>
      <w:r>
        <w:t>Stand? Jetzt ist’s anders. Allenfalls anpassen.</w:t>
      </w:r>
    </w:p>
  </w:comment>
  <w:comment w:id="27" w:author="Hümbelin Oliver" w:date="2014-09-24T12:16:00Z" w:initials="HO">
    <w:p w:rsidR="000F66A6" w:rsidRDefault="000F66A6">
      <w:pPr>
        <w:pStyle w:val="Kommentartext"/>
      </w:pPr>
      <w:r>
        <w:rPr>
          <w:rStyle w:val="Kommentarzeichen"/>
        </w:rPr>
        <w:annotationRef/>
      </w:r>
      <w:r>
        <w:t>Krankenkassenprämien</w:t>
      </w:r>
    </w:p>
  </w:comment>
  <w:comment w:id="29" w:author="Hümbelin Oliver" w:date="2014-09-24T12:17:00Z" w:initials="HO">
    <w:p w:rsidR="000F66A6" w:rsidRDefault="000F66A6">
      <w:pPr>
        <w:pStyle w:val="Kommentartext"/>
      </w:pPr>
      <w:r>
        <w:rPr>
          <w:rStyle w:val="Kommentarzeichen"/>
        </w:rPr>
        <w:annotationRef/>
      </w:r>
      <w:r>
        <w:t>Erwachsene Kinder</w:t>
      </w:r>
    </w:p>
  </w:comment>
  <w:comment w:id="33" w:author="Hümbelin Oliver" w:date="2014-09-24T15:11:00Z" w:initials="HO">
    <w:p w:rsidR="0069494D" w:rsidRDefault="0069494D" w:rsidP="0069494D">
      <w:pPr>
        <w:pStyle w:val="Kommentartext"/>
      </w:pPr>
      <w:r>
        <w:rPr>
          <w:rStyle w:val="Kommentarzeichen"/>
        </w:rPr>
        <w:annotationRef/>
      </w:r>
      <w:r>
        <w:t>Quellensteuer, Kapitalleistungen aus Vorsorge?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6A6" w:rsidRDefault="000F66A6" w:rsidP="006312E0">
      <w:pPr>
        <w:spacing w:line="240" w:lineRule="auto"/>
      </w:pPr>
      <w:r>
        <w:separator/>
      </w:r>
    </w:p>
  </w:endnote>
  <w:endnote w:type="continuationSeparator" w:id="0">
    <w:p w:rsidR="000F66A6" w:rsidRDefault="000F66A6"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6A6" w:rsidRPr="007407D3" w:rsidRDefault="000F66A6"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66A6" w:rsidRPr="003B1648" w:rsidRDefault="000F66A6"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8E19F9">
                            <w:rPr>
                              <w:noProof/>
                              <w:sz w:val="16"/>
                              <w:szCs w:val="16"/>
                            </w:rPr>
                            <w:t>1</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rsidR="000F66A6" w:rsidRPr="003B1648" w:rsidRDefault="000F66A6"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8E19F9">
                      <w:rPr>
                        <w:noProof/>
                        <w:sz w:val="16"/>
                        <w:szCs w:val="16"/>
                      </w:rPr>
                      <w:t>1</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6A6" w:rsidRDefault="000F66A6" w:rsidP="006312E0">
      <w:pPr>
        <w:spacing w:line="240" w:lineRule="auto"/>
      </w:pPr>
    </w:p>
  </w:footnote>
  <w:footnote w:type="continuationSeparator" w:id="0">
    <w:p w:rsidR="000F66A6" w:rsidRDefault="000F66A6" w:rsidP="006312E0">
      <w:pPr>
        <w:spacing w:line="240" w:lineRule="auto"/>
      </w:pPr>
      <w:r>
        <w:continuationSeparator/>
      </w:r>
    </w:p>
  </w:footnote>
  <w:footnote w:id="1">
    <w:p w:rsidR="006943AC" w:rsidRDefault="006943AC">
      <w:pPr>
        <w:pStyle w:val="Funotentext"/>
      </w:pPr>
      <w:r>
        <w:rPr>
          <w:rStyle w:val="Funotenzeichen"/>
        </w:rPr>
        <w:footnoteRef/>
      </w:r>
      <w:r>
        <w:t xml:space="preserve"> </w:t>
      </w:r>
      <w:hyperlink r:id="rId1" w:history="1">
        <w:r w:rsidR="001F533F" w:rsidRPr="00B363A9">
          <w:rPr>
            <w:rStyle w:val="Hyperlink"/>
          </w:rPr>
          <w:t>http://www.estv.admin.ch/dokumentation/00075/00076/00701/index.html</w:t>
        </w:r>
      </w:hyperlink>
    </w:p>
    <w:p w:rsidR="001F533F" w:rsidRDefault="001F533F">
      <w:pPr>
        <w:pStyle w:val="Funotentext"/>
      </w:pPr>
    </w:p>
  </w:footnote>
  <w:footnote w:id="2">
    <w:p w:rsidR="00C715C7" w:rsidRPr="00C715C7" w:rsidRDefault="00C715C7">
      <w:pPr>
        <w:pStyle w:val="Funotentext"/>
        <w:rPr>
          <w:lang w:val="en-US"/>
        </w:rPr>
      </w:pPr>
      <w:r>
        <w:rPr>
          <w:rStyle w:val="Funotenzeichen"/>
        </w:rPr>
        <w:footnoteRef/>
      </w:r>
      <w:r w:rsidRPr="00C715C7">
        <w:rPr>
          <w:lang w:val="en-US"/>
        </w:rPr>
        <w:t xml:space="preserve"> We use data from the Household and consumption Survey (HBS</w:t>
      </w:r>
      <w:r>
        <w:rPr>
          <w:lang w:val="en-US"/>
        </w:rPr>
        <w:t xml:space="preserve">) because income is provided on a very detailed base. This allows us </w:t>
      </w:r>
      <w:r w:rsidR="00091C2D">
        <w:rPr>
          <w:lang w:val="en-US"/>
        </w:rPr>
        <w:t>to</w:t>
      </w:r>
      <w:r>
        <w:rPr>
          <w:lang w:val="en-US"/>
        </w:rPr>
        <w:t xml:space="preserve"> construct measures that are better comparable to income measures derived from tax data. </w:t>
      </w:r>
    </w:p>
  </w:footnote>
  <w:footnote w:id="3">
    <w:p w:rsidR="006003AB" w:rsidRPr="006003AB" w:rsidRDefault="006003AB">
      <w:pPr>
        <w:pStyle w:val="Funotentext"/>
        <w:rPr>
          <w:lang w:val="en-US"/>
        </w:rPr>
      </w:pPr>
      <w:r>
        <w:rPr>
          <w:rStyle w:val="Funotenzeichen"/>
        </w:rPr>
        <w:footnoteRef/>
      </w:r>
      <w:r w:rsidRPr="006003AB">
        <w:rPr>
          <w:lang w:val="en-US"/>
        </w:rPr>
        <w:t xml:space="preserve"> </w:t>
      </w:r>
      <w:r w:rsidR="005B4CDB">
        <w:rPr>
          <w:lang w:val="en-US"/>
        </w:rPr>
        <w:t xml:space="preserve">Before 1993 tax periods comprise two years, because taxes were levied with the </w:t>
      </w:r>
      <w:proofErr w:type="spellStart"/>
      <w:r w:rsidR="005B4CDB">
        <w:rPr>
          <w:lang w:val="en-US"/>
        </w:rPr>
        <w:t>Postnumerando</w:t>
      </w:r>
      <w:proofErr w:type="spellEnd"/>
      <w:r w:rsidR="005B4CDB">
        <w:rPr>
          <w:lang w:val="en-US"/>
        </w:rPr>
        <w:t xml:space="preserve">-System (taxation based on income generated two years in the past).  </w:t>
      </w:r>
      <w:r w:rsidRPr="006003AB">
        <w:rPr>
          <w:lang w:val="en-US"/>
        </w:rPr>
        <w:t xml:space="preserve">Between 1993 and 2003 </w:t>
      </w:r>
      <w:r w:rsidR="005B4CDB">
        <w:rPr>
          <w:lang w:val="en-US"/>
        </w:rPr>
        <w:t>the annual presence taxation (</w:t>
      </w:r>
      <w:proofErr w:type="spellStart"/>
      <w:r w:rsidR="005B4CDB">
        <w:rPr>
          <w:lang w:val="en-US"/>
        </w:rPr>
        <w:t>Praenumerando</w:t>
      </w:r>
      <w:proofErr w:type="spellEnd"/>
      <w:r w:rsidR="005B4CDB">
        <w:rPr>
          <w:lang w:val="en-US"/>
        </w:rPr>
        <w:t xml:space="preserve">-System) was implemented. Because cantons implemented this change in different years, there is no </w:t>
      </w:r>
      <w:proofErr w:type="spellStart"/>
      <w:r w:rsidR="005B4CDB">
        <w:rPr>
          <w:lang w:val="en-US"/>
        </w:rPr>
        <w:t>exacat</w:t>
      </w:r>
      <w:proofErr w:type="spellEnd"/>
      <w:r w:rsidR="005B4CDB">
        <w:rPr>
          <w:lang w:val="en-US"/>
        </w:rPr>
        <w:t xml:space="preserve"> data available for Switzerland.</w:t>
      </w:r>
    </w:p>
  </w:footnote>
  <w:footnote w:id="4">
    <w:p w:rsidR="008C2F1A" w:rsidRPr="008C2F1A" w:rsidRDefault="008C2F1A">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5">
    <w:p w:rsidR="00091C2D" w:rsidRPr="00091C2D" w:rsidRDefault="00091C2D">
      <w:pPr>
        <w:pStyle w:val="Funotentext"/>
        <w:rPr>
          <w:lang w:val="en-US"/>
        </w:rPr>
      </w:pPr>
      <w:r>
        <w:rPr>
          <w:rStyle w:val="Funotenzeichen"/>
        </w:rPr>
        <w:footnoteRef/>
      </w:r>
      <w:r w:rsidRPr="00091C2D">
        <w:rPr>
          <w:lang w:val="en-US"/>
        </w:rPr>
        <w:t xml:space="preserve"> Means-tested benefits are not taxed and therefore not included in tax data. </w:t>
      </w:r>
      <w:proofErr w:type="gramStart"/>
      <w:r w:rsidRPr="00091C2D">
        <w:rPr>
          <w:lang w:val="en-US"/>
        </w:rPr>
        <w:t>Income for low income groups are</w:t>
      </w:r>
      <w:proofErr w:type="gramEnd"/>
      <w:r w:rsidRPr="00091C2D">
        <w:rPr>
          <w:lang w:val="en-US"/>
        </w:rPr>
        <w:t xml:space="preserve"> therefore underestimated. However, </w:t>
      </w:r>
      <w:proofErr w:type="spellStart"/>
      <w:r>
        <w:rPr>
          <w:lang w:val="en-US"/>
        </w:rPr>
        <w:t>picketty</w:t>
      </w:r>
      <w:proofErr w:type="spellEnd"/>
      <w:r>
        <w:rPr>
          <w:lang w:val="en-US"/>
        </w:rPr>
        <w:t xml:space="preserve"> (2003) </w:t>
      </w:r>
      <w:r w:rsidRPr="00091C2D">
        <w:rPr>
          <w:lang w:val="en-US"/>
        </w:rPr>
        <w:t>note</w:t>
      </w:r>
      <w:r>
        <w:rPr>
          <w:lang w:val="en-US"/>
        </w:rPr>
        <w:t>s</w:t>
      </w:r>
      <w:r w:rsidRPr="00091C2D">
        <w:rPr>
          <w:lang w:val="en-US"/>
        </w:rPr>
        <w:t xml:space="preserve"> that non-taxable social security benefits grew as a share of personal income in the US but find that these changes had only a trivial impact on top income shares.</w:t>
      </w:r>
    </w:p>
  </w:footnote>
  <w:footnote w:id="6">
    <w:p w:rsidR="0088351B" w:rsidRPr="0088351B" w:rsidRDefault="0088351B">
      <w:pPr>
        <w:pStyle w:val="Funotentext"/>
        <w:rPr>
          <w:lang w:val="en-US"/>
        </w:rPr>
      </w:pPr>
      <w:r>
        <w:rPr>
          <w:rStyle w:val="Funotenzeichen"/>
        </w:rPr>
        <w:footnoteRef/>
      </w:r>
      <w:r w:rsidRPr="0088351B">
        <w:rPr>
          <w:lang w:val="en-US"/>
        </w:rPr>
        <w:t xml:space="preserve"> The difference between the real total income and the taxable income are deductions. These include: professional expenses, travel expenses, interest on debt, alimonies, training costs, two-earner deduction, party contributions, private pension provision ``</w:t>
      </w:r>
      <w:proofErr w:type="spellStart"/>
      <w:r w:rsidRPr="0088351B">
        <w:rPr>
          <w:lang w:val="en-US"/>
        </w:rPr>
        <w:t>Säule</w:t>
      </w:r>
      <w:proofErr w:type="spellEnd"/>
      <w:r w:rsidRPr="0088351B">
        <w:rPr>
          <w:lang w:val="en-US"/>
        </w:rPr>
        <w:t xml:space="preserve"> 3a'', buying into the pension plan and sideline deductions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6A6" w:rsidRPr="001F1B9C" w:rsidRDefault="000F66A6"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6A6" w:rsidRDefault="000F66A6"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7A80646"/>
    <w:multiLevelType w:val="multilevel"/>
    <w:tmpl w:val="81DC5478"/>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4"/>
  </w:num>
  <w:num w:numId="13">
    <w:abstractNumId w:val="11"/>
  </w:num>
  <w:num w:numId="14">
    <w:abstractNumId w:val="18"/>
  </w:num>
  <w:num w:numId="15">
    <w:abstractNumId w:val="17"/>
  </w:num>
  <w:num w:numId="16">
    <w:abstractNumId w:val="14"/>
  </w:num>
  <w:num w:numId="17">
    <w:abstractNumId w:val="10"/>
  </w:num>
  <w:num w:numId="18">
    <w:abstractNumId w:val="27"/>
  </w:num>
  <w:num w:numId="19">
    <w:abstractNumId w:val="20"/>
  </w:num>
  <w:num w:numId="20">
    <w:abstractNumId w:val="28"/>
  </w:num>
  <w:num w:numId="21">
    <w:abstractNumId w:val="30"/>
  </w:num>
  <w:num w:numId="22">
    <w:abstractNumId w:val="15"/>
  </w:num>
  <w:num w:numId="23">
    <w:abstractNumId w:val="25"/>
  </w:num>
  <w:num w:numId="24">
    <w:abstractNumId w:val="23"/>
  </w:num>
  <w:num w:numId="25">
    <w:abstractNumId w:val="16"/>
  </w:num>
  <w:num w:numId="26">
    <w:abstractNumId w:val="21"/>
  </w:num>
  <w:num w:numId="27">
    <w:abstractNumId w:val="19"/>
  </w:num>
  <w:num w:numId="28">
    <w:abstractNumId w:val="26"/>
  </w:num>
  <w:num w:numId="29">
    <w:abstractNumId w:val="22"/>
  </w:num>
  <w:num w:numId="30">
    <w:abstractNumId w:val="12"/>
  </w:num>
  <w:num w:numId="31">
    <w:abstractNumId w:val="29"/>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3CF0"/>
    <w:rsid w:val="00035727"/>
    <w:rsid w:val="00087C85"/>
    <w:rsid w:val="00091C2D"/>
    <w:rsid w:val="00095C44"/>
    <w:rsid w:val="000B1BAB"/>
    <w:rsid w:val="000E29F5"/>
    <w:rsid w:val="000F013A"/>
    <w:rsid w:val="000F3789"/>
    <w:rsid w:val="000F66A6"/>
    <w:rsid w:val="00112357"/>
    <w:rsid w:val="001215C7"/>
    <w:rsid w:val="001232D9"/>
    <w:rsid w:val="0015023D"/>
    <w:rsid w:val="00154023"/>
    <w:rsid w:val="00170D9E"/>
    <w:rsid w:val="00176DF1"/>
    <w:rsid w:val="00182FF6"/>
    <w:rsid w:val="001B0F1A"/>
    <w:rsid w:val="001C4B4E"/>
    <w:rsid w:val="001E0286"/>
    <w:rsid w:val="001F0F2A"/>
    <w:rsid w:val="001F1B9C"/>
    <w:rsid w:val="001F533F"/>
    <w:rsid w:val="0021211B"/>
    <w:rsid w:val="00220F0E"/>
    <w:rsid w:val="002502B0"/>
    <w:rsid w:val="00272FC3"/>
    <w:rsid w:val="00296E81"/>
    <w:rsid w:val="002A0932"/>
    <w:rsid w:val="002A5151"/>
    <w:rsid w:val="002B0461"/>
    <w:rsid w:val="002E4F2E"/>
    <w:rsid w:val="002E6C41"/>
    <w:rsid w:val="003010C0"/>
    <w:rsid w:val="00314D27"/>
    <w:rsid w:val="00315B56"/>
    <w:rsid w:val="0033009B"/>
    <w:rsid w:val="00340F1E"/>
    <w:rsid w:val="003653F6"/>
    <w:rsid w:val="003779D0"/>
    <w:rsid w:val="003838FC"/>
    <w:rsid w:val="003B1648"/>
    <w:rsid w:val="003B66F4"/>
    <w:rsid w:val="003C7BD0"/>
    <w:rsid w:val="003D4775"/>
    <w:rsid w:val="003D7B55"/>
    <w:rsid w:val="003E14BF"/>
    <w:rsid w:val="004144A2"/>
    <w:rsid w:val="00416C9D"/>
    <w:rsid w:val="004202F9"/>
    <w:rsid w:val="0042274F"/>
    <w:rsid w:val="00462CB2"/>
    <w:rsid w:val="004A28AA"/>
    <w:rsid w:val="004B5CEC"/>
    <w:rsid w:val="004D7D20"/>
    <w:rsid w:val="004F7B96"/>
    <w:rsid w:val="00511D21"/>
    <w:rsid w:val="00530949"/>
    <w:rsid w:val="0053118D"/>
    <w:rsid w:val="005329E3"/>
    <w:rsid w:val="00541EB5"/>
    <w:rsid w:val="005479A4"/>
    <w:rsid w:val="00552732"/>
    <w:rsid w:val="00556E27"/>
    <w:rsid w:val="005B2286"/>
    <w:rsid w:val="005B4CDB"/>
    <w:rsid w:val="005B5FF7"/>
    <w:rsid w:val="005F7206"/>
    <w:rsid w:val="006003AB"/>
    <w:rsid w:val="006254BF"/>
    <w:rsid w:val="00627519"/>
    <w:rsid w:val="00630349"/>
    <w:rsid w:val="006312CC"/>
    <w:rsid w:val="006312E0"/>
    <w:rsid w:val="0065257C"/>
    <w:rsid w:val="006542BD"/>
    <w:rsid w:val="00676E3F"/>
    <w:rsid w:val="00683799"/>
    <w:rsid w:val="006943AC"/>
    <w:rsid w:val="0069494D"/>
    <w:rsid w:val="0069632F"/>
    <w:rsid w:val="006B0C5B"/>
    <w:rsid w:val="006C2FBE"/>
    <w:rsid w:val="006D6738"/>
    <w:rsid w:val="006E46AC"/>
    <w:rsid w:val="006F7567"/>
    <w:rsid w:val="00720853"/>
    <w:rsid w:val="00730698"/>
    <w:rsid w:val="007407D3"/>
    <w:rsid w:val="00761683"/>
    <w:rsid w:val="00796682"/>
    <w:rsid w:val="007A367A"/>
    <w:rsid w:val="007B4AC6"/>
    <w:rsid w:val="007D6F67"/>
    <w:rsid w:val="007E4221"/>
    <w:rsid w:val="007E6849"/>
    <w:rsid w:val="00800BF2"/>
    <w:rsid w:val="00860C48"/>
    <w:rsid w:val="00871EEF"/>
    <w:rsid w:val="0088351B"/>
    <w:rsid w:val="008A1B90"/>
    <w:rsid w:val="008B6910"/>
    <w:rsid w:val="008C2F1A"/>
    <w:rsid w:val="008D3A9F"/>
    <w:rsid w:val="008D61F6"/>
    <w:rsid w:val="008E19F9"/>
    <w:rsid w:val="009161C4"/>
    <w:rsid w:val="00932C5C"/>
    <w:rsid w:val="00941937"/>
    <w:rsid w:val="009436BB"/>
    <w:rsid w:val="009546FD"/>
    <w:rsid w:val="009577BF"/>
    <w:rsid w:val="009A592F"/>
    <w:rsid w:val="009B0030"/>
    <w:rsid w:val="009B18B4"/>
    <w:rsid w:val="009C5D48"/>
    <w:rsid w:val="009D5780"/>
    <w:rsid w:val="009D79DF"/>
    <w:rsid w:val="009F2467"/>
    <w:rsid w:val="009F5BCC"/>
    <w:rsid w:val="00A02C21"/>
    <w:rsid w:val="00A02D37"/>
    <w:rsid w:val="00A368BB"/>
    <w:rsid w:val="00A373F2"/>
    <w:rsid w:val="00A456DA"/>
    <w:rsid w:val="00A54C2F"/>
    <w:rsid w:val="00A65090"/>
    <w:rsid w:val="00A65413"/>
    <w:rsid w:val="00A82729"/>
    <w:rsid w:val="00A93CB4"/>
    <w:rsid w:val="00AA10D7"/>
    <w:rsid w:val="00AD3C46"/>
    <w:rsid w:val="00AF78B9"/>
    <w:rsid w:val="00B001E3"/>
    <w:rsid w:val="00B14648"/>
    <w:rsid w:val="00B25861"/>
    <w:rsid w:val="00B25A50"/>
    <w:rsid w:val="00B25DB1"/>
    <w:rsid w:val="00B664C3"/>
    <w:rsid w:val="00B807BC"/>
    <w:rsid w:val="00B81287"/>
    <w:rsid w:val="00B833C0"/>
    <w:rsid w:val="00B92879"/>
    <w:rsid w:val="00B92F01"/>
    <w:rsid w:val="00B97C3D"/>
    <w:rsid w:val="00BF2D5F"/>
    <w:rsid w:val="00C30550"/>
    <w:rsid w:val="00C6727C"/>
    <w:rsid w:val="00C715C7"/>
    <w:rsid w:val="00C73669"/>
    <w:rsid w:val="00C824E0"/>
    <w:rsid w:val="00CA541A"/>
    <w:rsid w:val="00CA778F"/>
    <w:rsid w:val="00CA7D54"/>
    <w:rsid w:val="00CA7E54"/>
    <w:rsid w:val="00CC7BBA"/>
    <w:rsid w:val="00CD3C7E"/>
    <w:rsid w:val="00D044CF"/>
    <w:rsid w:val="00D13744"/>
    <w:rsid w:val="00D22D1B"/>
    <w:rsid w:val="00D3034A"/>
    <w:rsid w:val="00D37E22"/>
    <w:rsid w:val="00D51156"/>
    <w:rsid w:val="00D77EF2"/>
    <w:rsid w:val="00DA4F15"/>
    <w:rsid w:val="00DA68B5"/>
    <w:rsid w:val="00DB7ED7"/>
    <w:rsid w:val="00DC037E"/>
    <w:rsid w:val="00DE242C"/>
    <w:rsid w:val="00E07490"/>
    <w:rsid w:val="00E43329"/>
    <w:rsid w:val="00E91B34"/>
    <w:rsid w:val="00E92FC0"/>
    <w:rsid w:val="00E9787C"/>
    <w:rsid w:val="00EC268E"/>
    <w:rsid w:val="00ED6401"/>
    <w:rsid w:val="00EF4B39"/>
    <w:rsid w:val="00F12DBE"/>
    <w:rsid w:val="00F36316"/>
    <w:rsid w:val="00F65446"/>
    <w:rsid w:val="00F825B4"/>
    <w:rsid w:val="00F97575"/>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semiHidden/>
    <w:unhideWhenUsed/>
    <w:rsid w:val="00D044CF"/>
    <w:rPr>
      <w:sz w:val="20"/>
    </w:rPr>
  </w:style>
  <w:style w:type="character" w:customStyle="1" w:styleId="KommentartextZchn">
    <w:name w:val="Kommentartext Zchn"/>
    <w:basedOn w:val="Absatz-Standardschriftart"/>
    <w:link w:val="Kommentartext"/>
    <w:uiPriority w:val="99"/>
    <w:semiHidden/>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semiHidden/>
    <w:unhideWhenUsed/>
    <w:rsid w:val="00D044CF"/>
    <w:rPr>
      <w:sz w:val="20"/>
    </w:rPr>
  </w:style>
  <w:style w:type="character" w:customStyle="1" w:styleId="KommentartextZchn">
    <w:name w:val="Kommentartext Zchn"/>
    <w:basedOn w:val="Absatz-Standardschriftart"/>
    <w:link w:val="Kommentartext"/>
    <w:uiPriority w:val="99"/>
    <w:semiHidden/>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96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1.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stv.admin.ch/dokumentation/00075/00076/00701/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_rels/header2.xml.rels><?xml version="1.0" encoding="UTF-8" standalone="yes"?>
<Relationships xmlns="http://schemas.openxmlformats.org/package/2006/relationships"><Relationship Id="rId2" Type="http://schemas.openxmlformats.org/officeDocument/2006/relationships/image" Target="media/image7.wmf"/><Relationship Id="rId1" Type="http://schemas.openxmlformats.org/officeDocument/2006/relationships/image" Target="media/image8.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A'!$C$3:$C$32</c:f>
              <c:numCache>
                <c:formatCode>General</c:formatCode>
                <c:ptCount val="30"/>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numCache>
            </c:numRef>
          </c:val>
          <c:smooth val="0"/>
        </c:ser>
        <c:ser>
          <c:idx val="1"/>
          <c:order val="1"/>
          <c:tx>
            <c:strRef>
              <c:f>'Series-layout A'!$D$2:$D$3</c:f>
              <c:strCache>
                <c:ptCount val="1"/>
                <c:pt idx="0">
                  <c:v>Top 5% income share</c:v>
                </c:pt>
              </c:strCache>
            </c:strRef>
          </c:tx>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A'!$D$3:$D$32</c:f>
              <c:numCache>
                <c:formatCode>General</c:formatCode>
                <c:ptCount val="30"/>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A'!$E$3:$E$32</c:f>
              <c:numCache>
                <c:formatCode>General</c:formatCode>
                <c:ptCount val="30"/>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numCache>
            </c:numRef>
          </c:val>
          <c:smooth val="0"/>
        </c:ser>
        <c:dLbls>
          <c:showLegendKey val="0"/>
          <c:showVal val="0"/>
          <c:showCatName val="0"/>
          <c:showSerName val="0"/>
          <c:showPercent val="0"/>
          <c:showBubbleSize val="0"/>
        </c:dLbls>
        <c:marker val="1"/>
        <c:smooth val="0"/>
        <c:axId val="46126976"/>
        <c:axId val="46128512"/>
      </c:lineChart>
      <c:catAx>
        <c:axId val="46126976"/>
        <c:scaling>
          <c:orientation val="minMax"/>
        </c:scaling>
        <c:delete val="0"/>
        <c:axPos val="b"/>
        <c:numFmt formatCode="General" sourceLinked="1"/>
        <c:majorTickMark val="out"/>
        <c:minorTickMark val="none"/>
        <c:tickLblPos val="nextTo"/>
        <c:crossAx val="46128512"/>
        <c:crosses val="autoZero"/>
        <c:auto val="1"/>
        <c:lblAlgn val="ctr"/>
        <c:lblOffset val="100"/>
        <c:noMultiLvlLbl val="0"/>
      </c:catAx>
      <c:valAx>
        <c:axId val="46128512"/>
        <c:scaling>
          <c:orientation val="minMax"/>
        </c:scaling>
        <c:delete val="0"/>
        <c:axPos val="l"/>
        <c:majorGridlines/>
        <c:numFmt formatCode="General" sourceLinked="1"/>
        <c:majorTickMark val="out"/>
        <c:minorTickMark val="none"/>
        <c:tickLblPos val="nextTo"/>
        <c:crossAx val="46126976"/>
        <c:crosses val="autoZero"/>
        <c:crossBetween val="between"/>
      </c:valAx>
    </c:plotArea>
    <c:legend>
      <c:legendPos val="r"/>
      <c:overlay val="0"/>
      <c:spPr>
        <a:ln cmpd="sng"/>
      </c:spPr>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1FE0E-F223-44B0-8F40-563643B86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17</Pages>
  <Words>5913</Words>
  <Characters>37257</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Adresse</vt:lpstr>
    </vt:vector>
  </TitlesOfParts>
  <Company>Mediaviso AG</Company>
  <LinksUpToDate>false</LinksUpToDate>
  <CharactersWithSpaces>43084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5</cp:revision>
  <cp:lastPrinted>2014-03-31T13:10:00Z</cp:lastPrinted>
  <dcterms:created xsi:type="dcterms:W3CDTF">2014-09-24T09:47:00Z</dcterms:created>
  <dcterms:modified xsi:type="dcterms:W3CDTF">2014-09-25T10:26:00Z</dcterms:modified>
</cp:coreProperties>
</file>