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278" w:lineRule="auto"/>
        <w:jc w:val="left"/>
      </w:pPr>
      <w:r>
        <w:rPr>
          <w:rFonts w:ascii="Times New Roman" w:hAnsi="Times New Roman" w:eastAsia="Times New Roman" w:cs="Times New Roman"/>
          <w:b/>
          <w:color w:val="000000"/>
          <w:sz w:val="38"/>
        </w:rPr>
        <w:t>High-Throughput Molecular Simulation of Commercial Li-Ion Electrolytes and Their Impact on Cell-Level Performance</w:t>
      </w:r>
    </w:p>
    <w:p>
      <w:pPr>
        <w:spacing w:after="400"/>
      </w:pPr>
      <w:r>
        <w:rPr>
          <w:rFonts w:ascii="Times New Roman" w:hAnsi="Times New Roman" w:eastAsia="Times New Roman" w:cs="Times New Roman"/>
          <w:color w:val="000000"/>
          <w:sz w:val="22"/>
        </w:rPr>
        <w:t>Henry A. Cortes, Laura Oca, Iker Lopetegi, Oier Arcelus</w:t>
      </w:r>
    </w:p>
    <w:p>
      <w:pPr>
        <w:pStyle w:val="Heading1"/>
      </w:pPr>
      <w:r>
        <w:t>Abstract</w:t>
      </w:r>
    </w:p>
    <w:p>
      <w:pPr>
        <w:pStyle w:val="Placeholder"/>
        <w:shd w:fill="FFF2CC"/>
      </w:pPr>
      <w:r>
        <w:rPr>
          <w:rFonts w:ascii="Times New Roman" w:hAnsi="Times New Roman" w:eastAsia="Times New Roman" w:cs="Times New Roman"/>
          <w:i/>
          <w:color w:val="555555"/>
          <w:sz w:val="21"/>
        </w:rPr>
        <w:t>[To be completed after the validation and cell-level results are finalized.]</w:t>
      </w:r>
    </w:p>
    <w:p>
      <w:pPr>
        <w:pStyle w:val="Heading1"/>
      </w:pPr>
      <w:r>
        <w:t>1. Introduction</w:t>
      </w:r>
    </w:p>
    <w:p>
      <w:pPr/>
      <w:r>
        <w:rPr>
          <w:rFonts w:ascii="Times New Roman" w:hAnsi="Times New Roman" w:eastAsia="Times New Roman" w:cs="Times New Roman"/>
          <w:color w:val="000000"/>
          <w:sz w:val="22"/>
        </w:rPr>
        <w:t>Electric energy storage systems, and lithium-ion batteries (LIBs) in particular, are central to the transition from fossil fuels toward renewable and electrified energy technologies. LIBs have become the dominant technology for electric mobility and are increasingly important for stationary energy storage, where they can help accommodate the intermittency and grid imbalances associated with renewable power generation. Nevertheless, further improvements in energy density, power capability, lifetime, safety, and charging time remain essential to broaden their application range and accelerate their market penetration. Among these challenges, fast charging is particularly demanding because increasing the applied current intensifies transport limitations throughout the cell and can substantially accelerate degradation.</w:t>
      </w:r>
    </w:p>
    <w:p>
      <w:pPr/>
      <w:r>
        <w:rPr>
          <w:rFonts w:ascii="Times New Roman" w:hAnsi="Times New Roman" w:eastAsia="Times New Roman" w:cs="Times New Roman"/>
          <w:color w:val="000000"/>
          <w:sz w:val="22"/>
        </w:rPr>
        <w:t>Electrolyte transport plays a central role in these limitations. During battery operation, the electrochemical reactions at the porous electrodes generate salt-concentration gradients in the liquid electrolyte, which become increasingly pronounced at high charge/discharge rates and low temperatures. The resulting concentration polarization contributes to the overall cell overpotential and can lead to severe local electrolyte depletion. During fast charging, these transport limitations can promote a decrease of the negative-electrode potential toward conditions at which lithium plating becomes thermodynamically favorable, thereby compromising cycle life and safety. Consequently, an accurate description of electrolyte transport is required not only for predicting rate capability, but also for understanding and mitigating degradation mechanisms associated with demanding operating conditions [1].</w:t>
      </w:r>
    </w:p>
    <w:p>
      <w:pPr/>
      <w:r>
        <w:rPr>
          <w:rFonts w:ascii="Times New Roman" w:hAnsi="Times New Roman" w:eastAsia="Times New Roman" w:cs="Times New Roman"/>
          <w:color w:val="000000"/>
          <w:sz w:val="22"/>
        </w:rPr>
        <w:t>Ionic transport through a battery electrode is governed by both the porous microstructure and the intrinsic transport properties of the electrolyte. While electrode porosity and tortuosity determine the effective transport pathways available to the ions, the response of the liquid electrolyte itself depends on its ionic conductivity, binary salt diffusion coefficient, cation transference number, and thermodynamic factor. Within the concentrated-solution framework underlying the widely used Newman porous-electrode model, these properties collectively determine the development of electrolyte concentration and potential gradients. Importantly, they depend strongly and nonlinearly on electrolyte composition, salt concentration, and temperature. Reliable cell-level predictions therefore require these quantities to be accurately parameterized over the range of thermodynamic conditions experienced during battery operation [1].</w:t>
      </w:r>
    </w:p>
    <w:p>
      <w:pPr/>
      <w:r>
        <w:rPr>
          <w:rFonts w:ascii="Times New Roman" w:hAnsi="Times New Roman" w:eastAsia="Times New Roman" w:cs="Times New Roman"/>
          <w:color w:val="000000"/>
          <w:sz w:val="22"/>
        </w:rPr>
        <w:t>This requirement becomes particularly important when electrolyte formulation is considered as part of battery optimization. Improving electrolyte transport properties represents an important route toward faster charging and robust operation over a wider temperature window. However, electrolyte design involves a vast chemical and compositional space encompassing different salts, solvents, solvent ratios, additives, concentrations, and operating temperatures. At the same time, electrolyte optimization cannot be considered independently from electrode and cell design. Parameters such as electrode thickness, porosity, active-material loading, particle dimensions, and operating current interact with electrolyte transport to determine the resulting concentration polarization and cell performance. Physics-based cell models provide an attractive means of exploring this multidimensional design space and rapidly evaluating the consequences of changes in materials and electrode architecture. Their predictive capability, however, ultimately depends on the availability and quality of the underlying material parameters, with electrolyte transport properties representing one of the most demanding parameterization requirements.</w:t>
      </w:r>
    </w:p>
    <w:p>
      <w:pPr/>
      <w:r>
        <w:rPr>
          <w:rFonts w:ascii="Times New Roman" w:hAnsi="Times New Roman" w:eastAsia="Times New Roman" w:cs="Times New Roman"/>
          <w:color w:val="000000"/>
          <w:sz w:val="22"/>
        </w:rPr>
        <w:t>Important experimental efforts have therefore been devoted to establishing consistent transport-property datasets for battery electrolytes. In particular, the systematic studies of Landesfeind and Gasteiger demonstrated the determination of ionic conductivity, binary salt diffusion coefficients, lithium-ion transference numbers, and thermodynamic factors as functions of concentration and temperature for technologically relevant carbonate-based electrolytes [1]. Such datasets are directly compatible with the concentrated-solution theory used in Newman-type battery models and have consequently become valuable references for physics-based cell simulation. Their generation, however, requires the combination of several dedicated experimental techniques and extensive measurements across concentration and temperature. Repeating this procedure for every new electrolyte formulation becomes prohibitively demanding when moving toward high-throughput exploration of electrolyte chemical space. For commercial cells, the problem is compounded by incomplete disclosure of proprietary formulations and by the difficulty of recovering a representative liquid sample without changing its composition through cell aging, selective wetting, evaporation, or contamination during extraction. These limitations leave the available experimental parameter space sparse relative to the number of formulations of practical interest.</w:t>
      </w:r>
    </w:p>
    <w:p>
      <w:pPr/>
      <w:r>
        <w:rPr>
          <w:rFonts w:ascii="Times New Roman" w:hAnsi="Times New Roman" w:eastAsia="Times New Roman" w:cs="Times New Roman"/>
          <w:color w:val="000000"/>
          <w:sz w:val="22"/>
        </w:rPr>
        <w:t>Molecular dynamics (MD) simulations offer an attractive complementary route because they can probe transport directly from the molecular motion of ions and solvents and can, in principle, be applied systematically across large sets of electrolyte compositions. However, the quantities most commonly extracted from classical MD simulations are the self-diffusion coefficients of the individual ionic species, obtained from their mean-square displacements, and ionic conductivities estimated through the Nernst-Einstein relation. These quantities are not, in general, equivalent to the transport coefficients required by concentrated-solution theory. The Nernst-Einstein approximation treats ionic motion as effectively uncorrelated, whereas battery electrolytes at technologically relevant concentrations can exhibit substantial cation-anion, cation-cation, and anion-anion dynamical correlations arising from ion association and collective transport [2]. Self-diffusion coefficients retain only the single-particle contribution and do not resolve the distinct same-species terms or the cation-anion cross-correlation. Consequently, even an apparently reasonable Nernst-Einstein conductivity may result from compensating errors and cannot, by itself, determine a rigorous transference number or binary salt diffusion coefficient. A consistent connection between molecular dynamics and continuum electrolyte transport instead requires the collective Onsager transport coefficients, together with the thermodynamic contribution governing non-ideal solution behavior [2].</w:t>
      </w:r>
    </w:p>
    <w:p>
      <w:pPr/>
      <w:r>
        <w:rPr>
          <w:rFonts w:ascii="Times New Roman" w:hAnsi="Times New Roman" w:eastAsia="Times New Roman" w:cs="Times New Roman"/>
          <w:color w:val="000000"/>
          <w:sz w:val="22"/>
        </w:rPr>
        <w:t>Recent platforms such as PEMD have demonstrated the value of integrating model construction, force-field preparation, MD execution, and trajectory analysis into standardized high-throughput workflows [3]. For liquid battery electrolytes, however, workflow automation alone is insufficient if the output remains limited to self-diffusion coefficients or an ideal-solution conductivity. A continuum-ready workflow must also retain ion-ion correlations, quantify solution non-ideality, and report the full set of concentration- and temperature-dependent properties required by concentrated-solution cell models. In particular, evaluation of the thermodynamic factor requires an activity model, while the activity model itself depends on the concentration-dependent static permittivity. In low-permittivity organic electrolytes, contact ion pairs (CIPs) can contribute substantially to dipole fluctuations and must therefore be treated explicitly [4].</w:t>
      </w:r>
    </w:p>
    <w:p>
      <w:pPr/>
      <w:r>
        <w:rPr>
          <w:rFonts w:ascii="Times New Roman" w:hAnsi="Times New Roman" w:eastAsia="Times New Roman" w:cs="Times New Roman"/>
          <w:color w:val="000000"/>
          <w:sz w:val="22"/>
        </w:rPr>
        <w:t>In this work, we develop, automate, and experimentally validate LELiB, a molecular-dynamics-based framework for obtaining the electrolyte transport and thermodynamic parameters required by Newman concentrated-solution theory. Rather than relying on self-diffusion coefficients as surrogates for macroscopic ionic transport, the framework explicitly accounts for correlated species motion through an Onsager description and provides ionic conductivity, a cation transference number, a binary salt diffusion coefficient, and a thermodynamic factor. The activity calculation is coupled to an MD-derived static permittivity that includes the corrected dipole response of the solvent and CIPs. By establishing a traceable molecular-to-continuum connection and benchmarking the resulting parameters against experimental measurements, the proposed methodology provides a route toward high-throughput evaluation of electrolyte formulations while retaining the transport description needed for predictive cell-level simulations. Ultimately, this framework enables electrolyte chemistry to be incorporated as an explicit design dimension in model-based battery optimization, connecting molecular-scale formulation with cell-level performance, fast-charging capability, and operating-temperature limitations.</w:t>
      </w:r>
    </w:p>
    <w:p>
      <w:pPr>
        <w:pStyle w:val="Heading1"/>
      </w:pPr>
      <w:r>
        <w:t>2. Computational Methods</w:t>
      </w:r>
    </w:p>
    <w:p>
      <w:pPr>
        <w:pStyle w:val="Heading2"/>
      </w:pPr>
      <w:r>
        <w:t>2.1 Automated workflow</w:t>
      </w:r>
    </w:p>
    <w:p>
      <w:pPr/>
      <w:r>
        <w:rPr>
          <w:rFonts w:ascii="Times New Roman" w:hAnsi="Times New Roman" w:eastAsia="Times New Roman" w:cs="Times New Roman"/>
          <w:color w:val="000000"/>
          <w:sz w:val="22"/>
        </w:rPr>
        <w:t>LELiB organizes each electrolyte calculation as a sequence of composition definition, simulation-cell construction, force-field assembly, MD execution, trajectory unwrapping, and property analysis. The supplied implementation uses Packmol for initial coordinate generation [5], GROMACS for energy minimization and MD [6], and MDAnalysis for trajectory handling and structural analysis [7]. Each thermodynamic state point is described by the cubic box length, salt identity, nominal salt molarity, solvent identities and relative fractions, temperature, production time, time step, and ionic charge-scaling factor. The same programmatic interface can therefore be dispatched over concentration, temperature, salt, and solvent-composition grids.</w:t>
      </w:r>
    </w:p>
    <w:p>
      <w:pPr>
        <w:pStyle w:val="Heading3"/>
      </w:pPr>
      <w:r>
        <w:t>2.1.1 Electrolyte composition and simulation-cell generation</w:t>
      </w:r>
    </w:p>
    <w:p>
      <w:pPr/>
      <w:r>
        <w:rPr>
          <w:rFonts w:ascii="Times New Roman" w:hAnsi="Times New Roman" w:eastAsia="Times New Roman" w:cs="Times New Roman"/>
          <w:color w:val="000000"/>
          <w:sz w:val="22"/>
        </w:rPr>
        <w:t>For a cubic box with edge length L, the number of salt formula units is computed from the requested molarity c according to</w:t>
      </w:r>
    </w:p>
    <w:p>
      <w:pPr>
        <w:pStyle w:val="Equation"/>
        <w:keepLines/>
      </w:pPr>
      <w:r>
        <w:tab/>
      </w:r>
      <w:r>
        <w:rPr>
          <w:rFonts w:ascii="Cambria Math" w:hAnsi="Cambria Math" w:eastAsia="Cambria Math" w:cs="Cambria Math"/>
          <w:color w:val="000000"/>
          <w:sz w:val="20"/>
        </w:rPr>
        <w:t>N_salt = round(c L³ Nₐ),</w:t>
      </w:r>
      <w:r>
        <w:tab/>
      </w:r>
      <w:r>
        <w:rPr>
          <w:rFonts w:ascii="Times New Roman" w:hAnsi="Times New Roman" w:eastAsia="Times New Roman" w:cs="Times New Roman"/>
          <w:color w:val="000000"/>
          <w:sz w:val="20"/>
        </w:rPr>
        <w:t>(1)</w:t>
      </w:r>
    </w:p>
    <w:p>
      <w:pPr/>
      <w:r>
        <w:rPr>
          <w:rFonts w:ascii="Times New Roman" w:hAnsi="Times New Roman" w:eastAsia="Times New Roman" w:cs="Times New Roman"/>
          <w:color w:val="000000"/>
          <w:sz w:val="22"/>
        </w:rPr>
        <w:t>after converting L^3 from Å³ to liters. At least one formula unit is inserted for any positive requested concentration. The volume assigned to salt is estimated from a tabulated molecular-volume parameter, and the remaining box volume is distributed among the selected solvents after normalization of the user-supplied solvent fractions. The number of molecules of solvent s is then obtained by dividing its assigned volume by its tabulated molecular volume and rounding to the nearest integer. The actual concentration used in analysis is recalculated from the number of ions and the equilibrated cell volume rather than assumed to equal the nominal input value.</w:t>
      </w:r>
    </w:p>
    <w:p>
      <w:pPr/>
      <w:r>
        <w:rPr>
          <w:rFonts w:ascii="Times New Roman" w:hAnsi="Times New Roman" w:eastAsia="Times New Roman" w:cs="Times New Roman"/>
          <w:color w:val="000000"/>
          <w:sz w:val="22"/>
        </w:rPr>
        <w:t>Packmol places Li⁺ ions, anions, and solvent molecules independently in the periodic cubic box using a minimum intermolecular tolerance of 2.0 Å, an additional box-side margin of 0.5 Å, and a fixed random seed of 42. Molecular templates and the generated Packmol input are retained with each state point to preserve the connection between composition and initial coordinates. Because integer rounding changes both concentration and solvent ratio in finite cells, the realized composition should be reported for every simulation rather than only the nominal input.</w:t>
      </w:r>
    </w:p>
    <w:p>
      <w:pPr>
        <w:pStyle w:val="Heading3"/>
      </w:pPr>
      <w:r>
        <w:t>2.1.2 Force-field representation and ionic charge scaling</w:t>
      </w:r>
    </w:p>
    <w:p>
      <w:pPr/>
      <w:r>
        <w:rPr>
          <w:rFonts w:ascii="Times New Roman" w:hAnsi="Times New Roman" w:eastAsia="Times New Roman" w:cs="Times New Roman"/>
          <w:color w:val="000000"/>
          <w:sz w:val="22"/>
        </w:rPr>
        <w:t>The attached LELiB parameter set represents EC, PC, DMC, DEC, DME, and EMC with united-atom TraPPE-compatible topologies. Li⁺ is represented by a single interaction site, while PF₆⁻, TFSI⁻, FSI⁻, BF₄⁻, and ClO₄⁻ are represented by the distributed-charge topologies included with the package. Lennard-Jones cross interactions are generated with the GROMACS combination rule 2; 1-4 Lennard-Jones interactions are disabled and 1-4 Coulomb interactions are scaled by 0.5. The ion-parameter files identify OPLS-derived Li⁺ parameters, PF₆⁻ parameters from the Jorgensen force-field family, and the Doherty et al. parameterization for BF₄⁻, ClO₄⁻, TFSI⁻, and FSI⁻ [11]. The primary literature source for the carbonate/glyme TraPPE-compatible parameters should be reported with the final manuscript.</w:t>
      </w:r>
    </w:p>
    <w:p>
      <w:pPr/>
      <w:r>
        <w:rPr>
          <w:rFonts w:ascii="Times New Roman" w:hAnsi="Times New Roman" w:eastAsia="Times New Roman" w:cs="Times New Roman"/>
          <w:color w:val="000000"/>
          <w:sz w:val="22"/>
        </w:rPr>
        <w:t>LELiB optionally applies a uniform ionic electronic-continuum correction by multiplying every atomic charge on Li⁺ and the anion by q_eff. After rounding atomic charges to four decimal places, any residual is assigned to the atom having the largest absolute charge so that the scaled molecular charge is preserved. Solvent charges are not scaled. The topology used for the trajectory and the value of q_eff used again in transport post-processing must be identical. In the supplied analysis interface q_eff defaults to 0.80, whereas the simulation interface requires this value as an explicit input; the value used for each reported dataset must therefore be recorded rather than inferred from the default.</w:t>
      </w:r>
    </w:p>
    <w:p>
      <w:pPr>
        <w:pStyle w:val="Heading3"/>
      </w:pPr>
      <w:r>
        <w:t>2.1.3 Molecular-dynamics protocol</w:t>
      </w:r>
    </w:p>
    <w:p>
      <w:pPr/>
      <w:r>
        <w:rPr>
          <w:rFonts w:ascii="Times New Roman" w:hAnsi="Times New Roman" w:eastAsia="Times New Roman" w:cs="Times New Roman"/>
          <w:color w:val="000000"/>
          <w:sz w:val="22"/>
        </w:rPr>
        <w:t>Each configuration is first relaxed by steepest-descent energy minimization for at most 50,000 steps, using a convergence threshold of 1000 kJ mol⁻¹ nm⁻¹ and an initial step size of 0.01 nm. Electrostatics are evaluated with particle-mesh Ewald (PME). The minimized cell is equilibrated for 4 ns in the isothermal-isobaric ensemble at the target temperature and 1 bar using a 2 fs time step. Temperature is controlled with the stochastic velocity-rescaling thermostat with a coupling time of 0.1 ps. Pressure is controlled isotropically with the Parrinello-Rahman barostat using a 2.0 ps coupling time and a compressibility of 5 x 10⁻⁵ bar⁻¹. All covalent bonds are constrained with LINCS. During equilibration, real-space Coulomb and van der Waals cutoffs are 1.4 nm, long-range dispersion corrections are applied to the energy and pressure, and velocities are initialized from a Maxwell distribution at the target temperature.</w:t>
      </w:r>
    </w:p>
    <w:p>
      <w:pPr/>
      <w:r>
        <w:rPr>
          <w:rFonts w:ascii="Times New Roman" w:hAnsi="Times New Roman" w:eastAsia="Times New Roman" w:cs="Times New Roman"/>
          <w:color w:val="000000"/>
          <w:sz w:val="22"/>
        </w:rPr>
        <w:t>The final equilibrated structure is used for an NVT production simulation. The default production duration is 30 ns with a 2 fs time step, although both are configurable. The velocity-rescaling thermostat is retained with a 0.1 ps coupling time; pressure coupling is disabled. Coordinates are stored every 500 integration steps (1 ps for the default time step), and energies and the log are written every 500 steps. A no-jump unwrapped trajectory is generated with GROMACS after production. All transport calculations use molecular centers of mass from this unwrapped trajectory relative to the instantaneous center of mass of the complete system, thereby defining a barycentric reference frame.</w:t>
      </w:r>
    </w:p>
    <w:p>
      <w:pPr/>
      <w:r>
        <w:rPr>
          <w:rFonts w:ascii="Times New Roman" w:hAnsi="Times New Roman" w:eastAsia="Times New Roman" w:cs="Times New Roman"/>
          <w:color w:val="000000"/>
          <w:sz w:val="22"/>
        </w:rPr>
        <w:t>The GROMACS version, executable configuration, simulation box length, state-point matrix, production duration used in the reported calculations, and number of independent replicas were not encoded in the supplied archive and must be stated with the final results.</w:t>
      </w:r>
    </w:p>
    <w:p>
      <w:pPr>
        <w:pStyle w:val="Heading3"/>
      </w:pPr>
      <w:r>
        <w:t>2.1.4 Collective displacements and Onsager coefficients</w:t>
      </w:r>
    </w:p>
    <w:p>
      <w:pPr/>
      <w:r>
        <w:rPr>
          <w:rFonts w:ascii="Times New Roman" w:hAnsi="Times New Roman" w:eastAsia="Times New Roman" w:cs="Times New Roman"/>
          <w:color w:val="000000"/>
          <w:sz w:val="22"/>
        </w:rPr>
        <w:t>For species i, the collective displacement over a lag time t is</w:t>
      </w:r>
    </w:p>
    <w:p>
      <w:pPr>
        <w:pStyle w:val="Equation"/>
        <w:keepLines/>
      </w:pPr>
      <w:r>
        <w:tab/>
      </w:r>
      <w:r>
        <w:rPr>
          <w:rFonts w:ascii="Cambria Math" w:hAnsi="Cambria Math" w:eastAsia="Cambria Math" w:cs="Cambria Math"/>
          <w:color w:val="000000"/>
          <w:sz w:val="20"/>
        </w:rPr>
        <w:t>Δ R_i(t) = Σα∈i [rᵢ,α(t) - rᵢ,α(0)],</w:t>
      </w:r>
      <w:r>
        <w:tab/>
      </w:r>
      <w:r>
        <w:rPr>
          <w:rFonts w:ascii="Times New Roman" w:hAnsi="Times New Roman" w:eastAsia="Times New Roman" w:cs="Times New Roman"/>
          <w:color w:val="000000"/>
          <w:sz w:val="20"/>
        </w:rPr>
        <w:t>(2)</w:t>
      </w:r>
    </w:p>
    <w:p>
      <w:pPr/>
      <w:r>
        <w:rPr>
          <w:rFonts w:ascii="Times New Roman" w:hAnsi="Times New Roman" w:eastAsia="Times New Roman" w:cs="Times New Roman"/>
          <w:color w:val="000000"/>
          <w:sz w:val="22"/>
        </w:rPr>
        <w:t>where r_i,alpha is the center-of-mass position of ion alpha relative to the system center of mass. The Einstein form of the molar Onsager coefficient is evaluated as [2]</w:t>
      </w:r>
    </w:p>
    <w:p>
      <w:pPr>
        <w:pStyle w:val="Equation"/>
        <w:keepLines/>
      </w:pPr>
      <w:r>
        <w:tab/>
      </w:r>
      <w:r>
        <w:rPr>
          <w:rFonts w:ascii="Cambria Math" w:hAnsi="Cambria Math" w:eastAsia="Cambria Math" w:cs="Cambria Math"/>
          <w:color w:val="000000"/>
          <w:sz w:val="20"/>
        </w:rPr>
        <w:t>Lᵢⱼ = [1/(6 kB T V Nₐ²)] limₜ→∞ d/dt ⟨Δ R_i(t) · Δ R_j(t)⟩.</w:t>
      </w:r>
      <w:r>
        <w:tab/>
      </w:r>
      <w:r>
        <w:rPr>
          <w:rFonts w:ascii="Times New Roman" w:hAnsi="Times New Roman" w:eastAsia="Times New Roman" w:cs="Times New Roman"/>
          <w:color w:val="000000"/>
          <w:sz w:val="20"/>
        </w:rPr>
        <w:t>(3)</w:t>
      </w:r>
    </w:p>
    <w:p>
      <w:pPr/>
      <w:r>
        <w:rPr>
          <w:rFonts w:ascii="Times New Roman" w:hAnsi="Times New Roman" w:eastAsia="Times New Roman" w:cs="Times New Roman"/>
          <w:color w:val="000000"/>
          <w:sz w:val="22"/>
        </w:rPr>
        <w:t>The diagonal terms L⁺⁺ and L⁻⁻ contain both self and distinct same-species correlations, while L⁺⁻ quantifies cation-anion correlation. This collective definition is distinct from a self-diffusion coefficient because the displacement is summed over all ions before the mean-square or cross-displacement is formed.</w:t>
      </w:r>
    </w:p>
    <w:p>
      <w:pPr/>
      <w:r>
        <w:rPr>
          <w:rFonts w:ascii="Times New Roman" w:hAnsi="Times New Roman" w:eastAsia="Times New Roman" w:cs="Times New Roman"/>
          <w:color w:val="000000"/>
          <w:sz w:val="22"/>
        </w:rPr>
        <w:t>The trajectory is divided into non-overlapping blocks of duration 6 ns by default. Within each block, collective mean-square displacements are computed efficiently using fast Fourier transforms. To identify a diffusive fit interval, LELiB scans 100 ps windows between 10 and 1000 ps on a log-log representation and selects the interval whose apparent exponent is closest to unity. A linear regression of the untransformed collective mean-square displacement against time is then performed over that interval. The fit interval selected from the total charge displacement is also used for the L⁺⁺ and L⁻⁻ fits within the same block. The cation-anion slope is recovered algebraically from the identity S_charge = S_++ + S_-- - 2 S_+-, which is equivalent to evaluating the cross displacement directly but guarantees consistency with the conductivity slope.</w:t>
      </w:r>
    </w:p>
    <w:p>
      <w:pPr>
        <w:pStyle w:val="Heading3"/>
      </w:pPr>
      <w:r>
        <w:t>2.1.5 Ionic conductivity, cation transference number, and binary salt diffusion coefficient</w:t>
      </w:r>
    </w:p>
    <w:p>
      <w:pPr/>
      <w:r>
        <w:rPr>
          <w:rFonts w:ascii="Times New Roman" w:hAnsi="Times New Roman" w:eastAsia="Times New Roman" w:cs="Times New Roman"/>
          <w:color w:val="000000"/>
          <w:sz w:val="22"/>
        </w:rPr>
        <w:t>For a 1:1 electrolyte with effective ionic valences z_+ = q_eff and z_- = -q_eff, the ionic conductivity is calculated from the Onsager matrix using Eq. 12 of Fong et al. [2]:</w:t>
      </w:r>
    </w:p>
    <w:p>
      <w:pPr>
        <w:pStyle w:val="Equation"/>
        <w:keepLines/>
      </w:pPr>
      <w:r>
        <w:tab/>
      </w:r>
      <w:r>
        <w:rPr>
          <w:rFonts w:ascii="Cambria Math" w:hAnsi="Cambria Math" w:eastAsia="Cambria Math" w:cs="Cambria Math"/>
          <w:color w:val="000000"/>
          <w:sz w:val="20"/>
        </w:rPr>
        <w:t>κ = F² (z₊² L⁺⁺ + z₋² L⁻⁻ + 2 z₊ z₋ L⁺⁻).</w:t>
      </w:r>
      <w:r>
        <w:tab/>
      </w:r>
      <w:r>
        <w:rPr>
          <w:rFonts w:ascii="Times New Roman" w:hAnsi="Times New Roman" w:eastAsia="Times New Roman" w:cs="Times New Roman"/>
          <w:color w:val="000000"/>
          <w:sz w:val="20"/>
        </w:rPr>
        <w:t>(4)</w:t>
      </w:r>
    </w:p>
    <w:p>
      <w:pPr/>
      <w:r>
        <w:rPr>
          <w:rFonts w:ascii="Times New Roman" w:hAnsi="Times New Roman" w:eastAsia="Times New Roman" w:cs="Times New Roman"/>
          <w:color w:val="000000"/>
          <w:sz w:val="22"/>
        </w:rPr>
        <w:t>Equivalently, the implementation evaluates the slope of the total collective charge displacement,</w:t>
      </w:r>
    </w:p>
    <w:p>
      <w:pPr>
        <w:pStyle w:val="Equation"/>
        <w:keepLines/>
      </w:pPr>
      <w:r>
        <w:tab/>
      </w:r>
      <w:r>
        <w:rPr>
          <w:rFonts w:ascii="Cambria Math" w:hAnsi="Cambria Math" w:eastAsia="Cambria Math" w:cs="Cambria Math"/>
          <w:color w:val="000000"/>
          <w:sz w:val="20"/>
        </w:rPr>
        <w:t>κ = [(q_eff e)²/(6 V kB T)] limₜ→∞ d/dt ⟨|Δ R_+(t) - Δ R_-(t)|²⟩.</w:t>
      </w:r>
      <w:r>
        <w:tab/>
      </w:r>
      <w:r>
        <w:rPr>
          <w:rFonts w:ascii="Times New Roman" w:hAnsi="Times New Roman" w:eastAsia="Times New Roman" w:cs="Times New Roman"/>
          <w:color w:val="000000"/>
          <w:sz w:val="20"/>
        </w:rPr>
        <w:t>(5)</w:t>
      </w:r>
    </w:p>
    <w:p>
      <w:pPr/>
      <w:r>
        <w:rPr>
          <w:rFonts w:ascii="Times New Roman" w:hAnsi="Times New Roman" w:eastAsia="Times New Roman" w:cs="Times New Roman"/>
          <w:color w:val="000000"/>
          <w:sz w:val="22"/>
        </w:rPr>
        <w:t>Conductivity is reported in mS cm⁻¹ after unit conversion.</w:t>
      </w:r>
    </w:p>
    <w:p>
      <w:pPr/>
      <w:r>
        <w:rPr>
          <w:rFonts w:ascii="Times New Roman" w:hAnsi="Times New Roman" w:eastAsia="Times New Roman" w:cs="Times New Roman"/>
          <w:color w:val="000000"/>
          <w:sz w:val="22"/>
        </w:rPr>
        <w:t>The cation transference number follows Eq. 14 of Fong et al. [2]:</w:t>
      </w:r>
    </w:p>
    <w:p>
      <w:pPr>
        <w:pStyle w:val="Equation"/>
        <w:keepLines/>
      </w:pPr>
      <w:r>
        <w:tab/>
      </w:r>
      <w:r>
        <w:rPr>
          <w:rFonts w:ascii="Cambria Math" w:hAnsi="Cambria Math" w:eastAsia="Cambria Math" w:cs="Cambria Math"/>
          <w:color w:val="000000"/>
          <w:sz w:val="20"/>
        </w:rPr>
        <w:t>t₊ = [z₊² L⁺⁺ + z₊ z₋ L⁺⁻] / [z₊² L⁺⁺ + z₋² L⁻⁻ + 2 z₊ z₋ L⁺⁻].</w:t>
      </w:r>
      <w:r>
        <w:tab/>
      </w:r>
      <w:r>
        <w:rPr>
          <w:rFonts w:ascii="Times New Roman" w:hAnsi="Times New Roman" w:eastAsia="Times New Roman" w:cs="Times New Roman"/>
          <w:color w:val="000000"/>
          <w:sz w:val="20"/>
        </w:rPr>
        <w:t>(6)</w:t>
      </w:r>
    </w:p>
    <w:p>
      <w:pPr/>
      <w:r>
        <w:rPr>
          <w:rFonts w:ascii="Times New Roman" w:hAnsi="Times New Roman" w:eastAsia="Times New Roman" w:cs="Times New Roman"/>
          <w:color w:val="000000"/>
          <w:sz w:val="22"/>
        </w:rPr>
        <w:t>For equal-magnitude scaled charges this reduces to (L⁺⁺ - L⁺⁻)/(L⁺⁺ + L⁻⁻ - 2L⁺⁻). Because the trajectories and Onsager coefficients are defined relative to the total center of mass, Eq. (6) gives a barycentric-frame transference number. If the selected porous-electrode implementation requires a solvent-velocity-reference transference number, an explicit reference-frame transformation is necessary before direct use; such a transformation is not present in the supplied LELiB archive.</w:t>
      </w:r>
    </w:p>
    <w:p>
      <w:pPr/>
      <w:r>
        <w:rPr>
          <w:rFonts w:ascii="Times New Roman" w:hAnsi="Times New Roman" w:eastAsia="Times New Roman" w:cs="Times New Roman"/>
          <w:color w:val="000000"/>
          <w:sz w:val="22"/>
        </w:rPr>
        <w:t>The binary salt diffusion coefficient is computed using Eq. 16 of Fong et al. [2]:</w:t>
      </w:r>
    </w:p>
    <w:p>
      <w:pPr>
        <w:pStyle w:val="Equation"/>
        <w:keepLines/>
      </w:pPr>
      <w:r>
        <w:tab/>
      </w:r>
      <w:r>
        <w:rPr>
          <w:rFonts w:ascii="Cambria Math" w:hAnsi="Cambria Math" w:eastAsia="Cambria Math" w:cs="Cambria Math"/>
          <w:color w:val="000000"/>
          <w:sz w:val="20"/>
        </w:rPr>
        <w:t>D_salt = [ν R T ξ/(c ν₊ ν₋)] × {-z₊ z₋ [L⁺⁺ L⁻⁻ - (L⁺⁻)²]} / [z₊² L⁺⁺ + z₋² L⁻⁻ + 2 z₊ z₋ L⁺⁻],</w:t>
      </w:r>
      <w:r>
        <w:tab/>
      </w:r>
      <w:r>
        <w:rPr>
          <w:rFonts w:ascii="Times New Roman" w:hAnsi="Times New Roman" w:eastAsia="Times New Roman" w:cs="Times New Roman"/>
          <w:color w:val="000000"/>
          <w:sz w:val="20"/>
        </w:rPr>
        <w:t>(7)</w:t>
      </w:r>
    </w:p>
    <w:p>
      <w:pPr/>
      <w:r>
        <w:rPr>
          <w:rFonts w:ascii="Times New Roman" w:hAnsi="Times New Roman" w:eastAsia="Times New Roman" w:cs="Times New Roman"/>
          <w:color w:val="000000"/>
          <w:sz w:val="22"/>
        </w:rPr>
        <w:t>where nu_+ = nu_- = 1, nu = nu_+ + nu_- = 2, c is the salt concentration in mol m⁻³, and ξ is the thermodynamic factor. Equation (7) shows why self-diffusion coefficients alone are insufficient: D_salt depends on the determinant of the collective Onsager matrix and on solution non-ideality through ξ.</w:t>
      </w:r>
    </w:p>
    <w:p>
      <w:pPr>
        <w:pStyle w:val="Heading3"/>
      </w:pPr>
      <w:r>
        <w:t>2.1.6 Static permittivity and contact ion pairs</w:t>
      </w:r>
    </w:p>
    <w:p>
      <w:pPr/>
      <w:r>
        <w:rPr>
          <w:rFonts w:ascii="Times New Roman" w:hAnsi="Times New Roman" w:eastAsia="Times New Roman" w:cs="Times New Roman"/>
          <w:color w:val="000000"/>
          <w:sz w:val="22"/>
        </w:rPr>
        <w:t>The activity calculation requires the static relative permittivity of both the pure solvent mixture, ε_solv, and the salt-containing solution, ε_sol. Following van der Lubbe and Canepa [4], LELiB evaluates the static permittivity from fluctuations of the total dipole moment M:</w:t>
      </w:r>
    </w:p>
    <w:p>
      <w:pPr>
        <w:pStyle w:val="Equation"/>
        <w:keepLines/>
      </w:pPr>
      <w:r>
        <w:tab/>
      </w:r>
      <w:r>
        <w:rPr>
          <w:rFonts w:ascii="Cambria Math" w:hAnsi="Cambria Math" w:eastAsia="Cambria Math" w:cs="Cambria Math"/>
          <w:color w:val="000000"/>
          <w:sz w:val="20"/>
        </w:rPr>
        <w:t>ε_r = 1 + [⟨|M|²⟩ - |⟨M⟩|²]/(3 ε₀ V kB T).</w:t>
      </w:r>
      <w:r>
        <w:tab/>
      </w:r>
      <w:r>
        <w:rPr>
          <w:rFonts w:ascii="Times New Roman" w:hAnsi="Times New Roman" w:eastAsia="Times New Roman" w:cs="Times New Roman"/>
          <w:color w:val="000000"/>
          <w:sz w:val="20"/>
        </w:rPr>
        <w:t>(8)</w:t>
      </w:r>
    </w:p>
    <w:p>
      <w:pPr/>
      <w:r>
        <w:rPr>
          <w:rFonts w:ascii="Times New Roman" w:hAnsi="Times New Roman" w:eastAsia="Times New Roman" w:cs="Times New Roman"/>
          <w:color w:val="000000"/>
          <w:sz w:val="22"/>
        </w:rPr>
        <w:t>For solvent mixtures, molecular fragments are first made whole across periodic boundaries and only neutral solvent fragments are included. The dipole of each solvent type s is multiplied in post-processing by a solvent-specific correction alpha_s. The current implementation uses alpha_s = 0.9123 (EC), 1.7903 (DMC), 2.0761 (EMC), 1.0284 (PC), 0.9874 (DEC), and 0.8866 (DME). These corrections modify only the computed dipole response and do not alter the MD forces or trajectory.</w:t>
      </w:r>
    </w:p>
    <w:p>
      <w:pPr/>
      <w:r>
        <w:rPr>
          <w:rFonts w:ascii="Times New Roman" w:hAnsi="Times New Roman" w:eastAsia="Times New Roman" w:cs="Times New Roman"/>
          <w:color w:val="000000"/>
          <w:sz w:val="22"/>
        </w:rPr>
        <w:t>For electrolyte solutions, the corrected total dipole is decomposed as M = M_solv + M_CIP. The Li-anion radial distribution function is computed over the final 5000 stored frames (or the complete trajectory if shorter), using 200 bins between 0 and 10 Å. The first physically significant RDF peak is identified with a minimum prominence of 0.5, and the associated first minimum defines the CIP cutoff. Ion sites within this cutoff are clustered under periodic boundary conditions. A CIP is retained only when the cluster contains exactly one Li⁺ and one anion and the complete two-residue cluster is neutral; larger aggregates are excluded, consistent with the treatment in Ref. [4].</w:t>
      </w:r>
    </w:p>
    <w:p>
      <w:pPr/>
      <w:r>
        <w:rPr>
          <w:rFonts w:ascii="Times New Roman" w:hAnsi="Times New Roman" w:eastAsia="Times New Roman" w:cs="Times New Roman"/>
          <w:color w:val="000000"/>
          <w:sz w:val="22"/>
        </w:rPr>
        <w:t>The dipole of each CIP is evaluated from all atoms in the unwrapped ion-pair geometry. To compensate for the charge scaling applied in the trajectory, the simulated CIP charges are multiplied by ξ_CIP/q_eff, such that the post-processed charges correspond to ξ_CIP times the original force-field charges. The correction is represented in the code by ξ_CIP(ε_solv) = a - b/(ε_solv + c), with salt-specific coefficients distributed with LELiB. Solvent, CIP, and solvent-CIP cross fluctuations are accumulated separately and summed exactly, allowing the direct permittivity to be checked against the reconstructed decomposition. Unless changed by the user, permittivity is evaluated from 12 to 30 ns of both the pure-solvent and electrolyte trajectories.</w:t>
      </w:r>
    </w:p>
    <w:p>
      <w:pPr>
        <w:pStyle w:val="Heading3"/>
      </w:pPr>
      <w:r>
        <w:t>2.1.7 Mean activity coefficient and thermodynamic factor</w:t>
      </w:r>
    </w:p>
    <w:p>
      <w:pPr/>
      <w:r>
        <w:rPr>
          <w:rFonts w:ascii="Times New Roman" w:hAnsi="Times New Roman" w:eastAsia="Times New Roman" w:cs="Times New Roman"/>
          <w:color w:val="000000"/>
          <w:sz w:val="22"/>
        </w:rPr>
        <w:t>The mean molar activity coefficient is represented as the product of extended Debye-Huckel and Born contributions [4]:</w:t>
      </w:r>
    </w:p>
    <w:p>
      <w:pPr>
        <w:pStyle w:val="Equation"/>
        <w:keepLines/>
      </w:pPr>
      <w:r>
        <w:tab/>
      </w:r>
      <w:r>
        <w:rPr>
          <w:rFonts w:ascii="Cambria Math" w:hAnsi="Cambria Math" w:eastAsia="Cambria Math" w:cs="Cambria Math"/>
          <w:color w:val="000000"/>
          <w:sz w:val="20"/>
        </w:rPr>
        <w:t>γ± = γ_DH γ_B.</w:t>
      </w:r>
      <w:r>
        <w:tab/>
      </w:r>
      <w:r>
        <w:rPr>
          <w:rFonts w:ascii="Times New Roman" w:hAnsi="Times New Roman" w:eastAsia="Times New Roman" w:cs="Times New Roman"/>
          <w:color w:val="000000"/>
          <w:sz w:val="20"/>
        </w:rPr>
        <w:t>(9)</w:t>
      </w:r>
    </w:p>
    <w:p>
      <w:pPr/>
      <w:r>
        <w:rPr>
          <w:rFonts w:ascii="Times New Roman" w:hAnsi="Times New Roman" w:eastAsia="Times New Roman" w:cs="Times New Roman"/>
          <w:color w:val="000000"/>
          <w:sz w:val="22"/>
        </w:rPr>
        <w:t>For the fully dissociated 1:1 salt, the Debye-Huckel contribution is</w:t>
      </w:r>
    </w:p>
    <w:p>
      <w:pPr>
        <w:pStyle w:val="Equation"/>
        <w:keepLines/>
      </w:pPr>
      <w:r>
        <w:tab/>
      </w:r>
      <w:r>
        <w:rPr>
          <w:rFonts w:ascii="Cambria Math" w:hAnsi="Cambria Math" w:eastAsia="Cambria Math" w:cs="Cambria Math"/>
          <w:color w:val="000000"/>
          <w:sz w:val="20"/>
        </w:rPr>
        <w:t>ln γ_DH = -zeta κ_D/[1 + κ_D a], with zeta = e²/[8 π ε₀ ε_sol kB T],</w:t>
      </w:r>
      <w:r>
        <w:tab/>
      </w:r>
      <w:r>
        <w:rPr>
          <w:rFonts w:ascii="Times New Roman" w:hAnsi="Times New Roman" w:eastAsia="Times New Roman" w:cs="Times New Roman"/>
          <w:color w:val="000000"/>
          <w:sz w:val="20"/>
        </w:rPr>
        <w:t>(10)</w:t>
      </w:r>
    </w:p>
    <w:p>
      <w:pPr>
        <w:pStyle w:val="Equation"/>
        <w:keepLines/>
      </w:pPr>
      <w:r>
        <w:tab/>
      </w:r>
      <w:r>
        <w:rPr>
          <w:rFonts w:ascii="Cambria Math" w:hAnsi="Cambria Math" w:eastAsia="Cambria Math" w:cs="Cambria Math"/>
          <w:color w:val="000000"/>
          <w:sz w:val="20"/>
        </w:rPr>
        <w:t>κ_D = [2 Nₐ e² c/(ε₀ ε_sol kB T)]^(1/2),</w:t>
      </w:r>
      <w:r>
        <w:tab/>
      </w:r>
      <w:r>
        <w:rPr>
          <w:rFonts w:ascii="Times New Roman" w:hAnsi="Times New Roman" w:eastAsia="Times New Roman" w:cs="Times New Roman"/>
          <w:color w:val="000000"/>
          <w:sz w:val="20"/>
        </w:rPr>
        <w:t>(11)</w:t>
      </w:r>
    </w:p>
    <w:p>
      <w:pPr/>
      <w:r>
        <w:rPr>
          <w:rFonts w:ascii="Times New Roman" w:hAnsi="Times New Roman" w:eastAsia="Times New Roman" w:cs="Times New Roman"/>
          <w:color w:val="000000"/>
          <w:sz w:val="22"/>
        </w:rPr>
        <w:t>where c is expressed in mol m⁻³ and a is the sum of the cation and anion size parameters. LELiB uses ionic radii of 0.60 Å for Li⁺, 2.42 Å for PF₆⁻, 3.26 Å for TFSI⁻, 2.90 Å for FSI⁻, 2.30 Å for BF₄⁻, and 2.25 Å for ClO₄⁻.</w:t>
      </w:r>
    </w:p>
    <w:p>
      <w:pPr/>
      <w:r>
        <w:rPr>
          <w:rFonts w:ascii="Times New Roman" w:hAnsi="Times New Roman" w:eastAsia="Times New Roman" w:cs="Times New Roman"/>
          <w:color w:val="000000"/>
          <w:sz w:val="22"/>
        </w:rPr>
        <w:t>The Born contribution for ion i is</w:t>
      </w:r>
    </w:p>
    <w:p>
      <w:pPr>
        <w:pStyle w:val="Equation"/>
        <w:keepLines/>
      </w:pPr>
      <w:r>
        <w:tab/>
      </w:r>
      <w:r>
        <w:rPr>
          <w:rFonts w:ascii="Cambria Math" w:hAnsi="Cambria Math" w:eastAsia="Cambria Math" w:cs="Cambria Math"/>
          <w:color w:val="000000"/>
          <w:sz w:val="20"/>
        </w:rPr>
        <w:t>ln γ_i,B = [e²/(8 π ε₀ kB T Rᵢ,B)] × [1/ε_Born - 1/ε_solv],</w:t>
      </w:r>
      <w:r>
        <w:tab/>
      </w:r>
      <w:r>
        <w:rPr>
          <w:rFonts w:ascii="Times New Roman" w:hAnsi="Times New Roman" w:eastAsia="Times New Roman" w:cs="Times New Roman"/>
          <w:color w:val="000000"/>
          <w:sz w:val="20"/>
        </w:rPr>
        <w:t>(12)</w:t>
      </w:r>
    </w:p>
    <w:p>
      <w:pPr/>
      <w:r>
        <w:rPr>
          <w:rFonts w:ascii="Times New Roman" w:hAnsi="Times New Roman" w:eastAsia="Times New Roman" w:cs="Times New Roman"/>
          <w:color w:val="000000"/>
          <w:sz w:val="22"/>
        </w:rPr>
        <w:t>and ln γ_B = (ln gamma_+,B + ln gamma_-,B)/2 for a 1:1 electrolyte. Born radii R_i,B are obtained by inserting fitted Gibbs solvation energies, Delta G_i = A_i + B_i/(ε_solv + C_i), into the Born solvation equation. The ion-specific A_i, B_i, and C_i coefficients are stored in LELiB for Li⁺, PF₆⁻, TFSI⁻, FSI⁻, BF₄⁻, and ClO₄⁻.</w:t>
      </w:r>
    </w:p>
    <w:p>
      <w:pPr/>
      <w:r>
        <w:rPr>
          <w:rFonts w:ascii="Times New Roman" w:hAnsi="Times New Roman" w:eastAsia="Times New Roman" w:cs="Times New Roman"/>
          <w:color w:val="000000"/>
          <w:sz w:val="22"/>
        </w:rPr>
        <w:t>The current implementation applies a code-specific low-concentration regularization to the dielectric change entering Eq. (12). For c &lt;= 0.7 mol L⁻¹, ε_Born is set to ε_solv + 0.1(ε_sol - ε_solv). Above 0.7 mol L⁻¹, the unattenuated concentration dependence is restored with a constant offset chosen to preserve continuity of ln γ_B at the switching concentration. Because this regularization is an implementation choice beyond the base model in Ref. [4], its physical justification and sensitivity should be documented with the final validation.</w:t>
      </w:r>
    </w:p>
    <w:p>
      <w:pPr/>
      <w:r>
        <w:rPr>
          <w:rFonts w:ascii="Times New Roman" w:hAnsi="Times New Roman" w:eastAsia="Times New Roman" w:cs="Times New Roman"/>
          <w:color w:val="000000"/>
          <w:sz w:val="22"/>
        </w:rPr>
        <w:t>The thermodynamic factor is then evaluated as</w:t>
      </w:r>
    </w:p>
    <w:p>
      <w:pPr>
        <w:pStyle w:val="Equation"/>
        <w:keepLines/>
      </w:pPr>
      <w:r>
        <w:tab/>
      </w:r>
      <w:r>
        <w:rPr>
          <w:rFonts w:ascii="Cambria Math" w:hAnsi="Cambria Math" w:eastAsia="Cambria Math" w:cs="Cambria Math"/>
          <w:color w:val="000000"/>
          <w:sz w:val="20"/>
        </w:rPr>
        <w:t>ξ = 1 + d ln γ±/d ln c.</w:t>
      </w:r>
      <w:r>
        <w:tab/>
      </w:r>
      <w:r>
        <w:rPr>
          <w:rFonts w:ascii="Times New Roman" w:hAnsi="Times New Roman" w:eastAsia="Times New Roman" w:cs="Times New Roman"/>
          <w:color w:val="000000"/>
          <w:sz w:val="20"/>
        </w:rPr>
        <w:t>(13)</w:t>
      </w:r>
    </w:p>
    <w:p>
      <w:pPr/>
      <w:r>
        <w:rPr>
          <w:rFonts w:ascii="Times New Roman" w:hAnsi="Times New Roman" w:eastAsia="Times New Roman" w:cs="Times New Roman"/>
          <w:color w:val="000000"/>
          <w:sz w:val="22"/>
        </w:rPr>
        <w:t>LELiB reads a concentration-ordered activity table and evaluates the derivative locally from the closest tabulated concentration and its two adjacent points. A second-order numerical gradient in ln γ± versus ln c is used at the central point. Endpoints are not reported because a centered three-point neighborhood is unavailable. The resulting ξ enters Eq. (7) for D_salt and the electrolyte potential equation of the physics-based model.</w:t>
      </w:r>
    </w:p>
    <w:p>
      <w:pPr>
        <w:pStyle w:val="Heading3"/>
      </w:pPr>
      <w:r>
        <w:t>2.1.8 Structural descriptors and statistical treatment</w:t>
      </w:r>
    </w:p>
    <w:p>
      <w:pPr/>
      <w:r>
        <w:rPr>
          <w:rFonts w:ascii="Times New Roman" w:hAnsi="Times New Roman" w:eastAsia="Times New Roman" w:cs="Times New Roman"/>
          <w:color w:val="000000"/>
          <w:sz w:val="22"/>
        </w:rPr>
        <w:t>In addition to transport coefficients, LELiB computes radial distribution functions, coordination numbers, solvation-shell classifications, and ion-cluster populations. The coordination number of species j around species i is obtained from</w:t>
      </w:r>
    </w:p>
    <w:p>
      <w:pPr>
        <w:pStyle w:val="Equation"/>
        <w:keepLines/>
      </w:pPr>
      <w:r>
        <w:tab/>
      </w:r>
      <w:r>
        <w:rPr>
          <w:rFonts w:ascii="Cambria Math" w:hAnsi="Cambria Math" w:eastAsia="Cambria Math" w:cs="Cambria Math"/>
          <w:color w:val="000000"/>
          <w:sz w:val="20"/>
        </w:rPr>
        <w:t>n_ij(r) = 4 π ρⱼ ∫₀ʳ g_ij(r') r'² dr',</w:t>
      </w:r>
      <w:r>
        <w:tab/>
      </w:r>
      <w:r>
        <w:rPr>
          <w:rFonts w:ascii="Times New Roman" w:hAnsi="Times New Roman" w:eastAsia="Times New Roman" w:cs="Times New Roman"/>
          <w:color w:val="000000"/>
          <w:sz w:val="20"/>
        </w:rPr>
        <w:t>(14)</w:t>
      </w:r>
    </w:p>
    <w:p>
      <w:pPr/>
      <w:r>
        <w:rPr>
          <w:rFonts w:ascii="Times New Roman" w:hAnsi="Times New Roman" w:eastAsia="Times New Roman" w:cs="Times New Roman"/>
          <w:color w:val="000000"/>
          <w:sz w:val="22"/>
        </w:rPr>
        <w:t>and is evaluated at the first minimum following the first significant RDF peak. Solvation-shell populations are classified from atom selections within the selected cutoff. Ion-association populations are constructed by clustering cation and anion sites under periodic boundary conditions and reporting the distribution of cluster stoichiometries. These structural descriptors are used to interpret the concentration dependence of the collective transport terms and to quantify the CIP population entering the permittivity analysis.</w:t>
      </w:r>
    </w:p>
    <w:p>
      <w:pPr/>
      <w:r>
        <w:rPr>
          <w:rFonts w:ascii="Times New Roman" w:hAnsi="Times New Roman" w:eastAsia="Times New Roman" w:cs="Times New Roman"/>
          <w:color w:val="000000"/>
          <w:sz w:val="22"/>
        </w:rPr>
        <w:t>For the default 30 ns production trajectory, transport uncertainty is obtained from five non-overlapping 6 ns blocks. The reported value is the arithmetic mean across blocks and the uncertainty is the standard error, s/sqrt(N_block), calculated from the sample standard deviation with N_block - 1 degrees of freedom. This block estimate quantifies within-trajectory temporal variability but is not a substitute for independent initial-condition replicas. Where independent simulations are used, the final manuscript should distinguish between block uncertainty and between-replica uncertainty.</w:t>
      </w:r>
    </w:p>
    <w:p>
      <w:pPr>
        <w:pStyle w:val="Heading2"/>
      </w:pPr>
      <w:r>
        <w:t>2.2 Included electrolyte systems</w:t>
      </w:r>
    </w:p>
    <w:p>
      <w:pPr/>
      <w:r>
        <w:rPr>
          <w:rFonts w:ascii="Times New Roman" w:hAnsi="Times New Roman" w:eastAsia="Times New Roman" w:cs="Times New Roman"/>
          <w:color w:val="000000"/>
          <w:sz w:val="22"/>
        </w:rPr>
        <w:t>The attached LELiB release supports the six solvents EC, PC, DMC, DEC, DME, and EMC and the five lithium salts LiPF6, LiTFSI, LiFSI, LiBF4, and LiClO4. Any one-, two-, or three-solvent combination can be constructed by specifying the solvent list and relative volume-allocation fractions. The code normalizes these fractions internally; consequently, the input convention must not be described as a weight or mole fraction unless the input has first been converted to the volume-allocation convention used by the builder.</w:t>
      </w:r>
    </w:p>
    <w:p>
      <w:pPr>
        <w:pStyle w:val="Caption"/>
        <w:keepNext/>
        <w:spacing w:before="100" w:after="80"/>
      </w:pPr>
      <w:r>
        <w:rPr>
          <w:rFonts w:ascii="Times New Roman" w:hAnsi="Times New Roman" w:eastAsia="Times New Roman" w:cs="Times New Roman"/>
          <w:b/>
          <w:color w:val="000000"/>
          <w:sz w:val="20"/>
        </w:rPr>
        <w:t>Table 1. Electrolyte species supported in the attached LELiB release.</w:t>
      </w:r>
    </w:p>
    <w:tbl>
      <w:tblPr>
        <w:tblStyle w:val="TableGrid"/>
        <w:tblW w:type="dxa" w:w="9030"/>
        <w:jc w:val="left"/>
        <w:tblLayout w:type="fixed"/>
        <w:tblLook w:firstColumn="1" w:firstRow="1" w:lastColumn="0" w:lastRow="0" w:noHBand="0" w:noVBand="1" w:val="04A0"/>
        <w:tblInd w:w="120" w:type="dxa"/>
      </w:tblPr>
      <w:tblGrid>
        <w:gridCol w:w="1500"/>
        <w:gridCol w:w="3800"/>
        <w:gridCol w:w="3730"/>
      </w:tblGrid>
      <w:tr>
        <w:trPr>
          <w:tblHeader w:val="true"/>
        </w:trPr>
        <w:tc>
          <w:tcPr>
            <w:tcW w:type="dxa" w:w="1500"/>
            <w:tcMar>
              <w:top w:w="80" w:type="dxa"/>
              <w:start w:w="120" w:type="dxa"/>
              <w:bottom w:w="80" w:type="dxa"/>
              <w:end w:w="120" w:type="dxa"/>
            </w:tcMar>
            <w:vAlign w:val="center"/>
            <w:shd w:fill="E7E6E6"/>
          </w:tcPr>
          <w:p>
            <w:pPr>
              <w:spacing w:before="0" w:after="0" w:line="252" w:lineRule="auto"/>
              <w:jc w:val="left"/>
            </w:pPr>
            <w:r>
              <w:rPr>
                <w:rFonts w:ascii="Times New Roman" w:hAnsi="Times New Roman" w:eastAsia="Times New Roman" w:cs="Times New Roman"/>
                <w:b/>
                <w:color w:val="000000"/>
                <w:sz w:val="19"/>
              </w:rPr>
              <w:t>Category</w:t>
            </w:r>
          </w:p>
        </w:tc>
        <w:tc>
          <w:tcPr>
            <w:tcW w:type="dxa" w:w="3800"/>
            <w:tcMar>
              <w:top w:w="80" w:type="dxa"/>
              <w:start w:w="120" w:type="dxa"/>
              <w:bottom w:w="80" w:type="dxa"/>
              <w:end w:w="120" w:type="dxa"/>
            </w:tcMar>
            <w:vAlign w:val="center"/>
            <w:shd w:fill="E7E6E6"/>
          </w:tcPr>
          <w:p>
            <w:pPr>
              <w:spacing w:before="0" w:after="0" w:line="252" w:lineRule="auto"/>
              <w:jc w:val="left"/>
            </w:pPr>
            <w:r>
              <w:rPr>
                <w:rFonts w:ascii="Times New Roman" w:hAnsi="Times New Roman" w:eastAsia="Times New Roman" w:cs="Times New Roman"/>
                <w:b/>
                <w:color w:val="000000"/>
                <w:sz w:val="19"/>
              </w:rPr>
              <w:t>Supported species</w:t>
            </w:r>
          </w:p>
        </w:tc>
        <w:tc>
          <w:tcPr>
            <w:tcW w:type="dxa" w:w="3730"/>
            <w:tcMar>
              <w:top w:w="80" w:type="dxa"/>
              <w:start w:w="120" w:type="dxa"/>
              <w:bottom w:w="80" w:type="dxa"/>
              <w:end w:w="120" w:type="dxa"/>
            </w:tcMar>
            <w:vAlign w:val="center"/>
            <w:shd w:fill="E7E6E6"/>
          </w:tcPr>
          <w:p>
            <w:pPr>
              <w:spacing w:before="0" w:after="0" w:line="252" w:lineRule="auto"/>
              <w:jc w:val="left"/>
            </w:pPr>
            <w:r>
              <w:rPr>
                <w:rFonts w:ascii="Times New Roman" w:hAnsi="Times New Roman" w:eastAsia="Times New Roman" w:cs="Times New Roman"/>
                <w:b/>
                <w:color w:val="000000"/>
                <w:sz w:val="19"/>
              </w:rPr>
              <w:t>Implementation note</w:t>
            </w:r>
          </w:p>
        </w:tc>
      </w:tr>
      <w:tr>
        <w:trPr/>
        <w:tc>
          <w:tcPr>
            <w:tcW w:type="dxa" w:w="1500"/>
            <w:tcMar>
              <w:top w:w="80" w:type="dxa"/>
              <w:start w:w="120" w:type="dxa"/>
              <w:bottom w:w="80" w:type="dxa"/>
              <w:end w:w="120" w:type="dxa"/>
            </w:tcMar>
            <w:vAlign w:val="center"/>
          </w:tcPr>
          <w:p>
            <w:pPr>
              <w:spacing w:before="0" w:after="0" w:line="252" w:lineRule="auto"/>
              <w:jc w:val="left"/>
            </w:pPr>
            <w:r>
              <w:rPr>
                <w:rFonts w:ascii="Times New Roman" w:hAnsi="Times New Roman" w:eastAsia="Times New Roman" w:cs="Times New Roman"/>
                <w:b w:val="0"/>
                <w:color w:val="000000"/>
                <w:sz w:val="19"/>
              </w:rPr>
              <w:t>Solvents</w:t>
            </w:r>
          </w:p>
        </w:tc>
        <w:tc>
          <w:tcPr>
            <w:tcW w:type="dxa" w:w="3800"/>
            <w:tcMar>
              <w:top w:w="80" w:type="dxa"/>
              <w:start w:w="120" w:type="dxa"/>
              <w:bottom w:w="80" w:type="dxa"/>
              <w:end w:w="120" w:type="dxa"/>
            </w:tcMar>
            <w:vAlign w:val="center"/>
          </w:tcPr>
          <w:p>
            <w:pPr>
              <w:spacing w:before="0" w:after="0" w:line="252" w:lineRule="auto"/>
              <w:jc w:val="left"/>
            </w:pPr>
            <w:r>
              <w:rPr>
                <w:rFonts w:ascii="Times New Roman" w:hAnsi="Times New Roman" w:eastAsia="Times New Roman" w:cs="Times New Roman"/>
                <w:b w:val="0"/>
                <w:color w:val="000000"/>
                <w:sz w:val="19"/>
              </w:rPr>
              <w:t>EC, PC, DMC, DEC, DME, EMC</w:t>
            </w:r>
          </w:p>
        </w:tc>
        <w:tc>
          <w:tcPr>
            <w:tcW w:type="dxa" w:w="3730"/>
            <w:tcMar>
              <w:top w:w="80" w:type="dxa"/>
              <w:start w:w="120" w:type="dxa"/>
              <w:bottom w:w="80" w:type="dxa"/>
              <w:end w:w="120" w:type="dxa"/>
            </w:tcMar>
            <w:vAlign w:val="center"/>
          </w:tcPr>
          <w:p>
            <w:pPr>
              <w:spacing w:before="0" w:after="0" w:line="252" w:lineRule="auto"/>
              <w:jc w:val="left"/>
            </w:pPr>
            <w:r>
              <w:rPr>
                <w:rFonts w:ascii="Times New Roman" w:hAnsi="Times New Roman" w:eastAsia="Times New Roman" w:cs="Times New Roman"/>
                <w:b w:val="0"/>
                <w:color w:val="000000"/>
                <w:sz w:val="19"/>
              </w:rPr>
              <w:t>United-atom TraPPE-compatible topologies</w:t>
            </w:r>
          </w:p>
        </w:tc>
      </w:tr>
      <w:tr>
        <w:trPr/>
        <w:tc>
          <w:tcPr>
            <w:tcW w:type="dxa" w:w="1500"/>
            <w:tcMar>
              <w:top w:w="80" w:type="dxa"/>
              <w:start w:w="120" w:type="dxa"/>
              <w:bottom w:w="80" w:type="dxa"/>
              <w:end w:w="120" w:type="dxa"/>
            </w:tcMar>
            <w:vAlign w:val="center"/>
          </w:tcPr>
          <w:p>
            <w:pPr>
              <w:spacing w:before="0" w:after="0" w:line="252" w:lineRule="auto"/>
              <w:jc w:val="left"/>
            </w:pPr>
            <w:r>
              <w:rPr>
                <w:rFonts w:ascii="Times New Roman" w:hAnsi="Times New Roman" w:eastAsia="Times New Roman" w:cs="Times New Roman"/>
                <w:b w:val="0"/>
                <w:color w:val="000000"/>
                <w:sz w:val="19"/>
              </w:rPr>
              <w:t>Lithium salts</w:t>
            </w:r>
          </w:p>
        </w:tc>
        <w:tc>
          <w:tcPr>
            <w:tcW w:type="dxa" w:w="3800"/>
            <w:tcMar>
              <w:top w:w="80" w:type="dxa"/>
              <w:start w:w="120" w:type="dxa"/>
              <w:bottom w:w="80" w:type="dxa"/>
              <w:end w:w="120" w:type="dxa"/>
            </w:tcMar>
            <w:vAlign w:val="center"/>
          </w:tcPr>
          <w:p>
            <w:pPr>
              <w:spacing w:before="0" w:after="0" w:line="252" w:lineRule="auto"/>
              <w:jc w:val="left"/>
            </w:pPr>
            <w:r>
              <w:rPr>
                <w:rFonts w:ascii="Times New Roman" w:hAnsi="Times New Roman" w:eastAsia="Times New Roman" w:cs="Times New Roman"/>
                <w:b w:val="0"/>
                <w:color w:val="000000"/>
                <w:sz w:val="19"/>
              </w:rPr>
              <w:t>LiPF6, LiTFSI, LiFSI, LiBF4, LiClO4</w:t>
            </w:r>
          </w:p>
        </w:tc>
        <w:tc>
          <w:tcPr>
            <w:tcW w:type="dxa" w:w="3730"/>
            <w:tcMar>
              <w:top w:w="80" w:type="dxa"/>
              <w:start w:w="120" w:type="dxa"/>
              <w:bottom w:w="80" w:type="dxa"/>
              <w:end w:w="120" w:type="dxa"/>
            </w:tcMar>
            <w:vAlign w:val="center"/>
          </w:tcPr>
          <w:p>
            <w:pPr>
              <w:spacing w:before="0" w:after="0" w:line="252" w:lineRule="auto"/>
              <w:jc w:val="left"/>
            </w:pPr>
            <w:r>
              <w:rPr>
                <w:rFonts w:ascii="Times New Roman" w:hAnsi="Times New Roman" w:eastAsia="Times New Roman" w:cs="Times New Roman"/>
                <w:b w:val="0"/>
                <w:color w:val="000000"/>
                <w:sz w:val="19"/>
              </w:rPr>
              <w:t>Li+ plus distributed-charge polyatomic anions</w:t>
            </w:r>
          </w:p>
        </w:tc>
      </w:tr>
      <w:tr>
        <w:trPr/>
        <w:tc>
          <w:tcPr>
            <w:tcW w:type="dxa" w:w="1500"/>
            <w:tcMar>
              <w:top w:w="80" w:type="dxa"/>
              <w:start w:w="120" w:type="dxa"/>
              <w:bottom w:w="80" w:type="dxa"/>
              <w:end w:w="120" w:type="dxa"/>
            </w:tcMar>
            <w:vAlign w:val="center"/>
          </w:tcPr>
          <w:p>
            <w:pPr>
              <w:spacing w:before="0" w:after="0" w:line="252" w:lineRule="auto"/>
              <w:jc w:val="left"/>
            </w:pPr>
            <w:r>
              <w:rPr>
                <w:rFonts w:ascii="Times New Roman" w:hAnsi="Times New Roman" w:eastAsia="Times New Roman" w:cs="Times New Roman"/>
                <w:b w:val="0"/>
                <w:color w:val="000000"/>
                <w:sz w:val="19"/>
              </w:rPr>
              <w:t>Mixtures</w:t>
            </w:r>
          </w:p>
        </w:tc>
        <w:tc>
          <w:tcPr>
            <w:tcW w:type="dxa" w:w="3800"/>
            <w:tcMar>
              <w:top w:w="80" w:type="dxa"/>
              <w:start w:w="120" w:type="dxa"/>
              <w:bottom w:w="80" w:type="dxa"/>
              <w:end w:w="120" w:type="dxa"/>
            </w:tcMar>
            <w:vAlign w:val="center"/>
          </w:tcPr>
          <w:p>
            <w:pPr>
              <w:spacing w:before="0" w:after="0" w:line="252" w:lineRule="auto"/>
              <w:jc w:val="left"/>
            </w:pPr>
            <w:r>
              <w:rPr>
                <w:rFonts w:ascii="Times New Roman" w:hAnsi="Times New Roman" w:eastAsia="Times New Roman" w:cs="Times New Roman"/>
                <w:b w:val="0"/>
                <w:color w:val="000000"/>
                <w:sz w:val="19"/>
              </w:rPr>
              <w:t>Single, binary, and ternary solvent selections</w:t>
            </w:r>
          </w:p>
        </w:tc>
        <w:tc>
          <w:tcPr>
            <w:tcW w:type="dxa" w:w="3730"/>
            <w:tcMar>
              <w:top w:w="80" w:type="dxa"/>
              <w:start w:w="120" w:type="dxa"/>
              <w:bottom w:w="80" w:type="dxa"/>
              <w:end w:w="120" w:type="dxa"/>
            </w:tcMar>
            <w:vAlign w:val="center"/>
          </w:tcPr>
          <w:p>
            <w:pPr>
              <w:spacing w:before="0" w:after="0" w:line="252" w:lineRule="auto"/>
              <w:jc w:val="left"/>
            </w:pPr>
            <w:r>
              <w:rPr>
                <w:rFonts w:ascii="Times New Roman" w:hAnsi="Times New Roman" w:eastAsia="Times New Roman" w:cs="Times New Roman"/>
                <w:b w:val="0"/>
                <w:color w:val="000000"/>
                <w:sz w:val="19"/>
              </w:rPr>
              <w:t>Input fractions allocate the remaining solvent volume</w:t>
            </w:r>
          </w:p>
        </w:tc>
      </w:tr>
    </w:tbl>
    <w:p>
      <w:pPr>
        <w:spacing w:before="60" w:after="60"/>
      </w:pPr>
      <w:r>
        <w:rPr>
          <w:rFonts w:ascii="Times New Roman" w:hAnsi="Times New Roman" w:eastAsia="Times New Roman" w:cs="Times New Roman"/>
          <w:i/>
          <w:color w:val="555555"/>
          <w:sz w:val="18"/>
        </w:rPr>
        <w:t>Note: FEC and DOL are not available through the active builder in the supplied archive.</w:t>
      </w:r>
    </w:p>
    <w:p>
      <w:pPr/>
      <w:r>
        <w:rPr>
          <w:rFonts w:ascii="Times New Roman" w:hAnsi="Times New Roman" w:eastAsia="Times New Roman" w:cs="Times New Roman"/>
          <w:color w:val="000000"/>
          <w:sz w:val="22"/>
        </w:rPr>
        <w:t>For validation against the concentration- and temperature-dependent measurements of Landesfeind and Gasteiger [1], the available code can represent LiPF6 in EC:DMC and EC:EMC mixtures. The third electrolyte in that experimental study, EMC:FEC, cannot be reproduced with the attached release because FEC is not included. The exact validation compositions, concentration grid, temperature grid, box size, q_eff, and number of replicas should be reported in a state-point table once confirmed. The same table should distinguish systems used for experimental validation from formulations used only for exploratory screening.</w:t>
      </w:r>
    </w:p>
    <w:p>
      <w:pPr>
        <w:pStyle w:val="Heading2"/>
      </w:pPr>
      <w:r>
        <w:t>2.3 Physics-based models</w:t>
      </w:r>
    </w:p>
    <w:p>
      <w:pPr>
        <w:pStyle w:val="Heading3"/>
      </w:pPr>
      <w:r>
        <w:t>2.3.1 Molecular-to-continuum parameter interface</w:t>
      </w:r>
    </w:p>
    <w:p>
      <w:pPr/>
      <w:r>
        <w:rPr>
          <w:rFonts w:ascii="Times New Roman" w:hAnsi="Times New Roman" w:eastAsia="Times New Roman" w:cs="Times New Roman"/>
          <w:color w:val="000000"/>
          <w:sz w:val="22"/>
        </w:rPr>
        <w:t>For each electrolyte formulation, LELiB provides the four concentration- and temperature-dependent functions required by the binary concentrated-solution electrolyte equations: ionic conductivity κ(c,T), binary salt diffusion coefficient D_salt(c,T), cation transference number t₊(c,T), and thermodynamic factor ξ(c,T). Before insertion into the cell model, the discrete MD values are represented by continuous response surfaces. Concentration dependence may be fitted with low-order polynomials or another positivity-preserving interpolant, while temperature dependence may be expressed with Arrhenius-type functions. The fit form, coefficient covariance, valid concentration-temperature domain, and treatment of extrapolation must be reported. Fits should be evaluated against withheld state points or by cross-validation, and unphysical predictions such as negative κ, D_salt, or ξ should be excluded.</w:t>
      </w:r>
    </w:p>
    <w:p>
      <w:pPr>
        <w:pStyle w:val="Heading3"/>
      </w:pPr>
      <w:r>
        <w:t>2.3.2 Concentrated-solution electrolyte equations</w:t>
      </w:r>
    </w:p>
    <w:p>
      <w:pPr/>
      <w:r>
        <w:rPr>
          <w:rFonts w:ascii="Times New Roman" w:hAnsi="Times New Roman" w:eastAsia="Times New Roman" w:cs="Times New Roman"/>
          <w:color w:val="000000"/>
          <w:sz w:val="22"/>
        </w:rPr>
        <w:t>Using the notation of Landesfeind and Gasteiger [1], conservation of salt in a porous electrolyte phase is written as</w:t>
      </w:r>
    </w:p>
    <w:p>
      <w:pPr>
        <w:pStyle w:val="Equation"/>
        <w:keepLines/>
      </w:pPr>
      <w:r>
        <w:tab/>
      </w:r>
      <w:r>
        <w:rPr>
          <w:rFonts w:ascii="Cambria Math" w:hAnsi="Cambria Math" w:eastAsia="Cambria Math" w:cs="Cambria Math"/>
          <w:color w:val="000000"/>
          <w:sz w:val="20"/>
        </w:rPr>
        <w:t>ε ∂ c/∂ t - ∇·[(ε/τ) D_salt(c,T) ∇ c] + ∇·{[t₊(c,T)/(z₊ ν₊ F)] iₑ} = 0,</w:t>
      </w:r>
      <w:r>
        <w:tab/>
      </w:r>
      <w:r>
        <w:rPr>
          <w:rFonts w:ascii="Times New Roman" w:hAnsi="Times New Roman" w:eastAsia="Times New Roman" w:cs="Times New Roman"/>
          <w:color w:val="000000"/>
          <w:sz w:val="20"/>
        </w:rPr>
        <w:t>(15)</w:t>
      </w:r>
    </w:p>
    <w:p>
      <w:pPr/>
      <w:r>
        <w:rPr>
          <w:rFonts w:ascii="Times New Roman" w:hAnsi="Times New Roman" w:eastAsia="Times New Roman" w:cs="Times New Roman"/>
          <w:color w:val="000000"/>
          <w:sz w:val="22"/>
        </w:rPr>
        <w:t>where epsilon and tau are the electrolyte volume fraction and tortuosity factor, respectively, and i_e is the electrolyte current density. The corresponding concentrated-solution current relation is</w:t>
      </w:r>
    </w:p>
    <w:p>
      <w:pPr>
        <w:pStyle w:val="Equation"/>
        <w:keepLines/>
      </w:pPr>
      <w:r>
        <w:tab/>
      </w:r>
      <w:r>
        <w:rPr>
          <w:rFonts w:ascii="Cambria Math" w:hAnsi="Cambria Math" w:eastAsia="Cambria Math" w:cs="Cambria Math"/>
          <w:color w:val="000000"/>
          <w:sz w:val="20"/>
        </w:rPr>
        <w:t>iₑ = -(ε/τ) κ(c,T) ∇ φₑ + [(ν₊ + ν₋)/(z₊ ν₊)] (R T/F) (ε/τ) κ(c,T) ξ(c,T) [1 - t₊(c,T)] ∇ c/c.</w:t>
      </w:r>
      <w:r>
        <w:tab/>
      </w:r>
      <w:r>
        <w:rPr>
          <w:rFonts w:ascii="Times New Roman" w:hAnsi="Times New Roman" w:eastAsia="Times New Roman" w:cs="Times New Roman"/>
          <w:color w:val="000000"/>
          <w:sz w:val="20"/>
        </w:rPr>
        <w:t>(16)</w:t>
      </w:r>
    </w:p>
    <w:p>
      <w:pPr/>
      <w:r>
        <w:rPr>
          <w:rFonts w:ascii="Times New Roman" w:hAnsi="Times New Roman" w:eastAsia="Times New Roman" w:cs="Times New Roman"/>
          <w:color w:val="000000"/>
          <w:sz w:val="22"/>
        </w:rPr>
        <w:t>Equations (15) and (16) make the roles of all four LELiB outputs explicit. Conductivity controls the ohmic potential gradient, D_salt controls relaxation of concentration gradients, t₊ partitions the migration flux, and ξ scales the diffusional contribution to electrolyte potential. In a complete pseudo-two-dimensional (P2D) model these equations are coupled to charge conservation in the solid phase, lithium diffusion in active-material particles, interfacial reaction kinetics, and the cell thermal or isothermal closure [8].</w:t>
      </w:r>
    </w:p>
    <w:p>
      <w:pPr/>
      <w:r>
        <w:rPr>
          <w:rFonts w:ascii="Times New Roman" w:hAnsi="Times New Roman" w:eastAsia="Times New Roman" w:cs="Times New Roman"/>
          <w:color w:val="000000"/>
          <w:sz w:val="22"/>
        </w:rPr>
        <w:t>The reference frame used for t₊ must be consistent between Eqs. (6) and (15)-(16). The present LELiB analysis is barycentric. If the P2D formulation uses the solvent-velocity-reference transference number convention commonly adopted for liquid electrolytes, the required conversion must be implemented and documented before claiming direct parameter transfer.</w:t>
      </w:r>
    </w:p>
    <w:p>
      <w:pPr>
        <w:pStyle w:val="Heading3"/>
      </w:pPr>
      <w:r>
        <w:t>2.3.3 Reference cell, numerical implementation, and performance protocols</w:t>
      </w:r>
    </w:p>
    <w:p>
      <w:pPr/>
      <w:r>
        <w:rPr>
          <w:rFonts w:ascii="Times New Roman" w:hAnsi="Times New Roman" w:eastAsia="Times New Roman" w:cs="Times New Roman"/>
          <w:color w:val="000000"/>
          <w:sz w:val="22"/>
        </w:rPr>
        <w:t>The attached archive does not include the physics-based cell-model source, reference-cell parameter set, numerical solver, or simulated performance protocols. The final version of this subsection should specify: (i) cell chemistry and geometry; (ii) electrode and separator thicknesses, porosities, tortuosities, particle radii, and active surface areas; (iii) solid-state diffusion, electronic conductivity, open-circuit potentials, kinetic parameters, and thermal assumptions; (iv) governing-equation discretization, mesh resolution, time integration, nonlinear tolerances, and software version; (v) initial salt concentration, state of charge, temperature, and voltage limits; and (vi) definitions of the C-rate, HPPC, and EIS protocols. The comparison should change only the electrolyte parameter surfaces when isolating electrolyte effects, keeping electrode and operating parameters fixed. Sensitivity calculations should propagate the uncertainty in κ, D_salt, t₊, and ξ to predicted polarization, electrolyte depletion, lithium-plating onset, and rate capability.</w:t>
      </w:r>
    </w:p>
    <w:p>
      <w:pPr>
        <w:pStyle w:val="Heading1"/>
      </w:pPr>
      <w:r>
        <w:t>3. Results</w:t>
      </w:r>
    </w:p>
    <w:p>
      <w:pPr>
        <w:pStyle w:val="Heading2"/>
      </w:pPr>
      <w:r>
        <w:t>3.1 Transport properties</w:t>
      </w:r>
    </w:p>
    <w:p>
      <w:pPr>
        <w:spacing w:after="60"/>
        <w:jc w:val="left"/>
        <w:numPr>
          <w:ilvl w:val="0"/>
          <w:numId w:val="10"/>
        </w:numPr>
      </w:pPr>
      <w:r>
        <w:rPr>
          <w:rFonts w:ascii="Times New Roman" w:hAnsi="Times New Roman" w:eastAsia="Times New Roman" w:cs="Times New Roman"/>
          <w:color w:val="000000"/>
          <w:sz w:val="21"/>
        </w:rPr>
        <w:t>Temperature- and concentration-dependent transport-property curves.</w:t>
      </w:r>
    </w:p>
    <w:p>
      <w:pPr>
        <w:spacing w:after="60"/>
        <w:jc w:val="left"/>
        <w:numPr>
          <w:ilvl w:val="0"/>
          <w:numId w:val="10"/>
        </w:numPr>
      </w:pPr>
      <w:r>
        <w:rPr>
          <w:rFonts w:ascii="Times New Roman" w:hAnsi="Times New Roman" w:eastAsia="Times New Roman" w:cs="Times New Roman"/>
          <w:color w:val="000000"/>
          <w:sz w:val="21"/>
        </w:rPr>
        <w:t>Joint concentration and Arrhenius-type temperature fits, including uncertainty and cross-validation.</w:t>
      </w:r>
    </w:p>
    <w:p>
      <w:pPr>
        <w:spacing w:after="60"/>
        <w:jc w:val="left"/>
        <w:numPr>
          <w:ilvl w:val="0"/>
          <w:numId w:val="10"/>
        </w:numPr>
      </w:pPr>
      <w:r>
        <w:rPr>
          <w:rFonts w:ascii="Times New Roman" w:hAnsi="Times New Roman" w:eastAsia="Times New Roman" w:cs="Times New Roman"/>
          <w:color w:val="000000"/>
          <w:sz w:val="21"/>
        </w:rPr>
        <w:t>Validation against available experimental data.</w:t>
      </w:r>
    </w:p>
    <w:p>
      <w:pPr>
        <w:spacing w:after="60"/>
        <w:jc w:val="left"/>
        <w:numPr>
          <w:ilvl w:val="0"/>
          <w:numId w:val="10"/>
        </w:numPr>
      </w:pPr>
      <w:r>
        <w:rPr>
          <w:rFonts w:ascii="Times New Roman" w:hAnsi="Times New Roman" w:eastAsia="Times New Roman" w:cs="Times New Roman"/>
          <w:color w:val="000000"/>
          <w:sz w:val="21"/>
        </w:rPr>
        <w:t>Reproducibility across independent simulations and distinction from block uncertainty.</w:t>
      </w:r>
    </w:p>
    <w:p>
      <w:pPr>
        <w:spacing w:after="60"/>
        <w:jc w:val="left"/>
        <w:numPr>
          <w:ilvl w:val="0"/>
          <w:numId w:val="10"/>
        </w:numPr>
      </w:pPr>
      <w:r>
        <w:rPr>
          <w:rFonts w:ascii="Times New Roman" w:hAnsi="Times New Roman" w:eastAsia="Times New Roman" w:cs="Times New Roman"/>
          <w:color w:val="000000"/>
          <w:sz w:val="21"/>
        </w:rPr>
        <w:t>Sensitivity to ionic partial-charge scaling.</w:t>
      </w:r>
    </w:p>
    <w:p>
      <w:pPr>
        <w:spacing w:after="60"/>
        <w:jc w:val="left"/>
        <w:numPr>
          <w:ilvl w:val="0"/>
          <w:numId w:val="10"/>
        </w:numPr>
      </w:pPr>
      <w:r>
        <w:rPr>
          <w:rFonts w:ascii="Times New Roman" w:hAnsi="Times New Roman" w:eastAsia="Times New Roman" w:cs="Times New Roman"/>
          <w:color w:val="000000"/>
          <w:sz w:val="21"/>
        </w:rPr>
        <w:t>CIP, solvent-separated ion-pair, and aggregate populations and their effect on static permittivity and activity.</w:t>
      </w:r>
    </w:p>
    <w:p>
      <w:pPr>
        <w:pStyle w:val="Heading2"/>
      </w:pPr>
      <w:r>
        <w:t>3.2 Effect on electrochemical response</w:t>
      </w:r>
    </w:p>
    <w:p>
      <w:pPr>
        <w:spacing w:after="60"/>
        <w:jc w:val="left"/>
        <w:numPr>
          <w:ilvl w:val="0"/>
          <w:numId w:val="10"/>
        </w:numPr>
      </w:pPr>
      <w:r>
        <w:rPr>
          <w:rFonts w:ascii="Times New Roman" w:hAnsi="Times New Roman" w:eastAsia="Times New Roman" w:cs="Times New Roman"/>
          <w:color w:val="000000"/>
          <w:sz w:val="21"/>
        </w:rPr>
        <w:t>Effect of the four electrolyte transport functions on cell polarization and concentration gradients.</w:t>
      </w:r>
    </w:p>
    <w:p>
      <w:pPr>
        <w:spacing w:after="60"/>
        <w:jc w:val="left"/>
        <w:numPr>
          <w:ilvl w:val="0"/>
          <w:numId w:val="10"/>
        </w:numPr>
      </w:pPr>
      <w:r>
        <w:rPr>
          <w:rFonts w:ascii="Times New Roman" w:hAnsi="Times New Roman" w:eastAsia="Times New Roman" w:cs="Times New Roman"/>
          <w:color w:val="000000"/>
          <w:sz w:val="21"/>
        </w:rPr>
        <w:t>Global and local sensitivity analysis.</w:t>
      </w:r>
    </w:p>
    <w:p>
      <w:pPr>
        <w:spacing w:after="60"/>
        <w:jc w:val="left"/>
        <w:numPr>
          <w:ilvl w:val="0"/>
          <w:numId w:val="10"/>
        </w:numPr>
      </w:pPr>
      <w:r>
        <w:rPr>
          <w:rFonts w:ascii="Times New Roman" w:hAnsi="Times New Roman" w:eastAsia="Times New Roman" w:cs="Times New Roman"/>
          <w:color w:val="000000"/>
          <w:sz w:val="21"/>
        </w:rPr>
        <w:t>Specific effect of the activity coefficient and thermodynamic factor.</w:t>
      </w:r>
    </w:p>
    <w:p>
      <w:pPr>
        <w:spacing w:after="60"/>
        <w:jc w:val="left"/>
        <w:numPr>
          <w:ilvl w:val="0"/>
          <w:numId w:val="10"/>
        </w:numPr>
      </w:pPr>
      <w:r>
        <w:rPr>
          <w:rFonts w:ascii="Times New Roman" w:hAnsi="Times New Roman" w:eastAsia="Times New Roman" w:cs="Times New Roman"/>
          <w:color w:val="000000"/>
          <w:sz w:val="21"/>
        </w:rPr>
        <w:t>C-rate capability, HPPC, and EIS response for the selected electrolyte set.</w:t>
      </w:r>
    </w:p>
    <w:p>
      <w:pPr>
        <w:pStyle w:val="Heading1"/>
      </w:pPr>
      <w:r>
        <w:t>4. Discussion</w:t>
      </w:r>
    </w:p>
    <w:p>
      <w:pPr>
        <w:pStyle w:val="Placeholder"/>
        <w:shd w:fill="FFF2CC"/>
      </w:pPr>
      <w:r>
        <w:rPr>
          <w:rFonts w:ascii="Times New Roman" w:hAnsi="Times New Roman" w:eastAsia="Times New Roman" w:cs="Times New Roman"/>
          <w:i/>
          <w:color w:val="555555"/>
          <w:sz w:val="21"/>
        </w:rPr>
        <w:t>[To be developed after the transport validation and cell-level results are available.]</w:t>
      </w:r>
    </w:p>
    <w:p>
      <w:pPr>
        <w:pStyle w:val="Heading1"/>
      </w:pPr>
      <w:r>
        <w:t>Author Contributions</w:t>
      </w:r>
    </w:p>
    <w:p>
      <w:pPr>
        <w:pStyle w:val="Placeholder"/>
        <w:shd w:fill="FFF2CC"/>
      </w:pPr>
      <w:r>
        <w:rPr>
          <w:rFonts w:ascii="Times New Roman" w:hAnsi="Times New Roman" w:eastAsia="Times New Roman" w:cs="Times New Roman"/>
          <w:i/>
          <w:color w:val="555555"/>
          <w:sz w:val="21"/>
        </w:rPr>
        <w:t>[To be completed.]</w:t>
      </w:r>
    </w:p>
    <w:p>
      <w:pPr>
        <w:pStyle w:val="Heading1"/>
      </w:pPr>
      <w:r>
        <w:t>Acknowledgements</w:t>
      </w:r>
    </w:p>
    <w:p>
      <w:pPr>
        <w:pStyle w:val="Placeholder"/>
        <w:shd w:fill="FFF2CC"/>
      </w:pPr>
      <w:r>
        <w:rPr>
          <w:rFonts w:ascii="Times New Roman" w:hAnsi="Times New Roman" w:eastAsia="Times New Roman" w:cs="Times New Roman"/>
          <w:i/>
          <w:color w:val="555555"/>
          <w:sz w:val="21"/>
        </w:rPr>
        <w:t>[To be completed.]</w:t>
      </w:r>
    </w:p>
    <w:p>
      <w:pPr>
        <w:pStyle w:val="Heading1"/>
      </w:pPr>
      <w:r>
        <w:t>Competing interests</w:t>
      </w:r>
    </w:p>
    <w:p>
      <w:pPr>
        <w:pStyle w:val="Placeholder"/>
        <w:shd w:fill="FFF2CC"/>
      </w:pPr>
      <w:r>
        <w:rPr>
          <w:rFonts w:ascii="Times New Roman" w:hAnsi="Times New Roman" w:eastAsia="Times New Roman" w:cs="Times New Roman"/>
          <w:i/>
          <w:color w:val="555555"/>
          <w:sz w:val="21"/>
        </w:rPr>
        <w:t>[To be completed.]</w:t>
      </w:r>
    </w:p>
    <w:p>
      <w:pPr>
        <w:pStyle w:val="Heading1"/>
      </w:pPr>
      <w:r>
        <w:t>Data availability</w:t>
      </w:r>
    </w:p>
    <w:p>
      <w:pPr>
        <w:pStyle w:val="Placeholder"/>
        <w:shd w:fill="FFF2CC"/>
      </w:pPr>
      <w:r>
        <w:rPr>
          <w:rFonts w:ascii="Times New Roman" w:hAnsi="Times New Roman" w:eastAsia="Times New Roman" w:cs="Times New Roman"/>
          <w:i/>
          <w:color w:val="555555"/>
          <w:sz w:val="21"/>
        </w:rPr>
        <w:t>[To be completed.]</w:t>
      </w:r>
    </w:p>
    <w:p>
      <w:pPr>
        <w:pStyle w:val="Heading1"/>
      </w:pPr>
      <w:r>
        <w:t>Code availability</w:t>
      </w:r>
    </w:p>
    <w:p>
      <w:pPr>
        <w:pStyle w:val="Placeholder"/>
        <w:shd w:fill="FFF2CC"/>
      </w:pPr>
      <w:r>
        <w:rPr>
          <w:rFonts w:ascii="Times New Roman" w:hAnsi="Times New Roman" w:eastAsia="Times New Roman" w:cs="Times New Roman"/>
          <w:i/>
          <w:color w:val="555555"/>
          <w:sz w:val="21"/>
        </w:rPr>
        <w:t>[To be completed with the LELiB repository, version, license, and archival DOI.]</w:t>
      </w:r>
    </w:p>
    <w:p>
      <w:pPr>
        <w:pStyle w:val="Heading1"/>
      </w:pPr>
      <w:r>
        <w:t>Supplementary Information</w:t>
      </w:r>
    </w:p>
    <w:p>
      <w:pPr>
        <w:pStyle w:val="Placeholder"/>
        <w:shd w:fill="FFF2CC"/>
      </w:pPr>
      <w:r>
        <w:rPr>
          <w:rFonts w:ascii="Times New Roman" w:hAnsi="Times New Roman" w:eastAsia="Times New Roman" w:cs="Times New Roman"/>
          <w:i/>
          <w:color w:val="555555"/>
          <w:sz w:val="21"/>
        </w:rPr>
        <w:t>[To include the state-point matrix, force-field provenance, fitted parameter tables, convergence tests, replicate statistics, and physics-based model parameters.]</w:t>
      </w:r>
    </w:p>
    <w:p>
      <w:pPr>
        <w:pStyle w:val="Heading1"/>
      </w:pPr>
      <w:r>
        <w:t>References</w:t>
      </w:r>
    </w:p>
    <w:p>
      <w:pPr>
        <w:spacing w:after="80"/>
        <w:jc w:val="left"/>
        <w:numPr>
          <w:ilvl w:val="0"/>
          <w:numId w:val="11"/>
        </w:numPr>
      </w:pPr>
      <w:r>
        <w:rPr>
          <w:rFonts w:ascii="Times New Roman" w:hAnsi="Times New Roman" w:eastAsia="Times New Roman" w:cs="Times New Roman"/>
          <w:color w:val="000000"/>
          <w:sz w:val="20"/>
        </w:rPr>
        <w:t>Landesfeind, J. &amp; Gasteiger, H. A. Temperature and concentration dependence of the ionic transport properties of lithium-ion battery electrolytes. Journal of The Electrochemical Society 166, A3079-A3097 (2019). DOI: 10.1149/2.0571912jes.</w:t>
      </w:r>
    </w:p>
    <w:p>
      <w:pPr>
        <w:spacing w:after="80"/>
        <w:jc w:val="left"/>
        <w:numPr>
          <w:ilvl w:val="0"/>
          <w:numId w:val="11"/>
        </w:numPr>
      </w:pPr>
      <w:r>
        <w:rPr>
          <w:rFonts w:ascii="Times New Roman" w:hAnsi="Times New Roman" w:eastAsia="Times New Roman" w:cs="Times New Roman"/>
          <w:color w:val="000000"/>
          <w:sz w:val="20"/>
        </w:rPr>
        <w:t>Fong, K. D., Self, J., McCloskey, B. D. &amp; Persson, K. A. Ion correlations and their impact on transport in polymer-based electrolytes. Macromolecules (2021). DOI: 10.1021/acs.macromol.0c02545.</w:t>
      </w:r>
    </w:p>
    <w:p>
      <w:pPr>
        <w:spacing w:after="80"/>
        <w:jc w:val="left"/>
        <w:numPr>
          <w:ilvl w:val="0"/>
          <w:numId w:val="11"/>
        </w:numPr>
      </w:pPr>
      <w:r>
        <w:rPr>
          <w:rFonts w:ascii="Times New Roman" w:hAnsi="Times New Roman" w:eastAsia="Times New Roman" w:cs="Times New Roman"/>
          <w:color w:val="000000"/>
          <w:sz w:val="20"/>
        </w:rPr>
        <w:t>Tan, S. et al. PEMD: a high-throughput simulation and analysis framework for solid polymer electrolytes. Digital Discovery (2025). DOI: 10.1039/D5DD00454C.</w:t>
      </w:r>
    </w:p>
    <w:p>
      <w:pPr>
        <w:spacing w:after="80"/>
        <w:jc w:val="left"/>
        <w:numPr>
          <w:ilvl w:val="0"/>
          <w:numId w:val="11"/>
        </w:numPr>
      </w:pPr>
      <w:r>
        <w:rPr>
          <w:rFonts w:ascii="Times New Roman" w:hAnsi="Times New Roman" w:eastAsia="Times New Roman" w:cs="Times New Roman"/>
          <w:color w:val="000000"/>
          <w:sz w:val="20"/>
        </w:rPr>
        <w:t>van der Lubbe, S. C. C. &amp; Canepa, P. Modeling the effects of salt concentration on aqueous and organic electrolytes. npj Computational Materials 9, 175 (2023).</w:t>
      </w:r>
    </w:p>
    <w:p>
      <w:pPr>
        <w:spacing w:after="80"/>
        <w:jc w:val="left"/>
        <w:numPr>
          <w:ilvl w:val="0"/>
          <w:numId w:val="11"/>
        </w:numPr>
      </w:pPr>
      <w:r>
        <w:rPr>
          <w:rFonts w:ascii="Times New Roman" w:hAnsi="Times New Roman" w:eastAsia="Times New Roman" w:cs="Times New Roman"/>
          <w:color w:val="000000"/>
          <w:sz w:val="20"/>
        </w:rPr>
        <w:t>Martinez, L., Andrade, R., Birgin, E. G. &amp; Martinez, J. M. PACKMOL: A package for building initial configurations for molecular dynamics simulations. Journal of Computational Chemistry 30, 2157-2164 (2009). DOI: 10.1002/jcc.21224.</w:t>
      </w:r>
    </w:p>
    <w:p>
      <w:pPr>
        <w:spacing w:after="80"/>
        <w:jc w:val="left"/>
        <w:numPr>
          <w:ilvl w:val="0"/>
          <w:numId w:val="11"/>
        </w:numPr>
      </w:pPr>
      <w:r>
        <w:rPr>
          <w:rFonts w:ascii="Times New Roman" w:hAnsi="Times New Roman" w:eastAsia="Times New Roman" w:cs="Times New Roman"/>
          <w:color w:val="000000"/>
          <w:sz w:val="20"/>
        </w:rPr>
        <w:t>Abraham, M. J. et al. GROMACS: High performance molecular simulations through multi-level parallelism from laptops to supercomputers. SoftwareX 1-2, 19-25 (2015). DOI: 10.1016/j.softx.2015.06.001.</w:t>
      </w:r>
    </w:p>
    <w:p>
      <w:pPr>
        <w:spacing w:after="80"/>
        <w:jc w:val="left"/>
        <w:numPr>
          <w:ilvl w:val="0"/>
          <w:numId w:val="11"/>
        </w:numPr>
      </w:pPr>
      <w:r>
        <w:rPr>
          <w:rFonts w:ascii="Times New Roman" w:hAnsi="Times New Roman" w:eastAsia="Times New Roman" w:cs="Times New Roman"/>
          <w:color w:val="000000"/>
          <w:sz w:val="20"/>
        </w:rPr>
        <w:t>Michaud-Agrawal, N., Denning, E. J., Woolf, T. B. &amp; Beckstein, O. MDAnalysis: A toolkit for the analysis of molecular dynamics simulations. Journal of Computational Chemistry 32, 2319-2327 (2011). DOI: 10.1002/jcc.21787.</w:t>
      </w:r>
    </w:p>
    <w:p>
      <w:pPr>
        <w:spacing w:after="80"/>
        <w:jc w:val="left"/>
        <w:numPr>
          <w:ilvl w:val="0"/>
          <w:numId w:val="11"/>
        </w:numPr>
      </w:pPr>
      <w:r>
        <w:rPr>
          <w:rFonts w:ascii="Times New Roman" w:hAnsi="Times New Roman" w:eastAsia="Times New Roman" w:cs="Times New Roman"/>
          <w:color w:val="000000"/>
          <w:sz w:val="20"/>
        </w:rPr>
        <w:t>Doyle, M., Fuller, T. F. &amp; Newman, J. Modeling of galvanostatic charge and discharge of the lithium/polymer/insertion cell. Journal of The Electrochemical Society 140, 1526-1533 (1993).</w:t>
      </w:r>
    </w:p>
    <w:p>
      <w:pPr>
        <w:spacing w:after="80"/>
        <w:jc w:val="left"/>
        <w:numPr>
          <w:ilvl w:val="0"/>
          <w:numId w:val="11"/>
        </w:numPr>
      </w:pPr>
      <w:r>
        <w:rPr>
          <w:rFonts w:ascii="Times New Roman" w:hAnsi="Times New Roman" w:eastAsia="Times New Roman" w:cs="Times New Roman"/>
          <w:color w:val="000000"/>
          <w:sz w:val="20"/>
        </w:rPr>
        <w:t>Chen, A. A. &amp; Pappu, R. V. Quantitative characterization of ion pairing and cluster formation in strong 1:1 electrolytes. Journal of Physical Chemistry B 111, 6469-6478 (2007). DOI: 10.1021/jp0708547.</w:t>
      </w:r>
    </w:p>
    <w:p>
      <w:pPr>
        <w:spacing w:after="80"/>
        <w:jc w:val="left"/>
        <w:numPr>
          <w:ilvl w:val="0"/>
          <w:numId w:val="11"/>
        </w:numPr>
      </w:pPr>
      <w:r>
        <w:rPr>
          <w:rFonts w:ascii="Times New Roman" w:hAnsi="Times New Roman" w:eastAsia="Times New Roman" w:cs="Times New Roman"/>
          <w:color w:val="000000"/>
          <w:sz w:val="20"/>
        </w:rPr>
        <w:t>Yao, N. et al. An atomic insight into the chemical origin and variation of the dielectric constant in liquid electrolytes. Angewandte Chemie International Edition 60, 21473-21478 (2021). DOI: 10.1002/anie.202107657.</w:t>
      </w:r>
    </w:p>
    <w:p>
      <w:pPr>
        <w:spacing w:after="80"/>
        <w:jc w:val="left"/>
        <w:numPr>
          <w:ilvl w:val="0"/>
          <w:numId w:val="11"/>
        </w:numPr>
      </w:pPr>
      <w:r>
        <w:rPr>
          <w:rFonts w:ascii="Times New Roman" w:hAnsi="Times New Roman" w:eastAsia="Times New Roman" w:cs="Times New Roman"/>
          <w:color w:val="000000"/>
          <w:sz w:val="20"/>
        </w:rPr>
        <w:t>Doherty, B., Zhong, X., Gathiaka, S., Li, B. &amp; Acevedo, O. Revisiting OPLS force field parameters for ionic liquid simulations. Journal of Chemical Theory and Computation 13, 6131-6145 (2017). DOI: 10.1021/acs.jctc.7b00520.</w:t>
      </w:r>
    </w:p>
    <w:p>
      <w:pPr>
        <w:pStyle w:val="Heading1"/>
      </w:pPr>
      <w:r>
        <w:t>Editorial notes - remove before submission</w:t>
      </w:r>
    </w:p>
    <w:p>
      <w:pPr>
        <w:spacing w:after="80"/>
        <w:jc w:val="left"/>
        <w:numPr>
          <w:ilvl w:val="0"/>
          <w:numId w:val="12"/>
        </w:numPr>
      </w:pPr>
      <w:r>
        <w:rPr>
          <w:rFonts w:ascii="Times New Roman" w:hAnsi="Times New Roman" w:eastAsia="Times New Roman" w:cs="Times New Roman"/>
          <w:color w:val="000000"/>
          <w:sz w:val="21"/>
        </w:rPr>
        <w:t>Confirm the expansion of the LELiB acronym, repository URL, software version, license, and archival DOI.</w:t>
      </w:r>
    </w:p>
    <w:p>
      <w:pPr>
        <w:spacing w:after="80"/>
        <w:jc w:val="left"/>
        <w:numPr>
          <w:ilvl w:val="0"/>
          <w:numId w:val="12"/>
        </w:numPr>
      </w:pPr>
      <w:r>
        <w:rPr>
          <w:rFonts w:ascii="Times New Roman" w:hAnsi="Times New Roman" w:eastAsia="Times New Roman" w:cs="Times New Roman"/>
          <w:color w:val="000000"/>
          <w:sz w:val="21"/>
        </w:rPr>
        <w:t>Provide the actual box size, full concentration-temperature-composition matrix, production duration, GROMACS version, q_eff, and independent-replica count used for the reported results.</w:t>
      </w:r>
    </w:p>
    <w:p>
      <w:pPr>
        <w:spacing w:after="80"/>
        <w:jc w:val="left"/>
        <w:numPr>
          <w:ilvl w:val="0"/>
          <w:numId w:val="12"/>
        </w:numPr>
      </w:pPr>
      <w:r>
        <w:rPr>
          <w:rFonts w:ascii="Times New Roman" w:hAnsi="Times New Roman" w:eastAsia="Times New Roman" w:cs="Times New Roman"/>
          <w:color w:val="000000"/>
          <w:sz w:val="21"/>
        </w:rPr>
        <w:t>Provide the primary source for the TraPPE-compatible solvent parameters and verify the provenance of every ion topology.</w:t>
      </w:r>
    </w:p>
    <w:p>
      <w:pPr>
        <w:spacing w:after="80"/>
        <w:jc w:val="left"/>
        <w:numPr>
          <w:ilvl w:val="0"/>
          <w:numId w:val="12"/>
        </w:numPr>
      </w:pPr>
      <w:r>
        <w:rPr>
          <w:rFonts w:ascii="Times New Roman" w:hAnsi="Times New Roman" w:eastAsia="Times New Roman" w:cs="Times New Roman"/>
          <w:color w:val="000000"/>
          <w:sz w:val="21"/>
        </w:rPr>
        <w:t>Confirm the validation subset. The code supports the Landesfeind EC:DMC and EC:EMC systems but not the EMC:FEC system because FEC is absent.</w:t>
      </w:r>
    </w:p>
    <w:p>
      <w:pPr>
        <w:spacing w:after="80"/>
        <w:jc w:val="left"/>
        <w:numPr>
          <w:ilvl w:val="0"/>
          <w:numId w:val="12"/>
        </w:numPr>
      </w:pPr>
      <w:r>
        <w:rPr>
          <w:rFonts w:ascii="Times New Roman" w:hAnsi="Times New Roman" w:eastAsia="Times New Roman" w:cs="Times New Roman"/>
          <w:color w:val="000000"/>
          <w:sz w:val="21"/>
        </w:rPr>
        <w:t>Resolve the transference-number reference frame. The code uses the barycentric frame; many Newman/P2D implementations require a solvent-reference value.</w:t>
      </w:r>
    </w:p>
    <w:p>
      <w:pPr>
        <w:spacing w:after="80"/>
        <w:jc w:val="left"/>
        <w:numPr>
          <w:ilvl w:val="0"/>
          <w:numId w:val="12"/>
        </w:numPr>
      </w:pPr>
      <w:r>
        <w:rPr>
          <w:rFonts w:ascii="Times New Roman" w:hAnsi="Times New Roman" w:eastAsia="Times New Roman" w:cs="Times New Roman"/>
          <w:color w:val="000000"/>
          <w:sz w:val="21"/>
        </w:rPr>
        <w:t>Supply the physics-based model code and reference-cell parameterization. Section 2.3.3 is intentionally limited to a reproducibility checklist because those materials were not attached.</w:t>
      </w:r>
    </w:p>
    <w:p>
      <w:pPr>
        <w:spacing w:after="80"/>
        <w:jc w:val="left"/>
        <w:numPr>
          <w:ilvl w:val="0"/>
          <w:numId w:val="12"/>
        </w:numPr>
      </w:pPr>
      <w:r>
        <w:rPr>
          <w:rFonts w:ascii="Times New Roman" w:hAnsi="Times New Roman" w:eastAsia="Times New Roman" w:cs="Times New Roman"/>
          <w:color w:val="000000"/>
          <w:sz w:val="21"/>
        </w:rPr>
        <w:t>Document the origin of the solvent alpha corrections, the salt-specific ξ_CIP(ε_solv) fits, the Gibbs-solvation-energy fits, and the ion-size parameters.</w:t>
      </w:r>
    </w:p>
    <w:p>
      <w:pPr>
        <w:spacing w:after="80"/>
        <w:jc w:val="left"/>
        <w:numPr>
          <w:ilvl w:val="0"/>
          <w:numId w:val="12"/>
        </w:numPr>
      </w:pPr>
      <w:r>
        <w:rPr>
          <w:rFonts w:ascii="Times New Roman" w:hAnsi="Times New Roman" w:eastAsia="Times New Roman" w:cs="Times New Roman"/>
          <w:color w:val="000000"/>
          <w:sz w:val="21"/>
        </w:rPr>
        <w:t>Justify the code-specific Born regularization at 0.7 mol L⁻¹ with attenuation 0.1 and include a sensitivity analysis.</w:t>
      </w:r>
    </w:p>
    <w:p>
      <w:pPr>
        <w:spacing w:after="80"/>
        <w:jc w:val="left"/>
        <w:numPr>
          <w:ilvl w:val="0"/>
          <w:numId w:val="12"/>
        </w:numPr>
      </w:pPr>
      <w:r>
        <w:rPr>
          <w:rFonts w:ascii="Times New Roman" w:hAnsi="Times New Roman" w:eastAsia="Times New Roman" w:cs="Times New Roman"/>
          <w:color w:val="000000"/>
          <w:sz w:val="21"/>
        </w:rPr>
        <w:t>Distinguish temporal block errors from uncertainty across independent replicas in all figures and tables.</w:t>
      </w:r>
    </w:p>
    <w:p>
      <w:pPr>
        <w:spacing w:after="80"/>
        <w:jc w:val="left"/>
        <w:numPr>
          <w:ilvl w:val="0"/>
          <w:numId w:val="12"/>
        </w:numPr>
      </w:pPr>
      <w:r>
        <w:rPr>
          <w:rFonts w:ascii="Times New Roman" w:hAnsi="Times New Roman" w:eastAsia="Times New Roman" w:cs="Times New Roman"/>
          <w:color w:val="000000"/>
          <w:sz w:val="21"/>
        </w:rPr>
        <w:t>The main 2023 activity-model article was not included among the attachments; verify the exact bibliographic record and equations against the final published article.</w:t>
      </w:r>
    </w:p>
    <w:sectPr w:rsidR="00FC693F" w:rsidRPr="0006063C" w:rsidSect="00034616">
      <w:footerReference w:type="default" r:id="rId9"/>
      <w:pgSz w:w="11906" w:h="16838"/>
      <w:pgMar w:top="1304" w:right="1417" w:bottom="130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color w:val="555555"/>
        <w:sz w:val="18"/>
      </w:rPr>
      <w:t xml:space="preserve">LELiB manuscript draft | </w:t>
    </w:r>
    <w:r>
      <w:rPr>
        <w:rFonts w:ascii="Times New Roman" w:hAnsi="Times New Roman" w:eastAsia="Times New Roman" w:cs="Times New Roman"/>
        <w:color w:val="555555"/>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360"/>
      </w:pPr>
    </w:lvl>
  </w:abstractNum>
  <w:num w:numId="11">
    <w:abstractNumId w:val="10"/>
  </w:num>
  <w:abstractNum w:abstractNumId="11">
    <w:multiLevelType w:val="singleLevel"/>
    <w:lvl w:ilvl="0">
      <w:start w:val="1"/>
      <w:numFmt w:val="decimal"/>
      <w:lvlText w:val="%1."/>
      <w:suff w:val="tab"/>
      <w:pPr>
        <w:tabs>
          <w:tab w:val="num" w:pos="540"/>
        </w:tabs>
        <w:ind w:left="54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2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18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tabs>
        <w:tab w:pos="4514" w:val="center"/>
        <w:tab w:pos="9029" w:val="right"/>
      </w:tabs>
      <w:spacing w:before="60" w:after="120"/>
    </w:pPr>
    <w:rPr>
      <w:rFonts w:ascii="Cambria Math" w:hAnsi="Cambria Math"/>
      <w:sz w:val="20"/>
    </w:rPr>
  </w:style>
  <w:style w:type="paragraph" w:customStyle="1" w:styleId="Placeholder">
    <w:name w:val="Placeholder"/>
    <w:pPr>
      <w:spacing w:before="60" w:after="140"/>
      <w:ind w:left="198" w:right="198"/>
    </w:pPr>
    <w:rPr>
      <w:rFonts w:ascii="Times New Roman" w:hAnsi="Times New Roman"/>
      <w:i/>
      <w:color w:val="5555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High-Throughput Molecular Simulation of Commercial Li-Ion Electrolytes and Their Impact on Cell-Level Performance</dc:title>
  <dc:subject>Revised Introduction and Computational Methods</dc:subject>
  <dc:creator>Henry A. Cortes; Laura Oca; Iker Lopetegi; Oier Arcelus</dc:creator>
  <cp:keywords/>
  <dc:description>generated by python-docx</dc:description>
  <cp:lastModifiedBy/>
  <cp:revision>1</cp:revision>
  <dcterms:created xsi:type="dcterms:W3CDTF">2013-12-23T23:15:00Z</dcterms:created>
  <dcterms:modified xsi:type="dcterms:W3CDTF">2013-12-23T23:15:00Z</dcterms:modified>
  <cp:category/>
</cp:coreProperties>
</file>