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STATUS.md — BiDash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_Mis à jour : 01/06/2026_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Objectif de la prochaine session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Analyser les fichiers exemples fournis par Vincent (wshop, Y2, GA) → adapter BiDash aux colonnes réelles → valider le prototype v1.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Session du 01/06/2026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Réalisé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Cadrage du besoin : outil BI file-based, CSV/XLSX, HTML standalone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Prototype BiDash v1 livré (drag &amp; drop, détection colonnes, KPIs, charts, tables)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Structure projet créée dans Google Drive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Définition des 3 sources : wshop (commandes), Y2 (stock), GA (trafic)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Décisions prises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Architecture v1 : HTML pur côté client, SheetJS + Chart.js → raison : aucune dépendance serveur, données restent locales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Mapping de colonnes : détection automatique avec correction manuelle → raison : colonnes inconnues a priori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Points ouverts / Risques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⚠️ Colonnes réelles de wshop et Y2 inconnues — la détection auto peut échouer → attendre les fichiers exemples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⚠️ Format d'export GA à confirmer (GA4 vs Universal Analytics, CSV brut vs rapport personnalisé)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🔲 Architecture v2 (connexions directes API) non définie — à traiter après v1 validée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Backlog priorisé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Analyser fichiers exemples réels (wshop, Y2, GA)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Adapter BiDash : dictionnaire de colonnes spécifique aux systèmes de Vincent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Valider prototype v1 en conditions réelles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Rédiger cahier des charges v1 complet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Définir vision v2 (connexions directes, architecture cible)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