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B2A47"/>
          <w:sz w:val="80"/>
          <w:szCs w:val="80"/>
        </w:rPr>
        <w:t xml:space="preserve">WARDEX</w:t>
      </w:r>
    </w:p>
    <w:p>
      <w:pPr>
        <w:spacing w:before="0" w:after="60"/>
      </w:pPr>
      <w:r>
        <w:rPr>
          <w:rFonts w:ascii="Arial" w:cs="Arial" w:eastAsia="Arial" w:hAnsi="Arial"/>
          <w:color w:val="2E75B6"/>
          <w:sz w:val="36"/>
          <w:szCs w:val="36"/>
        </w:rPr>
        <w:t xml:space="preserve">Benchmark Report — Risk-Based Release Gate &amp; Compliance Tooling</w:t>
      </w:r>
    </w:p>
    <w:p>
      <w:pPr>
        <w:spacing w:before="0" w:after="60"/>
      </w:pPr>
      <w:r>
        <w:rPr>
          <w:rFonts w:ascii="Arial" w:cs="Arial" w:eastAsia="Arial" w:hAnsi="Arial"/>
          <w:i/>
          <w:iCs/>
          <w:color w:val="717D7E"/>
          <w:sz w:val="26"/>
          <w:szCs w:val="26"/>
        </w:rPr>
        <w:t xml:space="preserve">Competitive Analysis: Wardex vs Snyk · Trivy · Grype · Dependency-Track · Mend.io</w:t>
      </w:r>
    </w:p>
    <w:p>
      <w:pPr>
        <w:pBdr>
          <w:bottom w:val="single" w:color="2E75B6" w:sz="6" w:space="1"/>
        </w:pBdr>
        <w:spacing w:before="80" w:after="80"/>
      </w:pPr>
      <w:r>
        <w:t xml:space="preserve"/>
      </w:r>
    </w:p>
    <w:p>
      <w:pPr>
        <w:spacing w:before="40" w:after="1440"/>
      </w:pPr>
      <w:r>
        <w:rPr>
          <w:rFonts w:ascii="Arial" w:cs="Arial" w:eastAsia="Arial" w:hAnsi="Arial"/>
          <w:color w:val="717D7E"/>
          <w:sz w:val="20"/>
          <w:szCs w:val="20"/>
        </w:rPr>
        <w:t xml:space="preserve">March 2026  ·  Version 1.0  ·  Wardex v1.1.0 (AGPL-3.0)</w:t>
      </w:r>
    </w:p>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1. Executive Summary</w:t>
      </w:r>
    </w:p>
    <w:p>
      <w:pPr>
        <w:pBdr>
          <w:bottom w:val="single" w:color="2E75B6" w:sz="6" w:space="1"/>
        </w:pBdr>
        <w:spacing w:before="80" w:after="80"/>
      </w:pPr>
      <w:r>
        <w:t xml:space="preserve"/>
      </w:r>
    </w:p>
    <w:p>
      <w:pPr>
        <w:spacing w:before="120" w:after="120"/>
        <w:jc w:val="left"/>
      </w:pPr>
      <w:r>
        <w:rPr>
          <w:rFonts w:ascii="Arial" w:cs="Arial" w:eastAsia="Arial" w:hAnsi="Arial"/>
          <w:b w:val="false"/>
          <w:bCs w:val="false"/>
          <w:i w:val="false"/>
          <w:iCs w:val="false"/>
          <w:color w:val="000000"/>
          <w:sz w:val="20"/>
          <w:szCs w:val="20"/>
        </w:rPr>
        <w:t xml:space="preserve">This report benchmarks Wardex (v1.1.0) against four widely adopted security and compliance tools — Snyk, Trivy, Grype, and Dependency-Track/Mend.io — across eleven dimensions spanning technical capability, compliance alignment, economic cost-of-ownership, and strategic fit. The analysis is grounded in publicly available documentation, pricing data (Q1 2026), and direct inspection of the Wardex source code.</w:t>
      </w:r>
    </w:p>
    <w:p>
      <w:pPr>
        <w:spacing w:before="120" w:after="160"/>
        <w:jc w:val="left"/>
      </w:pPr>
      <w:r>
        <w:rPr>
          <w:rFonts w:ascii="Arial" w:cs="Arial" w:eastAsia="Arial" w:hAnsi="Arial"/>
          <w:b w:val="false"/>
          <w:bCs w:val="false"/>
          <w:i w:val="false"/>
          <w:iCs w:val="false"/>
          <w:color w:val="000000"/>
          <w:sz w:val="20"/>
          <w:szCs w:val="20"/>
        </w:rPr>
        <w:t xml:space="preserve">Key finding: Wardex occupies a distinct niche that no single competing tool replicates. Its core differentiator is the Risk-Based Release Gate — a CI/CD decision engine that replaces static CVSS thresholds with a composite risk score that weighs exploit probability (EPSS), asset criticality, exposure context, and compensating controls. The nearest rival on this dimension is Grype, which incorporates EPSS and KEV signals but does not close the release gate or model compensating controls. On compliance mapping, no evaluated tool natively integrates ISO/IEC 27001:2022 Annex A control maturity into CI/CD decisions.</w:t>
      </w:r>
    </w:p>
    <w:p>
      <w:pPr>
        <w:spacing w:before="120" w:after="80"/>
        <w:jc w:val="left"/>
      </w:pPr>
      <w:r>
        <w:rPr>
          <w:rFonts w:ascii="Arial" w:cs="Arial" w:eastAsia="Arial" w:hAnsi="Arial"/>
          <w:b/>
          <w:bCs/>
          <w:i w:val="false"/>
          <w:iCs w:val="false"/>
          <w:color w:val="000000"/>
          <w:sz w:val="22"/>
          <w:szCs w:val="22"/>
        </w:rPr>
        <w:t xml:space="preserve">Overall Scorecard (5-point scale: 0 = N/A, 5 = Category Leader)</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700"/>
        <w:gridCol w:w="1700"/>
        <w:gridCol w:w="1720"/>
      </w:tblGrid>
      <w:tr>
        <w:trPr>
          <w:tblHeader/>
        </w:trPr>
        <w:tc>
          <w:tcPr>
            <w:tcW w:type="dxa" w:w="3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700"/>
            <w:gridSpan w:val="1"/>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Wardex</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Snyk</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Trivy</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Grype</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Dep-Track</w:t>
            </w:r>
          </w:p>
        </w:tc>
        <w:tc>
          <w:tcPr>
            <w:tcW w:type="dxa" w:w="17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Mend.io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Risk-Aware Release Gating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7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72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Composite Risk Scoring (CVSS+EPSS+Context)</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72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27001:2022 Compliance Mapping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2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Compensating Controls Modelling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2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 Risk Acceptance (Auditable)</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2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Scanning Breadth</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2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 / SBOM Support</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2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IaC &amp; Secrets Scanning</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72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Integration Depth</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72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SDK / Embeddability</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7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7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7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72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Economic Cost (TCO)</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7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72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r>
    </w:tbl>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2. Scope &amp; Methodology</w:t>
      </w:r>
    </w:p>
    <w:p>
      <w:pPr>
        <w:pBdr>
          <w:bottom w:val="single" w:color="2E75B6" w:sz="6" w:space="1"/>
        </w:pBdr>
        <w:spacing w:before="80" w:after="80"/>
      </w:pPr>
      <w: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2.1 Tools Evaluated</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320"/>
        <w:gridCol w:w="3200"/>
      </w:tblGrid>
      <w:tr>
        <w:trPr>
          <w:tblHeader/>
        </w:trPr>
        <w:tc>
          <w:tcPr>
            <w:tcW w:type="dxa" w:w="24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 / Tier</w:t>
            </w:r>
          </w:p>
        </w:tc>
        <w:tc>
          <w:tcPr>
            <w:tcW w:type="dxa" w:w="2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Vendor</w:t>
            </w:r>
          </w:p>
        </w:tc>
        <w:tc>
          <w:tcPr>
            <w:tcW w:type="dxa" w:w="33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Purpose</w:t>
            </w:r>
          </w:p>
        </w:tc>
        <w:tc>
          <w:tcPr>
            <w:tcW w:type="dxa" w:w="3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License / Pricing Model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had-nu (OSS)</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Risk-based release gate + ISO 27001 compliance mapper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AGPL-3.0 — Free / Open Source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 Ltd.</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Developer security platform (SCA, SAST, Container, IaC)</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Commercial — from $25/dev/month; Enterprise custom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v0.59+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Aqua Security</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Multi-layer vulnerability &amp; misconfiguration scanner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 Free / Aqua Platform for enterprise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v0.89+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Anchore</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scanner with CVSS+EPSS+KEV scoring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 Free / Anchore Enterprise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v4.x</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OWASP</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SBOM-driven vulnerability &amp; policy management platform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 Free / Self-hosted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Mend (ex WhiteSource)</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 reachability analysis, license compliance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Commercial — Enterprise custom pricing</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2.2 Evaluation Dimensions</w:t>
      </w:r>
    </w:p>
    <w:p>
      <w:pPr>
        <w:spacing w:before="120" w:after="120"/>
        <w:jc w:val="left"/>
      </w:pPr>
      <w:r>
        <w:rPr>
          <w:rFonts w:ascii="Arial" w:cs="Arial" w:eastAsia="Arial" w:hAnsi="Arial"/>
          <w:b w:val="false"/>
          <w:bCs w:val="false"/>
          <w:i w:val="false"/>
          <w:iCs w:val="false"/>
          <w:color w:val="000000"/>
          <w:sz w:val="20"/>
          <w:szCs w:val="20"/>
        </w:rPr>
        <w:t xml:space="preserve">Each tool is assessed across eleven dimensions, each scored 0–5:</w:t>
      </w:r>
    </w:p>
    <w:p>
      <w:pPr>
        <w:pStyle w:val="ListParagraph"/>
        <w:numPr>
          <w:ilvl w:val="0"/>
          <w:numId w:val="2"/>
        </w:numPr>
        <w:spacing w:before="40" w:after="40"/>
      </w:pPr>
      <w:r>
        <w:rPr>
          <w:rFonts w:ascii="Arial" w:cs="Arial" w:eastAsia="Arial" w:hAnsi="Arial"/>
          <w:sz w:val="18"/>
          <w:szCs w:val="18"/>
        </w:rPr>
        <w:t xml:space="preserve">0 = Not available / N/A</w:t>
      </w:r>
    </w:p>
    <w:p>
      <w:pPr>
        <w:pStyle w:val="ListParagraph"/>
        <w:numPr>
          <w:ilvl w:val="0"/>
          <w:numId w:val="2"/>
        </w:numPr>
        <w:spacing w:before="40" w:after="40"/>
      </w:pPr>
      <w:r>
        <w:rPr>
          <w:rFonts w:ascii="Arial" w:cs="Arial" w:eastAsia="Arial" w:hAnsi="Arial"/>
          <w:sz w:val="18"/>
          <w:szCs w:val="18"/>
        </w:rPr>
        <w:t xml:space="preserve">1 = Weak or limited capability</w:t>
      </w:r>
    </w:p>
    <w:p>
      <w:pPr>
        <w:pStyle w:val="ListParagraph"/>
        <w:numPr>
          <w:ilvl w:val="0"/>
          <w:numId w:val="2"/>
        </w:numPr>
        <w:spacing w:before="40" w:after="40"/>
      </w:pPr>
      <w:r>
        <w:rPr>
          <w:rFonts w:ascii="Arial" w:cs="Arial" w:eastAsia="Arial" w:hAnsi="Arial"/>
          <w:sz w:val="18"/>
          <w:szCs w:val="18"/>
        </w:rPr>
        <w:t xml:space="preserve">2 = Partial — core scenario covered with gaps</w:t>
      </w:r>
    </w:p>
    <w:p>
      <w:pPr>
        <w:pStyle w:val="ListParagraph"/>
        <w:numPr>
          <w:ilvl w:val="0"/>
          <w:numId w:val="2"/>
        </w:numPr>
        <w:spacing w:before="40" w:after="40"/>
      </w:pPr>
      <w:r>
        <w:rPr>
          <w:rFonts w:ascii="Arial" w:cs="Arial" w:eastAsia="Arial" w:hAnsi="Arial"/>
          <w:sz w:val="18"/>
          <w:szCs w:val="18"/>
        </w:rPr>
        <w:t xml:space="preserve">3 = Good — solid implementation, some limitations</w:t>
      </w:r>
    </w:p>
    <w:p>
      <w:pPr>
        <w:pStyle w:val="ListParagraph"/>
        <w:numPr>
          <w:ilvl w:val="0"/>
          <w:numId w:val="2"/>
        </w:numPr>
        <w:spacing w:before="40" w:after="40"/>
      </w:pPr>
      <w:r>
        <w:rPr>
          <w:rFonts w:ascii="Arial" w:cs="Arial" w:eastAsia="Arial" w:hAnsi="Arial"/>
          <w:sz w:val="18"/>
          <w:szCs w:val="18"/>
        </w:rPr>
        <w:t xml:space="preserve">4 = Strong — enterprise-grade, minor gaps</w:t>
      </w:r>
    </w:p>
    <w:p>
      <w:pPr>
        <w:pStyle w:val="ListParagraph"/>
        <w:numPr>
          <w:ilvl w:val="0"/>
          <w:numId w:val="2"/>
        </w:numPr>
        <w:spacing w:before="40" w:after="40"/>
      </w:pPr>
      <w:r>
        <w:rPr>
          <w:rFonts w:ascii="Arial" w:cs="Arial" w:eastAsia="Arial" w:hAnsi="Arial"/>
          <w:sz w:val="18"/>
          <w:szCs w:val="18"/>
        </w:rPr>
        <w:t xml:space="preserve">5 = Category leader — best-in-class for this dimension</w:t>
      </w:r>
    </w:p>
    <w:p>
      <w:pPr>
        <w:spacing w:before="120" w:after="120"/>
        <w:jc w:val="left"/>
      </w:pPr>
      <w:r>
        <w:rPr>
          <w:rFonts w:ascii="Arial" w:cs="Arial" w:eastAsia="Arial" w:hAnsi="Arial"/>
          <w:b w:val="false"/>
          <w:bCs w:val="false"/>
          <w:i w:val="false"/>
          <w:iCs w:val="false"/>
          <w:color w:val="000000"/>
          <w:sz w:val="20"/>
          <w:szCs w:val="20"/>
        </w:rPr>
        <w:t xml:space="preserve"/>
      </w:r>
    </w:p>
    <w:p>
      <w:pPr>
        <w:spacing w:before="120" w:after="120"/>
        <w:jc w:val="left"/>
      </w:pPr>
      <w:r>
        <w:rPr>
          <w:rFonts w:ascii="Arial" w:cs="Arial" w:eastAsia="Arial" w:hAnsi="Arial"/>
          <w:b w:val="false"/>
          <w:bCs w:val="false"/>
          <w:i/>
          <w:iCs/>
          <w:color w:val="717D7E"/>
          <w:sz w:val="18"/>
          <w:szCs w:val="18"/>
        </w:rPr>
        <w:t xml:space="preserve">Scoring is based on: (a) official documentation, (b) source code inspection where available, (c) public benchmarks and peer-reviewed comparisons (Q4 2025–Q1 2026), and (d) hands-on PoC results from the Wardex test/poc suite.</w:t>
      </w:r>
    </w:p>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3. Dimension-by-Dimension Analysis</w:t>
      </w:r>
    </w:p>
    <w:p>
      <w:pPr>
        <w:pBdr>
          <w:bottom w:val="single" w:color="2E75B6" w:sz="6" w:space="1"/>
        </w:pBdr>
        <w:spacing w:before="80" w:after="80"/>
      </w:pPr>
      <w: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3.1  Risk-Aware Release Gating</w:t>
      </w:r>
    </w:p>
    <w:p>
      <w:pPr>
        <w:spacing w:before="120" w:after="120"/>
        <w:jc w:val="left"/>
      </w:pPr>
      <w:r>
        <w:rPr>
          <w:rFonts w:ascii="Arial" w:cs="Arial" w:eastAsia="Arial" w:hAnsi="Arial"/>
          <w:b w:val="false"/>
          <w:bCs w:val="false"/>
          <w:i w:val="false"/>
          <w:iCs w:val="false"/>
          <w:color w:val="000000"/>
          <w:sz w:val="20"/>
          <w:szCs w:val="20"/>
        </w:rPr>
        <w:t xml:space="preserve">This dimension measures whether a tool can block or allow a software release based on a contextualised risk assessment — not just a raw severity threshold.</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Native, purpose-built release gate. Composite formula: (CVSS × EPSS) × (1−compEffect) × criticality × exposure. Supports ANY and AGGREGATE gate modes. Formal risk acceptance with HMAC-SHA256 signing and TTL expiry. Drift detection: gate refuses stale exceptions if wardex-config.yaml has changed since signing. Exit codes are CI-composable (0=ALLOW, 1=BLOCK, 3=tamper, 4=audit corruption).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 supports severity-based CI/CD blocking (e.g., fail on CRITICAL). No contextual asset weighting, no compensating control modelling. Risk acceptance is manual (suppress alerts) with no cryptographic trail. Reachability analysis (Java/JS/Python) reduces some false positives but does not feed a release decision formula.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Trivy supports --exit-code 1 with --severity filtering. Purely threshold-based. No composite scoring, no asset context, no formal risk acceptance. Equivalent to a CVSS &gt;= threshold binary gate.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Grype produces a composite risk score (0–10) using CVSS + EPSS + KEV catalog status, providing significantly better prioritisation than Trivy. However, it does not close a release gate — it is a scanner, not a gate engine. Grype's output can be piped into a custom gate script, but this requires bespoke integration code.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Dependency-Track supports policy engines that can flag components and trigger webhooks. Policies can combine CVSS severity, EPSS score, and license data. However, it lacks asset criticality weighting and compensating controls. Its architecture is server-based, making lightweight CI gating harder.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Mend blocks builds via CI integration based on severity and license policy. No contextual risk formula, no formal risk acceptance mechanism with cryptographic integrity.</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3.2  Composite Risk Scoring (CVSS + EPSS + Context)</w:t>
      </w:r>
    </w:p>
    <w:p>
      <w:pPr>
        <w:spacing w:before="120" w:after="120"/>
        <w:jc w:val="left"/>
      </w:pPr>
      <w:r>
        <w:rPr>
          <w:rFonts w:ascii="Arial" w:cs="Arial" w:eastAsia="Arial" w:hAnsi="Arial"/>
          <w:b w:val="false"/>
          <w:bCs w:val="false"/>
          <w:i w:val="false"/>
          <w:iCs w:val="false"/>
          <w:color w:val="000000"/>
          <w:sz w:val="20"/>
          <w:szCs w:val="20"/>
        </w:rPr>
        <w:t xml:space="preserve">This dimension assesses the sophistication of the risk scoring model: does the tool move beyond raw CVSS to incorporate exploit probability, asset context, and defensive controls?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composite formula with five independent variables: CVSS base, EPSS, asset criticality (0–1), exposure context (internet-facing, auth, environment tier), and compensating controls (clamped at 0.80 combined effectiveness). Conservative defaults (EPSS=1.0 if missing, criticality=1.0 if zero) prevent optimistic misconfiguration. Risk appetite is configurable per-pipeline. Maturity level (1–5) inferred from context and control richness.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 prioritises with Risk Score (proprietary — combines CVSS, EPSS, reachability, social trends, age). Reachability reduces noise in Java/JS/Python. No compensating control input. No asset criticality weighting. Risk Score is advisory; the hard gate remains severity-threshold-based.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Severity only (CVSS-derived: LOW / MEDIUM / HIGH / CRITICAL). No EPSS integration, no context weighting. Aqua Platform adds more scoring for commercial users, but Trivy OSS remains threshold-only.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open-source composite scorer after Wardex. Combines CVSS, EPSS (with 30-day percentile), and CISA KEV catalog membership. Default sort order is by risk, not severity, surfacing actionable findings first. No asset criticality or compensating control inputs — scoring is vulnerability-centric, not asset-centric.</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Dependency-Track aggregates CVSS, EPSS (via FIRST API integration), NVD, and OSS Index data. Policy engine can combine these signals. No asset criticality modelling, no compensating controls. Server-based architecture means scoring is asynchronous rather than inline in CI.</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Mend applies CVSS with reachability analysis (reduces noise). Merge confidence data from millions of repos. No EPSS, no asset criticality, no compensating controls in the scoring model.</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3.3  ISO 27001:2022 Compliance Mapping</w:t>
      </w:r>
    </w:p>
    <w:p>
      <w:pPr>
        <w:spacing w:before="120" w:after="120"/>
        <w:jc w:val="left"/>
      </w:pPr>
      <w:r>
        <w:rPr>
          <w:rFonts w:ascii="Arial" w:cs="Arial" w:eastAsia="Arial" w:hAnsi="Arial"/>
          <w:b w:val="false"/>
          <w:bCs w:val="false"/>
          <w:i w:val="false"/>
          <w:iCs w:val="false"/>
          <w:color w:val="000000"/>
          <w:sz w:val="20"/>
          <w:szCs w:val="20"/>
        </w:rPr>
        <w:t xml:space="preserve">Does the tool natively map security control data to the 93 Annex A controls of ISO/IEC 27001:2022 and generate maturity/gap analysis across the four domains (Organisational, People, Technological, Physical)?</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only evaluated tool with native ISO 27001:2022 Annex A mapping. Ingests existing controls (YAML/JSON/CSV), correlates them against all 93 controls using high-confidence and inferential (regex + domain fallback) matching, and outputs maturity scores per domain with configurable domain_weights. Supports cross-framework correlation (NIST→ISO 27001) with explicit partial-coverage flagging for human review. Gap analysis feeds directly into the release gate maturity score (InferMaturityLevel). Snapshot delta tracking satisfies ISO 27001 Clause 10.2 continuous improvement requirement.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 itself is ISO 27001 and SOC 2 Type 2 certified as a platform, but does not perform ISO 27001 control mapping for its customers. Some enterprise GRC integrations exist via API, but require custom development.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ISO 27001 compliance mapping. Trivy covers CIS Benchmarks and some regulatory checks via IaC scanning (Terraform, Kubernetes), but these are not mapped to ISO 27001 Annex 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Purely a vulnerability scanner. No compliance framework mapping of any kind.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Dependency-Track does not natively map to ISO 27001. It can be part of an ISO 27001-compliant ISMS as an evidence source, but the mapping is manual and external to the tool.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Mend offers compliance reporting for PCI DSS, HIPAA, and OWASP, but does not natively map to ISO 27001 Annex A.</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3.4  Compensating Controls Modelling</w:t>
      </w:r>
    </w:p>
    <w:p>
      <w:pPr>
        <w:spacing w:before="120" w:after="120"/>
        <w:jc w:val="left"/>
      </w:pPr>
      <w:r>
        <w:rPr>
          <w:rFonts w:ascii="Arial" w:cs="Arial" w:eastAsia="Arial" w:hAnsi="Arial"/>
          <w:b w:val="false"/>
          <w:bCs w:val="false"/>
          <w:i w:val="false"/>
          <w:iCs w:val="false"/>
          <w:color w:val="000000"/>
          <w:sz w:val="20"/>
          <w:szCs w:val="20"/>
        </w:rPr>
        <w:t xml:space="preserve">Can the tool accept descriptions of active defensive controls (WAF, auth, network segmentation, EDR) and mathematically reduce the effective risk of a vulnerability based on their effectiveness?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capability not found in any other evaluated tool. Compensating controls are declared in YAML (type + effectiveness 0.0–1.0). The engine computes a combined effectiveness summed across controls, clamped at 0.80 (a conservative ceiling that prevents full-elimination of risk through control stacking). Example: WAF(0.40) + auth(0.30) + segmentation(0.15) = 0.85 → clamped to 0.80 → composite risk is multiplied by (1-0.80) = 0.20. This models the real-world defence-in-depth principle quantitatively.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compensating control modelling. Not on product roadmap as of Q1 2026.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compensating control modelling.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compensating control modelling. KEV catalog membership provides some implicit prioritisation, but no defensive control input.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engine allows suppressing components, but this is binary (suppress/include), not a continuous effectiveness model.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compensating control modelling.</w:t>
            </w:r>
          </w:p>
        </w:tc>
      </w:tr>
    </w:tbl>
    <w:p>
      <w:r>
        <w:br w:type="page"/>
      </w:r>
    </w:p>
    <w:p>
      <w:pPr>
        <w:pStyle w:val="Heading2"/>
        <w:spacing w:before="120" w:after="120"/>
        <w:jc w:val="left"/>
      </w:pPr>
      <w:r>
        <w:rPr>
          <w:rFonts w:ascii="Arial" w:cs="Arial" w:eastAsia="Arial" w:hAnsi="Arial"/>
          <w:b w:val="false"/>
          <w:bCs w:val="false"/>
          <w:i w:val="false"/>
          <w:iCs w:val="false"/>
          <w:color w:val="000000"/>
          <w:sz w:val="20"/>
          <w:szCs w:val="20"/>
        </w:rPr>
        <w:t xml:space="preserve">3.5  Formal Risk Acceptance (Auditable)</w:t>
      </w:r>
    </w:p>
    <w:p>
      <w:pPr>
        <w:spacing w:before="120" w:after="120"/>
        <w:jc w:val="left"/>
      </w:pPr>
      <w:r>
        <w:rPr>
          <w:rFonts w:ascii="Arial" w:cs="Arial" w:eastAsia="Arial" w:hAnsi="Arial"/>
          <w:b w:val="false"/>
          <w:bCs w:val="false"/>
          <w:i w:val="false"/>
          <w:iCs w:val="false"/>
          <w:color w:val="000000"/>
          <w:sz w:val="20"/>
          <w:szCs w:val="20"/>
        </w:rPr>
        <w:t xml:space="preserve">Does the tool provide a structured, cryptographically verifiable mechanism for formally accepting a risk exception — with accountability, expiry, and tamper detection — as required by ISO 27001 Clause 6.1 and Clause 8.3?</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Purpose-built risk acceptance engine (v1.1.0, pkg/accept). Flow: 'wardex accept request' → HMAC-SHA256 signed exception record → append-only JSONL audit log → SIEM forwarding (Syslog, Webhook, CloudWatch, GCP Logging via build tags). Tamper detection: 'wardex accept verify' computes the signature over the stored payload; any alteration triggers Exit Code 3. Drift detection: if wardex-config.yaml changes after signing, the exception is invalidated (Exit Code 3). TTL enforcement: expired exceptions are rejected silently. All state transitions (created, expired, revoked) are logged with UTC timestamps. This satisfies ISO 27001 Clause 6.1.3 (risk treatment plan) and Clause 8.3 (information security risk treatment).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Snyk allows vulnerability suppression/ignoring with a reason and expiry date. No cryptographic signing, no tamper detection, no SIEM forwarding. Suppressions are editable in the Snyk dashboard without audit trail. Adequate for operational suppression, insufficient for ISO 27001 formal risk acceptance.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formal risk acceptance mechanism.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formal risk acceptance mechanism. VEX (Vulnerability Exploitability eXchange) documents can be used as an adjacent pattern, but this is an external standard, not a built-in feature.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Dependency-Track supports component-level suppression with an analyst note. No cryptographic signing, no TTL-based auto-revocation, no SIEM forwarding.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Mend supports manual vulnerability suppression with notes. No cryptographic integrity, no formal audit trail aligned with GRC requirements.</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3.6  Vulnerability Scanning Breadth</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4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104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Wardex is a gate and compliance engine, not a scanner. It ingests vulnerability data produced by scanners (e.g., Grype output YAML), applies its risk model, and makes a release decision. Wardex intentionally has zero scanning capability — this is by design (single responsibility). The recommended stack is Grype (scanner) + Wardex (gate).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Broadest proprietary database. SCA across 50+ languages, container images, IaC configs, SAST for custom code. CVEs reported avg 47 days earlier than NVD. 1,200+ enterprise customers.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binary: OS packages, application dependencies (30+ ecosystems), IaC misconfigurations (Terraform, Kubernetes, Helm, Dockerfile), secrets, license compliance, Kubernetes cluster scanning.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Focused on vulnerability matching. NVD, GitHub Advisories, Alpine SecDB, RHSA, Debian DSA, Ubuntu USN. No IaC, no secrets, no SAST. Pairs with Syft for SBOM-first workflows.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Multi-source aggregation: NVD, GitHub Advisories, Sonatype OSS Index, Snyk, Trivy, OSV. Designed for portfolio-level monitoring across many applications.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9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10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Deep SCA with reachability analysis (call-graph level). License compliance. Merge confidence from millions of repositories. Real-time monitoring for new CVEs.</w:t>
            </w:r>
          </w:p>
        </w:tc>
      </w:tr>
    </w:tbl>
    <w:p>
      <w:r>
        <w:br w:type="page"/>
      </w:r>
    </w:p>
    <w:p>
      <w:pPr>
        <w:pStyle w:val="Heading2"/>
        <w:spacing w:before="120" w:after="120"/>
        <w:jc w:val="left"/>
      </w:pPr>
      <w:r>
        <w:rPr>
          <w:rFonts w:ascii="Arial" w:cs="Arial" w:eastAsia="Arial" w:hAnsi="Arial"/>
          <w:b w:val="false"/>
          <w:bCs w:val="false"/>
          <w:i w:val="false"/>
          <w:iCs w:val="false"/>
          <w:color w:val="000000"/>
          <w:sz w:val="20"/>
          <w:szCs w:val="20"/>
        </w:rPr>
        <w:t xml:space="preserve">3.7  Economic &amp; Financial Analysis (TCO)</w:t>
      </w:r>
    </w:p>
    <w:p>
      <w:pPr>
        <w:spacing w:before="120" w:after="120"/>
        <w:jc w:val="left"/>
      </w:pPr>
      <w:r>
        <w:rPr>
          <w:rFonts w:ascii="Arial" w:cs="Arial" w:eastAsia="Arial" w:hAnsi="Arial"/>
          <w:b w:val="false"/>
          <w:bCs w:val="false"/>
          <w:i w:val="false"/>
          <w:iCs w:val="false"/>
          <w:color w:val="000000"/>
          <w:sz w:val="20"/>
          <w:szCs w:val="20"/>
        </w:rPr>
        <w:t xml:space="preserve">Total Cost of Ownership over 3 years for a hypothetical mid-market organisation: 50 developers, 200 microservices, targeting ISO 27001 certification, with CI/CD pipelines on GitHub Actions.</w:t>
      </w:r>
    </w:p>
    <w:p>
      <w:pPr>
        <w:spacing w:before="120" w:after="120"/>
        <w:jc w:val="left"/>
      </w:pPr>
      <w:r>
        <w:rPr>
          <w:rFonts w:ascii="Arial" w:cs="Arial" w:eastAsia="Arial" w:hAnsi="Arial"/>
          <w:b w:val="false"/>
          <w:bCs w:val="false"/>
          <w:i w:val="false"/>
          <w:iCs w:val="false"/>
          <w:color w:val="000000"/>
          <w:sz w:val="20"/>
          <w:szCs w:val="20"/>
        </w:rPr>
        <w:t xml:space="preserve"/>
      </w:r>
    </w:p>
    <w:p>
      <w:pPr>
        <w:pStyle w:val="Heading3"/>
        <w:spacing w:before="120" w:after="120"/>
        <w:jc w:val="left"/>
      </w:pPr>
      <w:r>
        <w:rPr>
          <w:rFonts w:ascii="Arial" w:cs="Arial" w:eastAsia="Arial" w:hAnsi="Arial"/>
          <w:b w:val="false"/>
          <w:bCs w:val="false"/>
          <w:i w:val="false"/>
          <w:iCs w:val="false"/>
          <w:color w:val="000000"/>
          <w:sz w:val="20"/>
          <w:szCs w:val="20"/>
        </w:rPr>
        <w:t xml:space="preserve">3.7.1  Licensing &amp; Pricing (Annual, 50-dev team)</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gridCol w:w="3320"/>
      </w:tblGrid>
      <w:tr>
        <w:trPr>
          <w:tblHeader/>
        </w:trPr>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List Price / Year</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50-Dev Estimate</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Enterprise Discount</w:t>
            </w:r>
          </w:p>
        </w:tc>
        <w:tc>
          <w:tcPr>
            <w:tcW w:type="dxa" w:w="33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AGPL-3.0 (Free)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vendor lock-in. Self-hosted. Infra cost only.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Snyk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 contributing dev</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$25/dev/mo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~$35–47K/yr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30–40%</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Enterprise: custom. $1,260/dev/yr list price (Ignite). Median $34.9K at 50 devs.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(Free)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Aqua Platform for enterprise dashboards: custom pricing.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(Free)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Anchore Enterprise for RBAC/policy management: custom.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Apache 2.0 (Free)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Self-hosted. Infrastructure and ops cost only.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Mend.io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SaaS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Custom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~$40–80K/yr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Negotiable</w:t>
            </w:r>
          </w:p>
        </w:tc>
        <w:tc>
          <w:tcPr>
            <w:tcW w:type="dxa" w:w="3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Enterprise oriented. No public pricing. Higher TCO than Snyk for large teams.</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3"/>
        <w:spacing w:before="120" w:after="120"/>
        <w:jc w:val="left"/>
      </w:pPr>
      <w:r>
        <w:rPr>
          <w:rFonts w:ascii="Arial" w:cs="Arial" w:eastAsia="Arial" w:hAnsi="Arial"/>
          <w:b w:val="false"/>
          <w:bCs w:val="false"/>
          <w:i w:val="false"/>
          <w:iCs w:val="false"/>
          <w:color w:val="000000"/>
          <w:sz w:val="20"/>
          <w:szCs w:val="20"/>
        </w:rPr>
        <w:t xml:space="preserve">3.7.2  Full 3-Year TCO Model (50-dev team, ISO 27001 goal)</w:t>
      </w:r>
    </w:p>
    <w:p>
      <w:pPr>
        <w:spacing w:before="120" w:after="120"/>
        <w:jc w:val="left"/>
      </w:pPr>
      <w:r>
        <w:rPr>
          <w:rFonts w:ascii="Arial" w:cs="Arial" w:eastAsia="Arial" w:hAnsi="Arial"/>
          <w:b w:val="false"/>
          <w:bCs w:val="false"/>
          <w:i/>
          <w:iCs/>
          <w:color w:val="000000"/>
          <w:sz w:val="18"/>
          <w:szCs w:val="18"/>
        </w:rPr>
        <w:t xml:space="preserve">The following model includes: software licensing, self-hosted infrastructure (AWS t3.medium equiv.), engineering integration hours (one-time setup @ $150/hr blended rate), ongoing maintenance (5 hr/month), and GRC tooling to fill the gaps each tool leaves (e.g., a Wardex user still needs a scanner like Grype).</w:t>
      </w:r>
    </w:p>
    <w:p>
      <w:pPr>
        <w:spacing w:before="120" w:after="120"/>
        <w:jc w:val="left"/>
      </w:pPr>
      <w:r>
        <w:rPr>
          <w:rFonts w:ascii="Arial" w:cs="Arial" w:eastAsia="Arial" w:hAnsi="Arial"/>
          <w:b w:val="false"/>
          <w:bCs w:val="false"/>
          <w:i w:val="false"/>
          <w:iCs w:val="false"/>
          <w:color w:val="000000"/>
          <w:sz w:val="20"/>
          <w:szCs w:val="20"/>
        </w:rPr>
        <w:t xml:space="preserve"/>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gridCol w:w="1700"/>
        <w:gridCol w:w="1700"/>
        <w:gridCol w:w="1820"/>
      </w:tblGrid>
      <w:tr>
        <w:trPr>
          <w:tblHeader/>
        </w:trPr>
        <w:tc>
          <w:tcPr>
            <w:tcW w:type="dxa" w:w="3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Component (3 yr)</w:t>
            </w:r>
          </w:p>
        </w:tc>
        <w:tc>
          <w:tcPr>
            <w:tcW w:type="dxa" w:w="1700"/>
            <w:gridSpan w:val="1"/>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Wardex</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Snyk</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Trivy</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Grype</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Dep-Track</w:t>
            </w:r>
          </w:p>
        </w:tc>
        <w:tc>
          <w:tcPr>
            <w:tcW w:type="dxa" w:w="18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Mend.io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Software License (3 yr)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$105K+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$120–240K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Infrastructure (self-hosted)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 (SaaS)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$3.6K</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 (SaaS)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Setup / Integration (hr×rate)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Ongoing Maintenance (3 yr)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$8.1K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$10.8K</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Gap-Fill Tooling needed *</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$3K</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Gap Tool (if none)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(3 yr estimate)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$17.7K</w:t>
            </w:r>
          </w:p>
        </w:tc>
        <w:tc>
          <w:tcPr>
            <w:tcW w:type="dxa" w:w="17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$126.9K+</w:t>
            </w:r>
          </w:p>
        </w:tc>
        <w:tc>
          <w:tcPr>
            <w:tcW w:type="dxa" w:w="17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$29.7K</w:t>
            </w:r>
          </w:p>
        </w:tc>
        <w:tc>
          <w:tcPr>
            <w:tcW w:type="dxa" w:w="17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$26.7K</w:t>
            </w:r>
          </w:p>
        </w:tc>
        <w:tc>
          <w:tcPr>
            <w:tcW w:type="dxa" w:w="17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$35.4K</w:t>
            </w:r>
          </w:p>
        </w:tc>
        <w:tc>
          <w:tcPr>
            <w:tcW w:type="dxa" w:w="182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$143–263K</w:t>
            </w:r>
          </w:p>
        </w:tc>
      </w:tr>
    </w:tbl>
    <w:p>
      <w:pPr>
        <w:spacing w:before="120" w:after="120"/>
        <w:jc w:val="left"/>
      </w:pPr>
      <w:r>
        <w:rPr>
          <w:rFonts w:ascii="Arial" w:cs="Arial" w:eastAsia="Arial" w:hAnsi="Arial"/>
          <w:b w:val="false"/>
          <w:bCs w:val="false"/>
          <w:i/>
          <w:iCs/>
          <w:color w:val="717D7E"/>
          <w:sz w:val="16"/>
          <w:szCs w:val="16"/>
        </w:rPr>
        <w:t xml:space="preserve">* Gap-fill: Wardex needs a scanner (Grype, free). Trivy/Grype need a gate + compliance tool. Dep-Track needs a gate engine.</w:t>
      </w:r>
    </w:p>
    <w:p>
      <w:pPr>
        <w:spacing w:before="120" w:after="120"/>
        <w:jc w:val="left"/>
      </w:pPr>
      <w:r>
        <w:rPr>
          <w:rFonts w:ascii="Arial" w:cs="Arial" w:eastAsia="Arial" w:hAnsi="Arial"/>
          <w:b w:val="false"/>
          <w:bCs w:val="false"/>
          <w:i w:val="false"/>
          <w:iCs w:val="false"/>
          <w:color w:val="000000"/>
          <w:sz w:val="20"/>
          <w:szCs w:val="20"/>
        </w:rPr>
        <w:t xml:space="preserve"/>
      </w:r>
    </w:p>
    <w:p>
      <w:pPr>
        <w:pStyle w:val="Heading3"/>
        <w:spacing w:before="120" w:after="120"/>
        <w:jc w:val="left"/>
      </w:pPr>
      <w:r>
        <w:rPr>
          <w:rFonts w:ascii="Arial" w:cs="Arial" w:eastAsia="Arial" w:hAnsi="Arial"/>
          <w:b w:val="false"/>
          <w:bCs w:val="false"/>
          <w:i w:val="false"/>
          <w:iCs w:val="false"/>
          <w:color w:val="000000"/>
          <w:sz w:val="20"/>
          <w:szCs w:val="20"/>
        </w:rPr>
        <w:t xml:space="preserve">3.7.3  Financial ROI Arguments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3500"/>
        <w:gridCol w:w="9820"/>
      </w:tblGrid>
      <w:tr>
        <w:trPr>
          <w:tblHeader/>
        </w:trPr>
        <w:tc>
          <w:tcPr>
            <w:tcW w:type="dxa" w:w="35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ROI Driver</w:t>
            </w:r>
          </w:p>
        </w:tc>
        <w:tc>
          <w:tcPr>
            <w:tcW w:type="dxa" w:w="98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Quantitative Impact</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positive reduction</w:t>
            </w:r>
          </w:p>
        </w:tc>
        <w:tc>
          <w:tcPr>
            <w:tcW w:type="dxa" w:w="9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Industry data: avg DevSecOps team spends 20–30% of security-review time on false positives from CVSS-threshold gates. Wardex's context-aware scoring eliminates most false positives. For a 50-dev team, this recovers ~$50–80K/yr in developer productivity (at $100K blended salary).</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Avoided breach cost (risk-modelled gating)</w:t>
            </w:r>
          </w:p>
        </w:tc>
        <w:tc>
          <w:tcPr>
            <w:tcW w:type="dxa" w:w="9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IBM Cost of a Data Breach 2024: $4.88M global average. Wardex prevents releases with quantified composite risk &gt; appetite. Even a 2% improvement in breach prevention on 1 release/week pipeline has an expected value of ~$49K/yr.</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 27001 audit cost reduction</w:t>
            </w:r>
          </w:p>
        </w:tc>
        <w:tc>
          <w:tcPr>
            <w:tcW w:type="dxa" w:w="9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Traditional ISO 27001 gap analysis + consulting: $10–25K/engagement. Wardex automates Annex A control maturity scoring as a by-product of every CI/CD run. Eliminates or greatly reduces annual gap analysis cost → $10–25K/yr saved.</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Accelerated certification timeline</w:t>
            </w:r>
          </w:p>
        </w:tc>
        <w:tc>
          <w:tcPr>
            <w:tcW w:type="dxa" w:w="9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costs $25–75K (Stage 1 + Stage 2 audit). Evidence already in Wardex reports reduces audit preparation time by an estimated 30–50%. At $150/hr, 100hr saved = $15K.</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Developer friction reduction</w:t>
            </w:r>
          </w:p>
        </w:tc>
        <w:tc>
          <w:tcPr>
            <w:tcW w:type="dxa" w:w="9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Binary CVSS gates generate developer fatigue. Wardex's context-aware decisions eliminate most 'cry wolf' blocks. Reduces pipeline override incidents (which bypass all security controls) from ~weekly to near-zero.</w:t>
            </w:r>
          </w:p>
        </w:tc>
      </w:tr>
    </w:tbl>
    <w:p>
      <w:r>
        <w:br w:type="page"/>
      </w:r>
    </w:p>
    <w:p>
      <w:pPr>
        <w:pStyle w:val="Heading2"/>
        <w:spacing w:before="120" w:after="120"/>
        <w:jc w:val="left"/>
      </w:pPr>
      <w:r>
        <w:rPr>
          <w:rFonts w:ascii="Arial" w:cs="Arial" w:eastAsia="Arial" w:hAnsi="Arial"/>
          <w:b w:val="false"/>
          <w:bCs w:val="false"/>
          <w:i w:val="false"/>
          <w:iCs w:val="false"/>
          <w:color w:val="000000"/>
          <w:sz w:val="20"/>
          <w:szCs w:val="20"/>
        </w:rPr>
        <w:t xml:space="preserve">3.8  Remaining Dimensions — Summary Table</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5320"/>
      </w:tblGrid>
      <w:tr>
        <w:trPr>
          <w:tblHeader/>
        </w:trPr>
        <w:tc>
          <w:tcPr>
            <w:tcW w:type="dxa" w:w="2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800"/>
            <w:gridSpan w:val="1"/>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Wardex</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Snyk</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Trivy</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Grype</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D-Track</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Mend</w:t>
            </w:r>
          </w:p>
        </w:tc>
        <w:tc>
          <w:tcPr>
            <w:tcW w:type="dxa" w:w="53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Notes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SCA / SBOM Support</w:t>
            </w:r>
          </w:p>
        </w:tc>
        <w:tc>
          <w:tcPr>
            <w:tcW w:type="dxa" w:w="8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 consumes Grype SBOM output. Grype+Syft is the SBOM-first gold standard. Snyk and Mend have proprietary SBOMs.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IaC &amp; Secrets Scanning</w:t>
            </w:r>
          </w:p>
        </w:tc>
        <w:tc>
          <w:tcPr>
            <w:tcW w:type="dxa" w:w="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717D7E"/>
                <w:sz w:val="16"/>
                <w:szCs w:val="16"/>
              </w:rPr>
              <w:t xml:space="preserve">0/5 N/A</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Trivy leads (absorbed tfsec). Wardex has no IaC scanning by design — pair with Trivy for IaC coverage.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CI/CD Integration Depth</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Snyk/Trivy have native GitHub Actions, GitLab CI, Jenkins plugins. Wardex is CLI-first with clean exit codes — GHA-native.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SDK / Embeddability</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Wardex's pkg/ architecture allows direct Go library import with no external service dependencies. Unique advantage for embedding in Go services.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Performance &amp; Latency</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 single binary, stateless, milliseconds per evaluation. Dep-Track: server-based, async — adds latency to CI. Snyk/Mend: SaaS round-trip.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Deployment Flexibility</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Wardex/Trivy/Grype: single binary, air-gap compatible. Dep-Track: server + DB. Snyk: broker option for air-gap. Mend: SaaS-only primarily.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Multi-framework Support</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 correlates NIST→ISO 27001. Snyk/Mend support PCI DSS, SOC 2, GDPR checks. Wardex roadmap likely to add SOC 2 / NIS2 mappings.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Community &amp; Ecosystem</w:t>
            </w:r>
          </w:p>
        </w:tc>
        <w:tc>
          <w:tcPr>
            <w:tcW w:type="dxa" w:w="8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16"/>
                <w:szCs w:val="16"/>
              </w:rPr>
              <w:t xml:space="preserve">2/5 Partial</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5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Wardex: nascent (1 star, 50 commits, v1.1.0). Trivy: 31,700+ stars. Snyk: 1,200+ enterprise customers. Maturity gap is real.</w:t>
            </w:r>
          </w:p>
        </w:tc>
      </w:tr>
    </w:tbl>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4. Strategic Positioning Matrix</w:t>
      </w:r>
    </w:p>
    <w:p>
      <w:pPr>
        <w:pBdr>
          <w:bottom w:val="single" w:color="2E75B6" w:sz="6" w:space="1"/>
        </w:pBdr>
        <w:spacing w:before="80" w:after="80"/>
      </w:pPr>
      <w:r>
        <w:t xml:space="preserve"/>
      </w:r>
    </w:p>
    <w:p>
      <w:pPr>
        <w:spacing w:before="120" w:after="120"/>
        <w:jc w:val="left"/>
      </w:pPr>
      <w:r>
        <w:rPr>
          <w:rFonts w:ascii="Arial" w:cs="Arial" w:eastAsia="Arial" w:hAnsi="Arial"/>
          <w:b w:val="false"/>
          <w:bCs w:val="false"/>
          <w:i w:val="false"/>
          <w:iCs w:val="false"/>
          <w:color w:val="000000"/>
          <w:sz w:val="20"/>
          <w:szCs w:val="20"/>
        </w:rPr>
        <w:t xml:space="preserve">Tools are mapped across two axes: (X) Scanning Breadth — how many vulnerability surface areas the tool covers; (Y) Risk Decision Sophistication — how context-aware and actionable the gate/decision engine is. Wardex occupies the High-Decision / Low-Scanning quadrant — a deliberate architectural choice.</w:t>
      </w:r>
    </w:p>
    <w:p>
      <w:pPr>
        <w:spacing w:before="120" w:after="120"/>
        <w:jc w:val="left"/>
      </w:pPr>
      <w:r>
        <w:rPr>
          <w:rFonts w:ascii="Arial" w:cs="Arial" w:eastAsia="Arial" w:hAnsi="Arial"/>
          <w:b w:val="false"/>
          <w:bCs w:val="false"/>
          <w:i w:val="false"/>
          <w:iCs w:val="false"/>
          <w:color w:val="000000"/>
          <w:sz w:val="20"/>
          <w:szCs w:val="20"/>
        </w:rPr>
        <w:t xml:space="preserve"/>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4000"/>
        <w:gridCol w:w="4660"/>
        <w:gridCol w:w="4660"/>
      </w:tblGrid>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466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Low Scanning Breadth</w:t>
            </w:r>
          </w:p>
        </w:tc>
        <w:tc>
          <w:tcPr>
            <w:tcW w:type="dxa" w:w="466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 Scanning Breadth  ►</w:t>
            </w:r>
          </w:p>
        </w:tc>
      </w:tr>
      <w:tr>
        <w:tc>
          <w:tcPr>
            <w:tcW w:type="dxa" w:w="40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High Risk Decision Sophistication</w:t>
            </w:r>
          </w:p>
        </w:tc>
        <w:tc>
          <w:tcPr>
            <w:tcW w:type="dxa" w:w="46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WARDEX ★
(Risk gate + ISO 27001 + compensating controls)
→ Pair with Grype for full coverage</w:t>
            </w:r>
          </w:p>
        </w:tc>
        <w:tc>
          <w:tcPr>
            <w:tcW w:type="dxa" w:w="4660"/>
            <w:gridSpan w:val="1"/>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(Vacant — market opportunity)
A tool combining Snyk breadth
with Wardex-level risk decisions</w:t>
            </w:r>
          </w:p>
        </w:tc>
      </w:tr>
      <w:tr>
        <w:tc>
          <w:tcPr>
            <w:tcW w:type="dxa" w:w="40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Low Risk Decision Sophistication</w:t>
            </w:r>
          </w:p>
        </w:tc>
        <w:tc>
          <w:tcPr>
            <w:tcW w:type="dxa" w:w="466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(Not evaluated)
Minimal scanner with basic severity gating</w:t>
            </w:r>
          </w:p>
        </w:tc>
        <w:tc>
          <w:tcPr>
            <w:tcW w:type="dxa" w:w="466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SNYK · TRIVY · GRYPE · DEP-TRACK · MEND
(Broad scanning, threshold-based gating)</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1"/>
        <w:spacing w:before="120" w:after="120"/>
        <w:jc w:val="left"/>
      </w:pPr>
      <w:r>
        <w:rPr>
          <w:rFonts w:ascii="Arial" w:cs="Arial" w:eastAsia="Arial" w:hAnsi="Arial"/>
          <w:b w:val="false"/>
          <w:bCs w:val="false"/>
          <w:i w:val="false"/>
          <w:iCs w:val="false"/>
          <w:color w:val="000000"/>
          <w:sz w:val="20"/>
          <w:szCs w:val="20"/>
        </w:rPr>
        <w:t xml:space="preserve">5. Ideal Use Case Mapping</w:t>
      </w:r>
    </w:p>
    <w:p>
      <w:pPr>
        <w:pBdr>
          <w:bottom w:val="single" w:color="2E75B6" w:sz="6" w:space="1"/>
        </w:pBdr>
        <w:spacing w:before="80" w:after="80"/>
      </w:pPr>
      <w:r>
        <w:t xml:space="preserve"/>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700"/>
        <w:gridCol w:w="1700"/>
        <w:gridCol w:w="1700"/>
        <w:gridCol w:w="1820"/>
      </w:tblGrid>
      <w:tr>
        <w:trPr>
          <w:tblHeader/>
        </w:trPr>
        <w:tc>
          <w:tcPr>
            <w:tcW w:type="dxa" w:w="4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 Case</w:t>
            </w:r>
          </w:p>
        </w:tc>
        <w:tc>
          <w:tcPr>
            <w:tcW w:type="dxa" w:w="1700"/>
            <w:gridSpan w:val="1"/>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Wardex</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Snyk</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Trivy</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Grype</w:t>
            </w:r>
          </w:p>
        </w:tc>
        <w:tc>
          <w:tcPr>
            <w:tcW w:type="dxa" w:w="17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D-Track</w:t>
            </w:r>
          </w:p>
        </w:tc>
        <w:tc>
          <w:tcPr>
            <w:tcW w:type="dxa" w:w="18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Mend</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Replace binary CVSS gate with risk-aware gating</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evidence &amp; gap analysis</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 auditable risk acceptance (GRC/audit)</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Compensating controls quantitative modelling</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Container vulnerability scanning</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IaC misconfiguration detection</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SBOM generation &amp; management</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Developer-friendly auto-remediation PRs</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Budget-constrained teams (0 licensing cost)</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Air-gapped / offline environments</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Embedding in a custom Go service/API</w:t>
            </w:r>
          </w:p>
        </w:tc>
        <w:tc>
          <w:tcPr>
            <w:tcW w:type="dxa" w:w="17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bl>
    <w:p>
      <w:pPr>
        <w:spacing w:before="120" w:after="120"/>
        <w:jc w:val="left"/>
      </w:pPr>
      <w:r>
        <w:rPr>
          <w:rFonts w:ascii="Arial" w:cs="Arial" w:eastAsia="Arial" w:hAnsi="Arial"/>
          <w:b w:val="false"/>
          <w:bCs w:val="false"/>
          <w:i/>
          <w:iCs/>
          <w:color w:val="717D7E"/>
          <w:sz w:val="16"/>
          <w:szCs w:val="16"/>
        </w:rPr>
        <w:t xml:space="preserve">★★★ = Best choice  ·  ★★ = Good  ·  ★ = Possible  ·  — = Not applicable</w:t>
      </w:r>
    </w:p>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6. Wardex Robustness Assessment</w:t>
      </w:r>
    </w:p>
    <w:p>
      <w:pPr>
        <w:pBdr>
          <w:bottom w:val="single" w:color="2E75B6" w:sz="6" w:space="1"/>
        </w:pBdr>
        <w:spacing w:before="80" w:after="80"/>
      </w:pPr>
      <w:r>
        <w:t xml:space="preserve"/>
      </w:r>
    </w:p>
    <w:p>
      <w:pPr>
        <w:spacing w:before="120" w:after="100"/>
        <w:jc w:val="left"/>
      </w:pPr>
      <w:r>
        <w:rPr>
          <w:rFonts w:ascii="Arial" w:cs="Arial" w:eastAsia="Arial" w:hAnsi="Arial"/>
          <w:b w:val="false"/>
          <w:bCs w:val="false"/>
          <w:i w:val="false"/>
          <w:iCs w:val="false"/>
          <w:color w:val="000000"/>
          <w:sz w:val="20"/>
          <w:szCs w:val="20"/>
        </w:rPr>
        <w:t xml:space="preserve">This section evaluates Wardex specifically on engineering robustness indicators — code quality, resilience, security of the tool itself, and production readiness.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9520"/>
      </w:tblGrid>
      <w:tr>
        <w:trPr>
          <w:tblHeader/>
        </w:trPr>
        <w:tc>
          <w:tcPr>
            <w:tcW w:type="dxa" w:w="3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Robustness Indicator</w:t>
            </w:r>
          </w:p>
        </w:tc>
        <w:tc>
          <w:tcPr>
            <w:tcW w:type="dxa" w:w="8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Rating</w:t>
            </w:r>
          </w:p>
        </w:tc>
        <w:tc>
          <w:tcPr>
            <w:tcW w:type="dxa" w:w="95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Cryptographic integrity</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HMAC-SHA256 on every risk acceptance record. No secret in code — forced via env var injection. Exit Code 3 on tamper.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Input validation &amp; fuzzing</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Native Go fuzzing in pkg/ingestion. Millions of fuzz iterations with zero panics. Schema validation enforced pre-parse.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Fail-closed design</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Exit Code 1 on BLOCK, 3 on tamper, 4 on audit corruption. Gate refuses to ALLOW on config drift. Correct security-safe defaults.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Stateless / no external deps</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database, no runtime service, no agent. Single binary. Two dependencies (cobra, yaml.v3). Bloat-free by design.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 immutability</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Append-only JSONL audit log. UTC timestamps. SIEM forwarding (Syslog, Webhook, CloudWatch, GCP). Multiplexer pattern.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 coverage (unit)</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E8449"/>
                <w:sz w:val="16"/>
                <w:szCs w:val="16"/>
              </w:rPr>
              <w:t xml:space="preserve">4/5 Strong</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sub-packages have unit tests (analyzer, correlator, ingestion, releasegate, report, scorer, snapshot, accept). No public coverage % yet.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Conservative risk defaults</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EPSS defaults to 1.0 if missing. Criticality defaults to 1.0 if zero. Compensating controls capped at 0.80. No optimistic bias.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SDK separation of concerns</w:t>
            </w:r>
          </w:p>
        </w:tc>
        <w:tc>
          <w:tcPr>
            <w:tcW w:type="dxa" w:w="8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vAlign w:val="center"/>
          </w:tcPr>
          <w:p>
            <w:pPr>
              <w:jc w:val="center"/>
            </w:pPr>
            <w:r>
              <w:rPr>
                <w:rFonts w:ascii="Arial" w:cs="Arial" w:eastAsia="Arial" w:hAnsi="Arial"/>
                <w:b/>
                <w:bCs/>
                <w:color w:val="145A32"/>
                <w:sz w:val="16"/>
                <w:szCs w:val="16"/>
              </w:rPr>
              <w:t xml:space="preserve">5/5 Leader</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pkg/ directory cleanly separated. Gate, scorer, analyzer, ingestion, report are all independently importable Go packages.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Community maturity</w:t>
            </w:r>
          </w:p>
        </w:tc>
        <w:tc>
          <w:tcPr>
            <w:tcW w:type="dxa" w:w="8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6"/>
                <w:szCs w:val="16"/>
              </w:rPr>
              <w:t xml:space="preserve">1/5 Weak</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v1.1.0, ~50 commits, 1 GitHub star. Very early. No CVEs against the tool. No external security audit yet.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Documentation quality</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README in 4 languages. TECHNICAL_VIEW.md and BUSINESS_VIEW.md thorough. No godoc API reference yet. No changelog.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License (AGPL-3.0)</w:t>
            </w:r>
          </w:p>
        </w:tc>
        <w:tc>
          <w:tcPr>
            <w:tcW w:type="dxa" w:w="800"/>
            <w:tcBorders>
              <w:top w:val="single" w:color="CCCCCC" w:sz="1"/>
              <w:left w:val="single" w:color="CCCCCC" w:sz="1"/>
              <w:bottom w:val="single" w:color="CCCCCC" w:sz="1"/>
              <w:right w:val="single" w:color="CCCCCC" w:sz="1"/>
            </w:tcBorders>
            <w:shd w:fill="F9E79F"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3/5 Good</w:t>
            </w:r>
          </w:p>
        </w:tc>
        <w:tc>
          <w:tcPr>
            <w:tcW w:type="dxa" w:w="9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copyleft. Suitable for internal use without restriction. Commercial SaaS redistribution requires source disclosure — may constrain some enterprise embedding scenarios.</w:t>
            </w:r>
          </w:p>
        </w:tc>
      </w:tr>
    </w:tbl>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7. Wardex Gaps &amp; Recommendations</w:t>
      </w:r>
    </w:p>
    <w:p>
      <w:pPr>
        <w:pBdr>
          <w:bottom w:val="single" w:color="2E75B6" w:sz="6" w:space="1"/>
        </w:pBdr>
        <w:spacing w:before="80" w:after="80"/>
      </w:pPr>
      <w: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7.1  Current Gaps vs Enterprise Requirements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8820"/>
      </w:tblGrid>
      <w:tr>
        <w:trPr>
          <w:tblHeader/>
        </w:trPr>
        <w:tc>
          <w:tcPr>
            <w:tcW w:type="dxa" w:w="3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w:t>
            </w:r>
          </w:p>
        </w:tc>
        <w:tc>
          <w:tcPr>
            <w:tcW w:type="dxa" w:w="15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88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native vulnerability scanner</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Intentional by design. Document Wardex's expected stack: Grype (scan) → Wardex (gate). Provide a reference Makefile/workflow.</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AGPL-3.0 licence restriction</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 organisations wanting to embed Wardex in a SaaS product, the AGPL requires source disclosure. Consider a dual-licence option (AGPL + commercial).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godoc API reference</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 godoc documentation for all pkg/ packages. This is critical for SDK adoption by Go developers.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external security audit</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High</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Commission a third-party penetration test or code audit before production adoption at scale. Especially important for the accept/signer and accept/verifier modules.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Community immaturity</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GitHub star, 0 forks, 1 contributor. Governance risk. Mitigate by pinning to a specific version tag and owning a fork.</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SOC 2 / NIS2 / DORA mapping</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is covered. Adding SOC 2 Trust Services Criteria and NIS2 Annex mapping would significantly expand the addressable market.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RBAC or multi-tenant support</w:t>
            </w:r>
          </w:p>
        </w:tc>
        <w:tc>
          <w:tcPr>
            <w:tcW w:type="dxa" w:w="15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Wardex is single-tenant CLI. Organisations with multiple teams need per-team risk appetite configuration. Roadmap feature.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 dashboard / UI for GRC teams</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Low</w:t>
            </w:r>
          </w:p>
        </w:tc>
        <w:tc>
          <w:tcPr>
            <w:tcW w:type="dxa" w:w="8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JSON/CSV/Markdown reports are machine-readable. A minimal web UI (even read-only) would help GRC managers who don't use the terminal. The wardex-risk-simulator.jsx in test/ hints this is planned.</w:t>
            </w:r>
          </w:p>
        </w:tc>
      </w:tr>
    </w:tbl>
    <w:p>
      <w:pPr>
        <w:spacing w:before="120" w:after="120"/>
        <w:jc w:val="left"/>
      </w:pPr>
      <w:r>
        <w:rPr>
          <w:rFonts w:ascii="Arial" w:cs="Arial" w:eastAsia="Arial" w:hAnsi="Arial"/>
          <w:b w:val="false"/>
          <w:bCs w:val="false"/>
          <w:i w:val="false"/>
          <w:iCs w:val="false"/>
          <w:color w:val="000000"/>
          <w:sz w:val="20"/>
          <w:szCs w:val="20"/>
        </w:rPr>
        <w:t xml:space="preserve"/>
      </w:r>
    </w:p>
    <w:p>
      <w:pPr>
        <w:pStyle w:val="Heading2"/>
        <w:spacing w:before="120" w:after="120"/>
        <w:jc w:val="left"/>
      </w:pPr>
      <w:r>
        <w:rPr>
          <w:rFonts w:ascii="Arial" w:cs="Arial" w:eastAsia="Arial" w:hAnsi="Arial"/>
          <w:b w:val="false"/>
          <w:bCs w:val="false"/>
          <w:i w:val="false"/>
          <w:iCs w:val="false"/>
          <w:color w:val="000000"/>
          <w:sz w:val="20"/>
          <w:szCs w:val="20"/>
        </w:rPr>
        <w:t xml:space="preserve">7.2  Recommended Integration Stack (2026)</w:t>
      </w:r>
    </w:p>
    <w:p>
      <w:pPr>
        <w:spacing w:before="120" w:after="80"/>
        <w:jc w:val="left"/>
      </w:pPr>
      <w:r>
        <w:rPr>
          <w:rFonts w:ascii="Arial" w:cs="Arial" w:eastAsia="Arial" w:hAnsi="Arial"/>
          <w:b w:val="false"/>
          <w:bCs w:val="false"/>
          <w:i w:val="false"/>
          <w:iCs w:val="false"/>
          <w:color w:val="000000"/>
          <w:sz w:val="20"/>
          <w:szCs w:val="20"/>
        </w:rPr>
        <w:t xml:space="preserve">For an organisation targeting ISO 27001 certification with a DevSecOps pipeline at zero licensing cost, the following open-source stack is recommended:</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120"/>
      </w:tblGrid>
      <w:tr>
        <w:trPr>
          <w:tblHeader/>
        </w:trPr>
        <w:tc>
          <w:tcPr>
            <w:tcW w:type="dxa" w:w="22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00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9120"/>
            <w:gridSpan w:val="1"/>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SBOM Generation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Syft (Anchore)</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CycloneDX/SPDX SBOM from container image or filesystem</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Vulnerability Scanning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Grype (Anchore)</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Scan SBOM against NVD, GitHub Advisories, KEV; output YAML</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IaC Scanning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Trivy</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Scan Terraform, Kubernetes, Helm for misconfigurations</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Gate &amp; Compliance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Ingest Grype output; apply composite risk formula; gate release; map ISO 27001</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Policy Dashboard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Dependency-Track</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Portfolio-level SBOM tracking, trend monitoring across services</w:t>
            </w:r>
          </w:p>
        </w:tc>
      </w:tr>
      <w:tr>
        <w:tc>
          <w:tcPr>
            <w:tcW w:type="dxa" w:w="2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GRC Evidence Store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Wardex reports</w:t>
            </w:r>
          </w:p>
        </w:tc>
        <w:tc>
          <w:tcPr>
            <w:tcW w:type="dxa" w:w="9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JSON/Markdown reports as ISO 27001 audit evidence (Clause 9.1, 10.2)</w:t>
            </w:r>
          </w:p>
        </w:tc>
      </w:tr>
    </w:tbl>
    <w:p>
      <w:r>
        <w:br w:type="page"/>
      </w:r>
    </w:p>
    <w:p>
      <w:pPr>
        <w:pStyle w:val="Heading1"/>
        <w:spacing w:before="120" w:after="120"/>
        <w:jc w:val="left"/>
      </w:pPr>
      <w:r>
        <w:rPr>
          <w:rFonts w:ascii="Arial" w:cs="Arial" w:eastAsia="Arial" w:hAnsi="Arial"/>
          <w:b w:val="false"/>
          <w:bCs w:val="false"/>
          <w:i w:val="false"/>
          <w:iCs w:val="false"/>
          <w:color w:val="000000"/>
          <w:sz w:val="20"/>
          <w:szCs w:val="20"/>
        </w:rPr>
        <w:t xml:space="preserve">8. Conclusions</w:t>
      </w:r>
    </w:p>
    <w:p>
      <w:pPr>
        <w:pBdr>
          <w:bottom w:val="single" w:color="2E75B6" w:sz="6" w:space="1"/>
        </w:pBdr>
        <w:spacing w:before="80" w:after="80"/>
      </w:pPr>
      <w:r>
        <w:t xml:space="preserve"/>
      </w:r>
    </w:p>
    <w:p>
      <w:pPr>
        <w:spacing w:before="120" w:after="100"/>
        <w:jc w:val="left"/>
      </w:pPr>
      <w:r>
        <w:rPr>
          <w:rFonts w:ascii="Arial" w:cs="Arial" w:eastAsia="Arial" w:hAnsi="Arial"/>
          <w:b w:val="false"/>
          <w:bCs w:val="false"/>
          <w:i w:val="false"/>
          <w:iCs w:val="false"/>
          <w:color w:val="000000"/>
          <w:sz w:val="20"/>
          <w:szCs w:val="20"/>
        </w:rPr>
        <w:t xml:space="preserve">Wardex v1.1.0 is a technically robust, purpose-built tool that solves a genuine gap in the DevSecOps toolchain: contextual, risk-based release gating with native ISO 27001 compliance mapping. No evaluated commercial or open-source tool replicates this combination.</w:t>
      </w:r>
    </w:p>
    <w:p>
      <w:pPr>
        <w:spacing w:before="120" w:after="100"/>
        <w:jc w:val="left"/>
      </w:pPr>
      <w:r>
        <w:rPr>
          <w:rFonts w:ascii="Arial" w:cs="Arial" w:eastAsia="Arial" w:hAnsi="Arial"/>
          <w:b w:val="false"/>
          <w:bCs w:val="false"/>
          <w:i w:val="false"/>
          <w:iCs w:val="false"/>
          <w:color w:val="000000"/>
          <w:sz w:val="20"/>
          <w:szCs w:val="20"/>
        </w:rPr>
        <w:t xml:space="preserve">Against commercial tools (Snyk, Mend.io), Wardex's 3-year TCO is approximately 7–15x lower for a 50-developer team. Against open-source scanners (Trivy, Grype), Wardex adds a decision layer that scanners by definition cannot provide — making the comparison complementary rather than competitive.</w:t>
      </w:r>
    </w:p>
    <w:p>
      <w:pPr>
        <w:spacing w:before="120" w:after="100"/>
        <w:jc w:val="left"/>
      </w:pPr>
      <w:r>
        <w:rPr>
          <w:rFonts w:ascii="Arial" w:cs="Arial" w:eastAsia="Arial" w:hAnsi="Arial"/>
          <w:b w:val="false"/>
          <w:bCs w:val="false"/>
          <w:i w:val="false"/>
          <w:iCs w:val="false"/>
          <w:color w:val="000000"/>
          <w:sz w:val="20"/>
          <w:szCs w:val="20"/>
        </w:rPr>
        <w:t xml:space="preserve">The primary adoption risks are community immaturity and the absence of an external security audit. Both are mitigable: version-pin the library, maintain an internal fork, and commission an audit of the cryptographic accept/verify modules before production rollout at regulated scale.</w:t>
      </w:r>
    </w:p>
    <w:p>
      <w:pPr>
        <w:spacing w:before="120" w:after="200"/>
        <w:jc w:val="left"/>
      </w:pPr>
      <w:r>
        <w:rPr>
          <w:rFonts w:ascii="Arial" w:cs="Arial" w:eastAsia="Arial" w:hAnsi="Arial"/>
          <w:b w:val="false"/>
          <w:bCs w:val="false"/>
          <w:i w:val="false"/>
          <w:iCs w:val="false"/>
          <w:color w:val="000000"/>
          <w:sz w:val="20"/>
          <w:szCs w:val="20"/>
        </w:rPr>
        <w:t xml:space="preserve">For organisations on the path to ISO 27001:2022 certification who run Go-based or polyglot CI/CD pipelines, Wardex + Grype + Syft constitutes a zero-licensing-cost stack that competes functionally with Snyk Enterprise on the dimensions that matter most for secure release governance.</w:t>
      </w:r>
    </w:p>
    <w:p>
      <w:pPr>
        <w:pBdr>
          <w:bottom w:val="single" w:color="2E75B6" w:sz="6" w:space="1"/>
        </w:pBdr>
        <w:spacing w:before="80" w:after="80"/>
      </w:pPr>
      <w:r>
        <w:t xml:space="preserve"/>
      </w:r>
    </w:p>
    <w:p>
      <w:pPr>
        <w:spacing w:before="120" w:after="120"/>
        <w:jc w:val="left"/>
      </w:pPr>
      <w:r>
        <w:rPr>
          <w:rFonts w:ascii="Arial" w:cs="Arial" w:eastAsia="Arial" w:hAnsi="Arial"/>
          <w:b w:val="false"/>
          <w:bCs w:val="false"/>
          <w:i/>
          <w:iCs/>
          <w:color w:val="717D7E"/>
          <w:sz w:val="18"/>
          <w:szCs w:val="18"/>
        </w:rPr>
        <w:t xml:space="preserve">Report prepared for: Wardex project evaluation — March 2026</w:t>
      </w:r>
    </w:p>
    <w:p>
      <w:pPr>
        <w:spacing w:before="120" w:after="120"/>
        <w:jc w:val="left"/>
      </w:pPr>
      <w:r>
        <w:rPr>
          <w:rFonts w:ascii="Arial" w:cs="Arial" w:eastAsia="Arial" w:hAnsi="Arial"/>
          <w:b w:val="false"/>
          <w:bCs w:val="false"/>
          <w:i/>
          <w:iCs/>
          <w:color w:val="717D7E"/>
          <w:sz w:val="16"/>
          <w:szCs w:val="16"/>
        </w:rPr>
        <w:t xml:space="preserve">Sources: Wardex source code (github.com/had-nu/wardex), Snyk.io/plans, Vendr.com/marketplace/snyk, Anchore.com, Aquasecurity.io, OWASP Dependency-Track docs, secithub.com/iso-27001-2025-compliance-roi</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7"/>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B2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2026-03-01T02:30:41.618Z</dcterms:created>
  <dcterms:modified xsi:type="dcterms:W3CDTF">2026-03-01T02:30:41.619Z</dcterms:modified>
</cp:coreProperties>
</file>

<file path=docProps/custom.xml><?xml version="1.0" encoding="utf-8"?>
<Properties xmlns="http://schemas.openxmlformats.org/officeDocument/2006/custom-properties" xmlns:vt="http://schemas.openxmlformats.org/officeDocument/2006/docPropsVTypes"/>
</file>