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60"/>
      </w:pPr>
      <w:r>
        <w:rPr>
          <w:rFonts w:ascii="Arial" w:cs="Arial" w:eastAsia="Arial" w:hAnsi="Arial"/>
          <w:b/>
          <w:bCs/>
          <w:color w:val="1B2A47"/>
          <w:sz w:val="96"/>
          <w:szCs w:val="96"/>
        </w:rPr>
        <w:t xml:space="preserve">WARDEX</w:t>
      </w:r>
    </w:p>
    <w:p>
      <w:pPr>
        <w:spacing w:before="0" w:after="40"/>
      </w:pPr>
      <w:r>
        <w:rPr>
          <w:rFonts w:ascii="Arial" w:cs="Arial" w:eastAsia="Arial" w:hAnsi="Arial"/>
          <w:color w:val="2E75B6"/>
          <w:sz w:val="38"/>
          <w:szCs w:val="38"/>
        </w:rPr>
        <w:t xml:space="preserve">Gap Matrix — Implementation Delta Report</w:t>
      </w:r>
    </w:p>
    <w:p>
      <w:pPr>
        <w:spacing w:before="0" w:after="40"/>
      </w:pPr>
      <w:r>
        <w:rPr>
          <w:rFonts w:ascii="Arial" w:cs="Arial" w:eastAsia="Arial" w:hAnsi="Arial"/>
          <w:i/>
          <w:iCs/>
          <w:color w:val="717D7E"/>
          <w:sz w:val="24"/>
          <w:szCs w:val="24"/>
        </w:rPr>
        <w:t xml:space="preserve">Original 22 gaps (v1.1.0) vs current codebase (v1.5.0) · Source-grounded comparative analysis</w:t>
      </w:r>
    </w:p>
    <w:p>
      <w:pPr>
        <w:pBdr>
          <w:bottom w:val="single" w:color="2E75B6" w:sz="6" w:space="1"/>
        </w:pBdr>
        <w:spacing w:before="60" w:after="60"/>
      </w:pPr>
      <w:r>
        <w:t xml:space="preserve"/>
      </w:r>
    </w:p>
    <w:p>
      <w:pPr>
        <w:spacing w:before="80" w:after="40"/>
      </w:pPr>
      <w:r>
        <w:rPr>
          <w:rFonts w:ascii="Arial" w:cs="Arial" w:eastAsia="Arial" w:hAnsi="Arial"/>
          <w:b/>
          <w:bCs/>
          <w:color w:val="1B2A47"/>
          <w:sz w:val="22"/>
          <w:szCs w:val="22"/>
        </w:rPr>
        <w:t xml:space="preserve">18 RESOLVED  ·  3 PARTIAL  ·  1 OPEN  ·  22 TOTAL</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1291"/>
        <w:gridCol w:w="1882"/>
        <w:gridCol w:w="627"/>
      </w:tblGrid>
      <w:tr>
        <w:tc>
          <w:tcPr>
            <w:tcW w:type="dxa" w:w="11291"/>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8"/>
                <w:szCs w:val="18"/>
              </w:rPr>
              <w:t xml:space="preserve">18 Resolved  (82%)</w:t>
            </w:r>
          </w:p>
        </w:tc>
        <w:tc>
          <w:tcPr>
            <w:tcW w:type="dxa" w:w="1882"/>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8"/>
                <w:szCs w:val="18"/>
              </w:rPr>
              <w:t xml:space="preserve">3 Partial  (14%)</w:t>
            </w:r>
          </w:p>
        </w:tc>
        <w:tc>
          <w:tcPr>
            <w:tcW w:type="dxa" w:w="627"/>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8"/>
                <w:szCs w:val="18"/>
              </w:rPr>
              <w:t xml:space="preserve">1 Open  (5%)</w:t>
            </w:r>
          </w:p>
        </w:tc>
      </w:tr>
    </w:tbl>
    <w:p>
      <w:pPr>
        <w:spacing w:before="40" w:after="1200"/>
      </w:pPr>
      <w:r>
        <w:rPr>
          <w:rFonts w:ascii="Arial" w:cs="Arial" w:eastAsia="Arial" w:hAnsi="Arial"/>
          <w:color w:val="717D7E"/>
          <w:sz w:val="20"/>
          <w:szCs w:val="20"/>
        </w:rPr>
        <w:t xml:space="preserve">March 2026  ·  v1.1.0 → v1.5.0  ·  5 releases shipped</w:t>
      </w:r>
    </w:p>
    <w:p>
      <w:r>
        <w:br w:type="page"/>
      </w:r>
    </w:p>
    <w:p>
      <w:pPr>
        <w:pStyle w:val="Heading1"/>
        <w:spacing w:before="80" w:after="80"/>
        <w:jc w:val="left"/>
      </w:pPr>
      <w:r>
        <w:rPr>
          <w:rFonts w:ascii="Arial" w:cs="Arial" w:eastAsia="Arial" w:hAnsi="Arial"/>
          <w:b w:val="false"/>
          <w:bCs w:val="false"/>
          <w:i w:val="false"/>
          <w:iCs w:val="false"/>
          <w:color w:val="1A1A1A"/>
          <w:sz w:val="20"/>
          <w:szCs w:val="20"/>
        </w:rPr>
        <w:t xml:space="preserve">1. Executive Summary</w:t>
      </w:r>
    </w:p>
    <w:p>
      <w:pPr>
        <w:pBdr>
          <w:bottom w:val="single" w:color="2E75B6" w:sz="6" w:space="1"/>
        </w:pBdr>
        <w:spacing w:before="60" w:after="60"/>
      </w:pPr>
      <w:r>
        <w:t xml:space="preserve"/>
      </w:r>
    </w:p>
    <w:p>
      <w:pPr>
        <w:spacing w:before="80" w:after="120"/>
        <w:jc w:val="left"/>
      </w:pPr>
      <w:r>
        <w:rPr>
          <w:rFonts w:ascii="Arial" w:cs="Arial" w:eastAsia="Arial" w:hAnsi="Arial"/>
          <w:b w:val="false"/>
          <w:bCs w:val="false"/>
          <w:i/>
          <w:iCs/>
          <w:color w:val="1A1A1A"/>
          <w:sz w:val="18"/>
          <w:szCs w:val="18"/>
        </w:rPr>
        <w:t xml:space="preserve">This report compares the 22 gaps identified in the original Wardex Gap Matrix (v1.1.0, March 2026) against the current codebase as of v1.5.0, based on direct source code inspection of the repository after fetching origin/main (commit 2450e8e). Five release tags were shipped in a single development cycle: v1.1.1, v1.2.0, v1.3.0, v1.4.0, and v1.5.0.</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800"/>
        <w:gridCol w:w="3600"/>
      </w:tblGrid>
      <w:tr>
        <w:trPr>
          <w:tblHeader/>
        </w:trPr>
        <w:tc>
          <w:tcPr>
            <w:tcW w:type="dxa" w:w="30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Category</w:t>
            </w:r>
          </w:p>
        </w:tc>
        <w:tc>
          <w:tcPr>
            <w:tcW w:type="dxa" w:w="18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Total Gaps</w:t>
            </w:r>
          </w:p>
        </w:tc>
        <w:tc>
          <w:tcPr>
            <w:tcW w:type="dxa" w:w="18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Resolved</w:t>
            </w:r>
          </w:p>
        </w:tc>
        <w:tc>
          <w:tcPr>
            <w:tcW w:type="dxa" w:w="18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Partial</w:t>
            </w:r>
          </w:p>
        </w:tc>
        <w:tc>
          <w:tcPr>
            <w:tcW w:type="dxa" w:w="18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Open</w:t>
            </w:r>
          </w:p>
        </w:tc>
        <w:tc>
          <w:tcPr>
            <w:tcW w:type="dxa" w:w="36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Notes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 Bugs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6</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8"/>
                <w:szCs w:val="18"/>
              </w:rPr>
              <w:t xml:space="preserve">6</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iCs/>
                <w:color w:val="1A1A1A"/>
                <w:sz w:val="17"/>
                <w:szCs w:val="17"/>
              </w:rPr>
              <w:t xml:space="preserve">All 6 bugs fully resolved in v1.1.1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 Incomplete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8"/>
                <w:szCs w:val="18"/>
              </w:rPr>
              <w:t xml:space="preserve">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8"/>
                <w:szCs w:val="18"/>
              </w:rPr>
              <w:t xml:space="preserve">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iCs/>
                <w:color w:val="1A1A1A"/>
                <w:sz w:val="17"/>
                <w:szCs w:val="17"/>
              </w:rPr>
              <w:t xml:space="preserve">verify-forwarding partially implemented (local log check only)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 Features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7</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8"/>
                <w:szCs w:val="18"/>
              </w:rPr>
              <w:t xml:space="preserve">7</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iCs/>
                <w:color w:val="1A1A1A"/>
                <w:sz w:val="17"/>
                <w:szCs w:val="17"/>
              </w:rPr>
              <w:t xml:space="preserve">All 7 feature gaps fully resolved across v1.2.0–v1.5.0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 Strategic</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8"/>
                <w:szCs w:val="18"/>
              </w:rPr>
              <w:t xml:space="preserve">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8"/>
                <w:szCs w:val="18"/>
              </w:rPr>
              <w:t xml:space="preserve">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8"/>
                <w:szCs w:val="18"/>
              </w:rPr>
              <w:t xml:space="preserve">1</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iCs/>
                <w:color w:val="1A1A1A"/>
                <w:sz w:val="17"/>
                <w:szCs w:val="17"/>
              </w:rPr>
              <w:t xml:space="preserve">AGPL licence remains open. Security audit is an internal test suite only</w:t>
            </w:r>
          </w:p>
        </w:tc>
      </w:tr>
      <w:tr>
        <w:tc>
          <w:tcPr>
            <w:tcW w:type="dxa" w:w="30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TOTAL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A1A1A"/>
                <w:sz w:val="18"/>
                <w:szCs w:val="18"/>
              </w:rPr>
              <w:t xml:space="preserve">22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8"/>
                <w:szCs w:val="18"/>
              </w:rPr>
              <w:t xml:space="preserve">19</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8"/>
                <w:szCs w:val="18"/>
              </w:rPr>
              <w:t xml:space="preserve">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8"/>
                <w:szCs w:val="18"/>
              </w:rPr>
              <w:t xml:space="preserve">1</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7"/>
                <w:szCs w:val="17"/>
              </w:rPr>
              <w:t xml:space="preserve">86% resolved · 9% partial · 5% open</w:t>
            </w:r>
          </w:p>
        </w:tc>
      </w:tr>
    </w:tbl>
    <w:p>
      <w:pPr>
        <w:spacing w:before="80" w:after="80"/>
        <w:jc w:val="left"/>
      </w:pPr>
      <w:r>
        <w:rPr>
          <w:rFonts w:ascii="Arial" w:cs="Arial" w:eastAsia="Arial" w:hAnsi="Arial"/>
          <w:b w:val="false"/>
          <w:bCs w:val="false"/>
          <w:i w:val="false"/>
          <w:iCs w:val="false"/>
          <w:color w:val="1A1A1A"/>
          <w:sz w:val="20"/>
          <w:szCs w:val="20"/>
        </w:rPr>
        <w:t xml:space="preserve"/>
      </w:r>
    </w:p>
    <w:p>
      <w:pPr>
        <w:spacing w:before="80" w:after="80"/>
        <w:jc w:val="left"/>
      </w:pPr>
      <w:r>
        <w:rPr>
          <w:rFonts w:ascii="Arial" w:cs="Arial" w:eastAsia="Arial" w:hAnsi="Arial"/>
          <w:b/>
          <w:bCs/>
          <w:i w:val="false"/>
          <w:iCs w:val="false"/>
          <w:color w:val="1A1A1A"/>
          <w:sz w:val="22"/>
          <w:szCs w:val="22"/>
        </w:rPr>
        <w:t xml:space="preserve">Key Milestones by Release</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400"/>
      </w:tblGrid>
      <w:tr>
        <w:trPr>
          <w:tblHeader/>
        </w:trPr>
        <w:tc>
          <w:tcPr>
            <w:tcW w:type="dxa" w:w="14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Release</w:t>
            </w:r>
          </w:p>
        </w:tc>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Date</w:t>
            </w:r>
          </w:p>
        </w:tc>
        <w:tc>
          <w:tcPr>
            <w:tcW w:type="dxa" w:w="104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Gaps Closed / Theme</w:t>
            </w:r>
          </w:p>
        </w:tc>
      </w:tr>
      <w:tr>
        <w:tc>
          <w:tcPr>
            <w:tcW w:type="dxa" w:w="14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B2A47"/>
                <w:sz w:val="18"/>
                <w:szCs w:val="18"/>
              </w:rPr>
              <w:t xml:space="preserve">v1.1.1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2026-03-01</w:t>
            </w:r>
          </w:p>
        </w:tc>
        <w:tc>
          <w:tcPr>
            <w:tcW w:type="dxa" w:w="10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7"/>
                <w:szCs w:val="17"/>
              </w:rPr>
              <w:t xml:space="preserve">G-01 G-02 G-03 G-04 G-05 G-06 G-22  —  Bug-fix + changelog sprint. All 6 bugs resolved. Named exit code constants introduced (pkg/exitcodes). Custom duration parser (pkg/duration). Config propagation and multi-CVE acceptance fixed.</w:t>
            </w:r>
          </w:p>
        </w:tc>
      </w:tr>
      <w:tr>
        <w:tc>
          <w:tcPr>
            <w:tcW w:type="dxa" w:w="14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B2A47"/>
                <w:sz w:val="18"/>
                <w:szCs w:val="18"/>
              </w:rPr>
              <w:t xml:space="preserve">v1.2.0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2026-03-01</w:t>
            </w:r>
          </w:p>
        </w:tc>
        <w:tc>
          <w:tcPr>
            <w:tcW w:type="dxa" w:w="10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7"/>
                <w:szCs w:val="17"/>
              </w:rPr>
              <w:t xml:space="preserve">G-08 G-09 G-10 G-12 G-14 G-16 G-18  —  Completeness + DX sprint. Grype converter, warn mode, JSON/CSV accept list, roadmap limit, wardex simulate, godoc annotations.</w:t>
            </w:r>
          </w:p>
        </w:tc>
      </w:tr>
      <w:tr>
        <w:tc>
          <w:tcPr>
            <w:tcW w:type="dxa" w:w="14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B2A47"/>
                <w:sz w:val="18"/>
                <w:szCs w:val="18"/>
              </w:rPr>
              <w:t xml:space="preserve">v1.3.0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2026-03-01</w:t>
            </w:r>
          </w:p>
        </w:tc>
        <w:tc>
          <w:tcPr>
            <w:tcW w:type="dxa" w:w="10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7"/>
                <w:szCs w:val="17"/>
              </w:rPr>
              <w:t xml:space="preserve">G-13 G-15* G-20*  —  Enterprise readiness. CycloneDX/SPDX SBOM ingestion, RBAC config profiles, internal crypto audit test suite.</w:t>
            </w:r>
          </w:p>
        </w:tc>
      </w:tr>
      <w:tr>
        <w:tc>
          <w:tcPr>
            <w:tcW w:type="dxa" w:w="14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B2A47"/>
                <w:sz w:val="18"/>
                <w:szCs w:val="18"/>
              </w:rPr>
              <w:t xml:space="preserve">v1.4.0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2026-03-01</w:t>
            </w:r>
          </w:p>
        </w:tc>
        <w:tc>
          <w:tcPr>
            <w:tcW w:type="dxa" w:w="10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7"/>
                <w:szCs w:val="17"/>
              </w:rPr>
              <w:t xml:space="preserve">G-07 G-09 G-11 G-17  —  Observability + compliance. verify-forwarding (local), WARN gate context, configurable snapshot path, VEX suppression.</w:t>
            </w:r>
          </w:p>
        </w:tc>
      </w:tr>
      <w:tr>
        <w:tc>
          <w:tcPr>
            <w:tcW w:type="dxa" w:w="14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B2A47"/>
                <w:sz w:val="18"/>
                <w:szCs w:val="18"/>
              </w:rPr>
              <w:t xml:space="preserve">v1.5.0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8"/>
                <w:szCs w:val="18"/>
              </w:rPr>
              <w:t xml:space="preserve">2026-03-01</w:t>
            </w:r>
          </w:p>
        </w:tc>
        <w:tc>
          <w:tcPr>
            <w:tcW w:type="dxa" w:w="10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7"/>
                <w:szCs w:val="17"/>
              </w:rPr>
              <w:t xml:space="preserve">G-19  —  Multi-framework governance engine. SOC 2 TSC, NIS2 (EU Directive 2022/2555), DORA (ICT risk management). --framework flag. Model abstracted to CatalogControl.</w:t>
            </w:r>
          </w:p>
        </w:tc>
      </w:tr>
    </w:tbl>
    <w:p>
      <w:r>
        <w:br w:type="page"/>
      </w:r>
    </w:p>
    <w:p>
      <w:pPr>
        <w:pStyle w:val="Heading1"/>
        <w:spacing w:before="80" w:after="80"/>
        <w:jc w:val="left"/>
      </w:pPr>
      <w:r>
        <w:rPr>
          <w:rFonts w:ascii="Arial" w:cs="Arial" w:eastAsia="Arial" w:hAnsi="Arial"/>
          <w:b w:val="false"/>
          <w:bCs w:val="false"/>
          <w:i w:val="false"/>
          <w:iCs w:val="false"/>
          <w:color w:val="1A1A1A"/>
          <w:sz w:val="20"/>
          <w:szCs w:val="20"/>
        </w:rPr>
        <w:t xml:space="preserve">2. Full Comparative Matrix — Gap-by-Gap</w:t>
      </w:r>
    </w:p>
    <w:p>
      <w:pPr>
        <w:pBdr>
          <w:bottom w:val="single" w:color="2E75B6" w:sz="6" w:space="1"/>
        </w:pBdr>
        <w:spacing w:before="60" w:after="60"/>
      </w:pPr>
      <w:r>
        <w:t xml:space="preserve"/>
      </w:r>
    </w:p>
    <w:p>
      <w:pPr>
        <w:spacing w:before="80" w:after="100"/>
        <w:jc w:val="left"/>
      </w:pPr>
      <w:r>
        <w:rPr>
          <w:rFonts w:ascii="Arial" w:cs="Arial" w:eastAsia="Arial" w:hAnsi="Arial"/>
          <w:b w:val="false"/>
          <w:bCs w:val="false"/>
          <w:i/>
          <w:iCs/>
          <w:color w:val="1A1A1A"/>
          <w:sz w:val="18"/>
          <w:szCs w:val="18"/>
        </w:rPr>
        <w:t xml:space="preserve">Each gap is shown with its original description, the fix shipped in the codebase, the evidence files, and any residual caveats.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530"/>
        <w:gridCol w:w="1100"/>
        <w:gridCol w:w="700"/>
        <w:gridCol w:w="700"/>
        <w:gridCol w:w="700"/>
        <w:gridCol w:w="3270"/>
        <w:gridCol w:w="4100"/>
        <w:gridCol w:w="2700"/>
      </w:tblGrid>
      <w:tr>
        <w:trPr>
          <w:tblHeader/>
        </w:trPr>
        <w:tc>
          <w:tcPr>
            <w:tcW w:type="dxa" w:w="53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ID</w:t>
            </w:r>
          </w:p>
        </w:tc>
        <w:tc>
          <w:tcPr>
            <w:tcW w:type="dxa" w:w="11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Status</w:t>
            </w:r>
          </w:p>
        </w:tc>
        <w:tc>
          <w:tcPr>
            <w:tcW w:type="dxa" w:w="7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Cat.</w:t>
            </w:r>
          </w:p>
        </w:tc>
        <w:tc>
          <w:tcPr>
            <w:tcW w:type="dxa" w:w="7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Impact</w:t>
            </w:r>
          </w:p>
        </w:tc>
        <w:tc>
          <w:tcPr>
            <w:tcW w:type="dxa" w:w="7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Release</w:t>
            </w:r>
          </w:p>
        </w:tc>
        <w:tc>
          <w:tcPr>
            <w:tcW w:type="dxa" w:w="327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Original Problem</w:t>
            </w:r>
          </w:p>
        </w:tc>
        <w:tc>
          <w:tcPr>
            <w:tcW w:type="dxa" w:w="41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Fix Implemented</w:t>
            </w:r>
          </w:p>
        </w:tc>
        <w:tc>
          <w:tcPr>
            <w:tcW w:type="dxa" w:w="27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Evidence / Caveats</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G-01</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5"/>
                <w:szCs w:val="15"/>
              </w:rPr>
              <w:t xml:space="preserve">Bug</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E844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v1.1.1</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`--expires 30d` silently fails</w:t>
            </w:r>
          </w:p>
          <w:p>
            <w:pPr>
              <w:spacing w:before="0" w:after="20"/>
            </w:pPr>
            <w:r>
              <w:rPr>
                <w:rFonts w:ascii="Arial" w:cs="Arial" w:eastAsia="Arial" w:hAnsi="Arial"/>
                <w:color w:val="555555"/>
                <w:sz w:val="15"/>
                <w:szCs w:val="15"/>
              </w:rPr>
              <w:t xml:space="preserve">time.ParseDuration() only accepts h/m/s/ns — `--expires 30d` crashes mid-flow.</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New `pkg/duration/duration.go` with `ParseExtended()`. Handles `d` suffix via `n * 24 * time.Hour`. Negative days rejected. Comprehensive unit tests in `pkg/duration/duration_test.go` covering 30d, 3d, 72h, edge cases.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pkg/duration/duration.go · pkg/duration/duration_test.go</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G-02</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5"/>
                <w:szCs w:val="15"/>
              </w:rPr>
              <w:t xml:space="preserve">Bug</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1E844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v1.1.1</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`--config` flag ignored by `wardex accept` subcommands</w:t>
            </w:r>
          </w:p>
          <w:p>
            <w:pPr>
              <w:spacing w:before="0" w:after="20"/>
            </w:pPr>
            <w:r>
              <w:rPr>
                <w:rFonts w:ascii="Arial" w:cs="Arial" w:eastAsia="Arial" w:hAnsi="Arial"/>
                <w:color w:val="555555"/>
                <w:sz w:val="15"/>
                <w:szCs w:val="15"/>
              </w:rPr>
              <w:t xml:space="preserve">config.Load('./wardex-config.yaml') hardcoded at cli.go:55 in all accept subcommands.</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Root `--config` flag now threaded to all accept subcommands via pointer propagation. Unit test in `pkg/accept/cli/cli_config_test.go` validates config path override.</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pkg/accept/cli/cli.go · pkg/accept/cli/cli_config_test.go</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G-03</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5"/>
                <w:szCs w:val="15"/>
              </w:rPr>
              <w:t xml:space="preserve">Bug</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v1.1.1</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`--cve` multi-value silently drops all but first CVE</w:t>
            </w:r>
          </w:p>
          <w:p>
            <w:pPr>
              <w:spacing w:before="0" w:after="20"/>
            </w:pPr>
            <w:r>
              <w:rPr>
                <w:rFonts w:ascii="Arial" w:cs="Arial" w:eastAsia="Arial" w:hAnsi="Arial"/>
                <w:color w:val="555555"/>
                <w:sz w:val="15"/>
                <w:szCs w:val="15"/>
              </w:rPr>
              <w:t xml:space="preserve">acceptance.CVE = reqCVEs[0] — only index [0] stored, rest silently discarded.</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Request handler now iterates the full `reqCVEs` slice, creating 1 distinct signed acceptance record per CVE. Each CVE is appended separately to store and logged in audit trail. Test in `cli_multicve_test.go`.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pkg/accept/cli/cli.go · pkg/accept/cli/cli_multicve_test.go</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G-04</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5"/>
                <w:szCs w:val="15"/>
              </w:rPr>
              <w:t xml:space="preserve">Bug</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v1.1.1</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Exit code 2 on BLOCK (POSIX conflict)</w:t>
            </w:r>
          </w:p>
          <w:p>
            <w:pPr>
              <w:spacing w:before="0" w:after="20"/>
            </w:pPr>
            <w:r>
              <w:rPr>
                <w:rFonts w:ascii="Arial" w:cs="Arial" w:eastAsia="Arial" w:hAnsi="Arial"/>
                <w:color w:val="555555"/>
                <w:sz w:val="15"/>
                <w:szCs w:val="15"/>
              </w:rPr>
              <w:t xml:space="preserve">os.Exit(2) on gate BLOCK — POSIX reserves 2 for 'misuse of shell builtins'.</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New `pkg/exitcodes/exitcodes.go` package with named semantic constants. GateBlocked=10, ComplianceFail=11, Tampered=3, StoreInconsistent=4, ExpiringSoon=5. All exit sites replaced with named constants. Full doc in `doc/EXIT_CODES.md`.</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pkg/exitcodes/exitcodes.go · doc/EXIT_CODES.md · main.go</w:t>
            </w:r>
          </w:p>
          <w:p>
            <w:pPr>
              <w:spacing w:before="8" w:after="20"/>
            </w:pPr>
            <w:r>
              <w:rPr>
                <w:rFonts w:ascii="Arial" w:cs="Arial" w:eastAsia="Arial" w:hAnsi="Arial"/>
                <w:i/>
                <w:iCs/>
                <w:color w:val="D35400"/>
                <w:sz w:val="14"/>
                <w:szCs w:val="14"/>
              </w:rPr>
              <w:t xml:space="preserve">Note: the new exit code for gate BLOCK is 10, not 1 as originally assumed. This is a positive evolution but requires updating CI scripts that expected exit 1.</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G-05</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5"/>
                <w:szCs w:val="15"/>
              </w:rPr>
              <w:t xml:space="preserve">Bug</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9A7D0A"/>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v1.1.1</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Banned justification phrases use equality not substring</w:t>
            </w:r>
          </w:p>
          <w:p>
            <w:pPr>
              <w:spacing w:before="0" w:after="20"/>
            </w:pPr>
            <w:r>
              <w:rPr>
                <w:rFonts w:ascii="Arial" w:cs="Arial" w:eastAsia="Arial" w:hAnsi="Arial"/>
                <w:color w:val="555555"/>
                <w:sz w:val="15"/>
                <w:szCs w:val="15"/>
              </w:rPr>
              <w:t xml:space="preserve">validator.go:40 — lowerJustification == strings.ToLower(phrase) — exact match only.</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Changed to strings.Contains(). Confirmed in CHANGELOG v1.2.0: 'Improved validation of banned justification phrases to catch them anywhere within a sentence.'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pkg/accept/validator/validator.go</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G-06</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5"/>
                <w:szCs w:val="15"/>
              </w:rPr>
              <w:t xml:space="preserve">Bug</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9A7D0A"/>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v1.1.1</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`--version` flag despite README reference</w:t>
            </w:r>
          </w:p>
          <w:p>
            <w:pPr>
              <w:spacing w:before="0" w:after="20"/>
            </w:pPr>
            <w:r>
              <w:rPr>
                <w:rFonts w:ascii="Arial" w:cs="Arial" w:eastAsia="Arial" w:hAnsi="Arial"/>
                <w:color w:val="555555"/>
                <w:sz w:val="15"/>
                <w:szCs w:val="15"/>
              </w:rPr>
              <w:t xml:space="preserve">cobra root command had no Version field — wardex --version threw 'unknown flag' error.</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rootCmd.Version wired with ldflags build injection. ASCII banner also prints the dynamically injected build version at startup.</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main.go · ui/banner.go</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G-07</w:t>
            </w:r>
          </w:p>
        </w:tc>
        <w:tc>
          <w:tcPr>
            <w:tcW w:type="dxa" w:w="11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7"/>
                <w:szCs w:val="17"/>
              </w:rPr>
              <w:t xml:space="preserve">[PARTIAL]</w:t>
            </w:r>
          </w:p>
        </w:tc>
        <w:tc>
          <w:tcPr>
            <w:tcW w:type="dxa" w:w="7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5"/>
                <w:szCs w:val="15"/>
              </w:rPr>
              <w:t xml:space="preserve">Inco</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v1.2.0→v1.4.0</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`wardex accept verify-forwarding` not implemented</w:t>
            </w:r>
          </w:p>
          <w:p>
            <w:pPr>
              <w:spacing w:before="0" w:after="20"/>
            </w:pPr>
            <w:r>
              <w:rPr>
                <w:rFonts w:ascii="Arial" w:cs="Arial" w:eastAsia="Arial" w:hAnsi="Arial"/>
                <w:color w:val="555555"/>
                <w:sz w:val="15"/>
                <w:szCs w:val="15"/>
              </w:rPr>
              <w:t xml:space="preserve">cli.go:245 — fmt.Println('Implementation pending') — silently exited 0.</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Now implemented in v1.4.0: checks if the local `wardex-accept-audit.log` is readable, parses its structure, and optionally pings a configured `--backend` (simulated 500ms delay). Reports '[PASS] SIEM Forwarding Verification Complete'.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pkg/accept/cli/cli.go:274 — verifyFwdCmd</w:t>
            </w:r>
          </w:p>
          <w:p>
            <w:pPr>
              <w:spacing w:before="8" w:after="20"/>
            </w:pPr>
            <w:r>
              <w:rPr>
                <w:rFonts w:ascii="Arial" w:cs="Arial" w:eastAsia="Arial" w:hAnsi="Arial"/>
                <w:i/>
                <w:iCs/>
                <w:color w:val="D35400"/>
                <w:sz w:val="14"/>
                <w:szCs w:val="14"/>
              </w:rPr>
              <w:t xml:space="preserve">Still partial: the backend 'ping' is simulated with a fixed time.Sleep — no real TCP/TLS connection to Splunk, Datadog, or fluentbit is made. Adequate for log structure verification; insufficient for true end-to-end SIEM delivery confirmation.</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G-08</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5"/>
                <w:szCs w:val="15"/>
              </w:rPr>
              <w:t xml:space="preserve">Inco</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9A7D0A"/>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v1.2.0</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`wardex accept list --output json|csv` not implemented</w:t>
            </w:r>
          </w:p>
          <w:p>
            <w:pPr>
              <w:spacing w:before="0" w:after="20"/>
            </w:pPr>
            <w:r>
              <w:rPr>
                <w:rFonts w:ascii="Arial" w:cs="Arial" w:eastAsia="Arial" w:hAnsi="Arial"/>
                <w:color w:val="555555"/>
                <w:sz w:val="15"/>
                <w:szCs w:val="15"/>
              </w:rPr>
              <w:t xml:space="preserve">Flag declared, only table output coded — --output json produced table regardless.</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JSON and CSV export branches added to listCmd.Run. Confirmed in CHANGELOG v1.2.0.</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pkg/accept/cli/cli.go</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G-09</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5"/>
                <w:szCs w:val="15"/>
              </w:rPr>
              <w:t xml:space="preserve">Inco</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v1.2.0→v1.4.0</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`warn` decision never produced by release gate</w:t>
            </w:r>
          </w:p>
          <w:p>
            <w:pPr>
              <w:spacing w:before="0" w:after="20"/>
            </w:pPr>
            <w:r>
              <w:rPr>
                <w:rFonts w:ascii="Arial" w:cs="Arial" w:eastAsia="Arial" w:hAnsi="Arial"/>
                <w:color w:val="555555"/>
                <w:sz w:val="15"/>
                <w:szCs w:val="15"/>
              </w:rPr>
              <w:t xml:space="preserve">model/release.go declared 'warn' but gate.go only produced block/allow.</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gate.go now checks: if WarnAbove &gt; 0 &amp;&amp; risk &gt; WarnAbove &amp;&amp; mode != aggregate → decision='warn', report.WarnCount++. OverallDecision='warn' unless block takes precedence. Scenario-05-warn-band.yaml in PoC validates end-to-end.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pkg/releasegate/gate.go · test/poc/scenario-05-warn-band.yaml</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G-10</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5"/>
                <w:szCs w:val="15"/>
              </w:rPr>
              <w:t xml:space="preserve">Inco</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E67E22"/>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v1.2.0</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Roadmap hard-capped at 10 items in Markdown report</w:t>
            </w:r>
          </w:p>
          <w:p>
            <w:pPr>
              <w:spacing w:before="0" w:after="20"/>
            </w:pPr>
            <w:r>
              <w:rPr>
                <w:rFonts w:ascii="Arial" w:cs="Arial" w:eastAsia="Arial" w:hAnsi="Arial"/>
                <w:color w:val="555555"/>
                <w:sz w:val="15"/>
                <w:szCs w:val="15"/>
              </w:rPr>
              <w:t xml:space="preserve">markdown.go:79 — if count &gt;= 10 { break } — hardcoded, no flag.</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--roadmap-limit flag added (default 10, 0 = unlimited). Confirmed in CHANGELOG v1.2.0.</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pkg/report/markdown.go · main.go</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G-11</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5"/>
                <w:szCs w:val="15"/>
              </w:rPr>
              <w:t xml:space="preserve">Inco</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9A7D0A"/>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v1.4.0</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Snapshot file path not configurable</w:t>
            </w:r>
          </w:p>
          <w:p>
            <w:pPr>
              <w:spacing w:before="0" w:after="20"/>
            </w:pPr>
            <w:r>
              <w:rPr>
                <w:rFonts w:ascii="Arial" w:cs="Arial" w:eastAsia="Arial" w:hAnsi="Arial"/>
                <w:color w:val="555555"/>
                <w:sz w:val="15"/>
                <w:szCs w:val="15"/>
              </w:rPr>
              <w:t xml:space="preserve">const SnapshotFile = '.wardex_snapshot.json' — hardcoded, no flag.</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--snapshot-file flag added with default '.wardex_snapshot.json'. snapshot.Save() and snapshot.Load() now accept filename parameter. Monorepo pipelines can isolate state per service.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pkg/snapshot/snapshot.go · main.go:67</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G-12</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2E75B6"/>
                <w:sz w:val="15"/>
                <w:szCs w:val="15"/>
              </w:rPr>
              <w:t xml:space="preserve">Feat</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1E844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v1.2.0</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native Grype input adapter</w:t>
            </w:r>
          </w:p>
          <w:p>
            <w:pPr>
              <w:spacing w:before="0" w:after="20"/>
            </w:pPr>
            <w:r>
              <w:rPr>
                <w:rFonts w:ascii="Arial" w:cs="Arial" w:eastAsia="Arial" w:hAnsi="Arial"/>
                <w:color w:val="555555"/>
                <w:sz w:val="15"/>
                <w:szCs w:val="15"/>
              </w:rPr>
              <w:t xml:space="preserve">--gate expected custom YAML schema. Users had to write converter scripts.</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cmd/convert/grype.go: new `wardex convert grype &lt;input.json&gt;` command. Reads Grype JSON (matches[].vulnerability.{id,cvss,severity} + artifact.name), deduplicates by CVE+component, maps to model.Vulnerability YAML. Severity fallback for missing CVSS scores. --default-epss flag.</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cmd/convert/grype.go · cmd/convert/grype_test.go · test/poc/scenario-06-mock-grype.json</w:t>
            </w:r>
          </w:p>
          <w:p>
            <w:pPr>
              <w:spacing w:before="8" w:after="20"/>
            </w:pPr>
            <w:r>
              <w:rPr>
                <w:rFonts w:ascii="Arial" w:cs="Arial" w:eastAsia="Arial" w:hAnsi="Arial"/>
                <w:i/>
                <w:iCs/>
                <w:color w:val="D35400"/>
                <w:sz w:val="14"/>
                <w:szCs w:val="14"/>
              </w:rPr>
              <w:t xml:space="preserve">Note: EPSS is not in Grype JSON output, so --default-epss defaults to 0.05 (optimistic). Users should enrich with real EPSS data for accurate risk scoring.</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G-13</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2E75B6"/>
                <w:sz w:val="15"/>
                <w:szCs w:val="15"/>
              </w:rPr>
              <w:t xml:space="preserve">Feat</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v1.3.0</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CycloneDX / SPDX SBOM ingestion</w:t>
            </w:r>
          </w:p>
          <w:p>
            <w:pPr>
              <w:spacing w:before="0" w:after="20"/>
            </w:pPr>
            <w:r>
              <w:rPr>
                <w:rFonts w:ascii="Arial" w:cs="Arial" w:eastAsia="Arial" w:hAnsi="Arial"/>
                <w:color w:val="555555"/>
                <w:sz w:val="15"/>
                <w:szCs w:val="15"/>
              </w:rPr>
              <w:t xml:space="preserve">pkg/ingestion only read control YAML/JSON/CSV — no SBOM format.</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pkg/sboms/cyclonedx.go: full CycloneDX 1.5 JSON parser. pkg/sboms/spdx.go: SPDX JSON parser. cmd/convert/sbom.go: `wardex convert sbom` command. VEX analysis.state='false_positive'/'not_affected' auto-suppresses vulns.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pkg/sboms/cyclonedx.go · pkg/sboms/spdx.go · cmd/convert/sbom.go · pkg/sboms/cyclonedx_test.go</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G-14</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2E75B6"/>
                <w:sz w:val="15"/>
                <w:szCs w:val="15"/>
              </w:rPr>
              <w:t xml:space="preserve">Feat</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1E844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v1.2.0</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`warn` threshold — risk band configuration</w:t>
            </w:r>
          </w:p>
          <w:p>
            <w:pPr>
              <w:spacing w:before="0" w:after="20"/>
            </w:pPr>
            <w:r>
              <w:rPr>
                <w:rFonts w:ascii="Arial" w:cs="Arial" w:eastAsia="Arial" w:hAnsi="Arial"/>
                <w:color w:val="555555"/>
                <w:sz w:val="15"/>
                <w:szCs w:val="15"/>
              </w:rPr>
              <w:t xml:space="preserve">config.Thresholds had WarnAbove field but never wired to gate.</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warn_above field fully wired in ReleaseGate config struct and in gate.go evaluation logic. Decision='warn' produced when warn_above &lt; risk &lt;= risk_appetite.</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config/config.go · pkg/releasegate/gate.go</w:t>
            </w:r>
          </w:p>
          <w:p>
            <w:pPr>
              <w:spacing w:before="8" w:after="20"/>
            </w:pPr>
            <w:r>
              <w:rPr>
                <w:rFonts w:ascii="Arial" w:cs="Arial" w:eastAsia="Arial" w:hAnsi="Arial"/>
                <w:i/>
                <w:iCs/>
                <w:color w:val="D35400"/>
                <w:sz w:val="14"/>
                <w:szCs w:val="14"/>
              </w:rPr>
              <w:t xml:space="preserve">Same resolution as G-09 — addressed together.</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G-15</w:t>
            </w:r>
          </w:p>
        </w:tc>
        <w:tc>
          <w:tcPr>
            <w:tcW w:type="dxa" w:w="11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7"/>
                <w:szCs w:val="17"/>
              </w:rPr>
              <w:t xml:space="preserve">[PARTIAL]</w:t>
            </w:r>
          </w:p>
        </w:tc>
        <w:tc>
          <w:tcPr>
            <w:tcW w:type="dxa" w:w="7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2E75B6"/>
                <w:sz w:val="15"/>
                <w:szCs w:val="15"/>
              </w:rPr>
              <w:t xml:space="preserve">Feat</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v1.3.0</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RBAC / per-team risk appetite configuration</w:t>
            </w:r>
          </w:p>
          <w:p>
            <w:pPr>
              <w:spacing w:before="0" w:after="20"/>
            </w:pPr>
            <w:r>
              <w:rPr>
                <w:rFonts w:ascii="Arial" w:cs="Arial" w:eastAsia="Arial" w:hAnsi="Arial"/>
                <w:color w:val="555555"/>
                <w:sz w:val="15"/>
                <w:szCs w:val="15"/>
              </w:rPr>
              <w:t xml:space="preserve">Single wardex-config.yaml with one risk appetite for all pipelines.</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ConfigProfile struct added: `profiles: { team-name: { risk_appetite: X, warn_above: Y } }`. New --profile flag selects active profile at runtime. Profile overrides root risk_appetite and warn_above.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config/config.go (ConfigProfile, Profiles map) · config/config_profile_test.go</w:t>
            </w:r>
          </w:p>
          <w:p>
            <w:pPr>
              <w:spacing w:before="8" w:after="20"/>
            </w:pPr>
            <w:r>
              <w:rPr>
                <w:rFonts w:ascii="Arial" w:cs="Arial" w:eastAsia="Arial" w:hAnsi="Arial"/>
                <w:i/>
                <w:iCs/>
                <w:color w:val="D35400"/>
                <w:sz w:val="14"/>
                <w:szCs w:val="14"/>
              </w:rPr>
              <w:t xml:space="preserve">Partial: profile selection applies risk appetite and warn_above overrides only. Full RBAC (access control to who can create profiles, approve acceptances per team, separate audit trails per team) is not implemented. The profile flag is a per-invocation override, not a central policy server.</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G-16</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2E75B6"/>
                <w:sz w:val="15"/>
                <w:szCs w:val="15"/>
              </w:rPr>
              <w:t xml:space="preserve">Feat</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v1.2.0</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wardex-risk-simulator.jsx not shipped as usable web UI</w:t>
            </w:r>
          </w:p>
          <w:p>
            <w:pPr>
              <w:spacing w:before="0" w:after="20"/>
            </w:pPr>
            <w:r>
              <w:rPr>
                <w:rFonts w:ascii="Arial" w:cs="Arial" w:eastAsia="Arial" w:hAnsi="Arial"/>
                <w:color w:val="555555"/>
                <w:sz w:val="15"/>
                <w:szCs w:val="15"/>
              </w:rPr>
              <w:t xml:space="preserve">React simulator existed in test/ but not referenced in README, not served by CLI.</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`wardex simulate` command generates a self-contained `wardex-simulator.html` file using go:embed of the JSX source, wrapped with CDN React 18, Babel, Tailwind, and Lucide. User opens the file in any browser offline.</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cmd/simulate/simulate.go · test/embed.go · wardex-simulator.html</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G-17</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2E75B6"/>
                <w:sz w:val="15"/>
                <w:szCs w:val="15"/>
              </w:rPr>
              <w:t xml:space="preserve">Feat</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9A7D0A"/>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v1.4.0</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VEX support</w:t>
            </w:r>
          </w:p>
          <w:p>
            <w:pPr>
              <w:spacing w:before="0" w:after="20"/>
            </w:pPr>
            <w:r>
              <w:rPr>
                <w:rFonts w:ascii="Arial" w:cs="Arial" w:eastAsia="Arial" w:hAnsi="Arial"/>
                <w:color w:val="555555"/>
                <w:sz w:val="15"/>
                <w:szCs w:val="15"/>
              </w:rPr>
              <w:t xml:space="preserve">No VEX reader — teams couldn't consume upstream VEX assertions.</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CycloneDX parser (pkg/sboms/cyclonedx.go) reads the analysis.state field. Components with state='false_positive' or 'not_affected' are automatically skipped. Test in cyclonedx_test.go validates suppression.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pkg/sboms/cyclonedx.go (ParseCycloneDX) · pkg/sboms/cyclonedx_test.go</w:t>
            </w:r>
          </w:p>
          <w:p>
            <w:pPr>
              <w:spacing w:before="8" w:after="20"/>
            </w:pPr>
            <w:r>
              <w:rPr>
                <w:rFonts w:ascii="Arial" w:cs="Arial" w:eastAsia="Arial" w:hAnsi="Arial"/>
                <w:i/>
                <w:iCs/>
                <w:color w:val="D35400"/>
                <w:sz w:val="14"/>
                <w:szCs w:val="14"/>
              </w:rPr>
              <w:t xml:space="preserve">VEX support is scoped to CycloneDX SBOM input only. OpenVEX standalone documents not supported. Adequate for CycloneDX-first pipelines.</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G-18</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2E75B6"/>
                <w:sz w:val="15"/>
                <w:szCs w:val="15"/>
              </w:rPr>
              <w:t xml:space="preserve">Feat</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v1.2.0</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godoc API reference for pkg/ packages</w:t>
            </w:r>
          </w:p>
          <w:p>
            <w:pPr>
              <w:spacing w:before="0" w:after="20"/>
            </w:pPr>
            <w:r>
              <w:rPr>
                <w:rFonts w:ascii="Arial" w:cs="Arial" w:eastAsia="Arial" w:hAnsi="Arial"/>
                <w:color w:val="555555"/>
                <w:sz w:val="15"/>
                <w:szCs w:val="15"/>
              </w:rPr>
              <w:t xml:space="preserve">No doc comments on exported types — `go doc` produced sparse output.</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All pkg/ packages fully annotated with godoc-standard comments per CHANGELOG v1.2.0: 'Fully annotated the pkg/ directories with standard GoDoc API references.'</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pkg/**/*.go</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G-19</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E8DAE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6C3483"/>
                <w:sz w:val="15"/>
                <w:szCs w:val="15"/>
              </w:rPr>
              <w:t xml:space="preserve">Stra</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v1.3.0→v1.5.0</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SOC 2 / NIS2 / DORA framework mapping</w:t>
            </w:r>
          </w:p>
          <w:p>
            <w:pPr>
              <w:spacing w:before="0" w:after="20"/>
            </w:pPr>
            <w:r>
              <w:rPr>
                <w:rFonts w:ascii="Arial" w:cs="Arial" w:eastAsia="Arial" w:hAnsi="Arial"/>
                <w:color w:val="555555"/>
                <w:sz w:val="15"/>
                <w:szCs w:val="15"/>
              </w:rPr>
              <w:t xml:space="preserve">Control catalog was ISO 27001-only — no SOC 2, NIS2, or DORA support.</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v1.5.0 multi-framework engine: pkg/catalog/soc2.yaml (SOC 2 TSC), pkg/catalog/nis2.yaml (EU NIS2 Directive 2022/2555), pkg/catalog/dora.yaml (Digital Operational Resilience Act). New --framework iso27001|soc2|nis2|dora root flag. Model refactored from AnnexAControl to CatalogControl for framework-agnostic operation.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pkg/catalog/soc2.yaml · pkg/catalog/nis2.yaml · pkg/catalog/dora.yaml · pkg/catalog/catalog.go · main.go:72</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G-20</w:t>
            </w:r>
          </w:p>
        </w:tc>
        <w:tc>
          <w:tcPr>
            <w:tcW w:type="dxa" w:w="11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9A7D0A"/>
                <w:sz w:val="17"/>
                <w:szCs w:val="17"/>
              </w:rPr>
              <w:t xml:space="preserve">[PARTIAL]</w:t>
            </w:r>
          </w:p>
        </w:tc>
        <w:tc>
          <w:tcPr>
            <w:tcW w:type="dxa" w:w="700"/>
            <w:gridSpan w:val="1"/>
            <w:tcBorders>
              <w:top w:val="single" w:color="CCCCCC" w:sz="1"/>
              <w:left w:val="single" w:color="CCCCCC" w:sz="1"/>
              <w:bottom w:val="single" w:color="CCCCCC" w:sz="1"/>
              <w:right w:val="single" w:color="CCCCCC" w:sz="1"/>
            </w:tcBorders>
            <w:shd w:fill="E8DAE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6C3483"/>
                <w:sz w:val="15"/>
                <w:szCs w:val="15"/>
              </w:rPr>
              <w:t xml:space="preserve">Stra</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1E844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v1.3.0</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external security audit of cryptographic modules</w:t>
            </w:r>
          </w:p>
          <w:p>
            <w:pPr>
              <w:spacing w:before="0" w:after="20"/>
            </w:pPr>
            <w:r>
              <w:rPr>
                <w:rFonts w:ascii="Arial" w:cs="Arial" w:eastAsia="Arial" w:hAnsi="Arial"/>
                <w:color w:val="555555"/>
                <w:sz w:val="15"/>
                <w:szCs w:val="15"/>
              </w:rPr>
              <w:t xml:space="preserve">pkg/accept/signer and pkg/accept/verifier — bespoke HMAC-SHA256, no third-party audit.</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test/security/crypto_audit_test.go: comprehensive internal test suite covering determinism, key sensitivity, field mutation detection, constant-time comparison, replay attack prevention, and HMAC key length validation (20 tests).</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test/security/crypto_audit_test.go</w:t>
            </w:r>
          </w:p>
          <w:p>
            <w:pPr>
              <w:spacing w:before="8" w:after="20"/>
            </w:pPr>
            <w:r>
              <w:rPr>
                <w:rFonts w:ascii="Arial" w:cs="Arial" w:eastAsia="Arial" w:hAnsi="Arial"/>
                <w:i/>
                <w:iCs/>
                <w:color w:val="D35400"/>
                <w:sz w:val="14"/>
                <w:szCs w:val="14"/>
              </w:rPr>
              <w:t xml:space="preserve">Still partial: this is an internal self-audit test suite, not a third-party penetration test or independent security review. Regulated industries (finance, healthcare) require external auditor sign-off that this test suite alone does not provide. Necessary but not sufficient.</w:t>
            </w:r>
          </w:p>
        </w:tc>
      </w:tr>
      <w:tr>
        <w:tc>
          <w:tcPr>
            <w:tcW w:type="dxa" w:w="53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G-21</w:t>
            </w:r>
          </w:p>
        </w:tc>
        <w:tc>
          <w:tcPr>
            <w:tcW w:type="dxa" w:w="11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C0392B"/>
                <w:sz w:val="17"/>
                <w:szCs w:val="17"/>
              </w:rPr>
              <w:t xml:space="preserve">[OPEN]</w:t>
            </w:r>
          </w:p>
        </w:tc>
        <w:tc>
          <w:tcPr>
            <w:tcW w:type="dxa" w:w="700"/>
            <w:gridSpan w:val="1"/>
            <w:tcBorders>
              <w:top w:val="single" w:color="CCCCCC" w:sz="1"/>
              <w:left w:val="single" w:color="CCCCCC" w:sz="1"/>
              <w:bottom w:val="single" w:color="CCCCCC" w:sz="1"/>
              <w:right w:val="single" w:color="CCCCCC" w:sz="1"/>
            </w:tcBorders>
            <w:shd w:fill="E8DAE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6C3483"/>
                <w:sz w:val="15"/>
                <w:szCs w:val="15"/>
              </w:rPr>
              <w:t xml:space="preserve">Stra</w:t>
            </w:r>
          </w:p>
        </w:tc>
        <w:tc>
          <w:tcPr>
            <w:tcW w:type="dxa" w:w="7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vAlign w:val="center"/>
          </w:tcPr>
          <w:p>
            <w:pPr>
              <w:jc w:val="center"/>
            </w:pPr>
            <w:r>
              <w:rPr>
                <w:rFonts w:ascii="Arial" w:cs="Arial" w:eastAsia="Arial" w:hAnsi="Arial"/>
                <w:b/>
                <w:bCs/>
                <w:color w:val="17A589"/>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w:t>
            </w:r>
          </w:p>
        </w:tc>
        <w:tc>
          <w:tcPr>
            <w:tcW w:type="dxa" w:w="327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AGPL-3.0 blocks SaaS embedding without source disclosure</w:t>
            </w:r>
          </w:p>
          <w:p>
            <w:pPr>
              <w:spacing w:before="0" w:after="20"/>
            </w:pPr>
            <w:r>
              <w:rPr>
                <w:rFonts w:ascii="Arial" w:cs="Arial" w:eastAsia="Arial" w:hAnsi="Arial"/>
                <w:color w:val="555555"/>
                <w:sz w:val="15"/>
                <w:szCs w:val="15"/>
              </w:rPr>
              <w:t xml:space="preserve">AGPL requires source disclosure for network-accessible services embedding Wardex.</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No change. LICENSE file still GNU AGPL v3. No dual-licensing option introduced.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LICENSE</w:t>
            </w:r>
          </w:p>
          <w:p>
            <w:pPr>
              <w:spacing w:before="8" w:after="20"/>
            </w:pPr>
            <w:r>
              <w:rPr>
                <w:rFonts w:ascii="Arial" w:cs="Arial" w:eastAsia="Arial" w:hAnsi="Arial"/>
                <w:i/>
                <w:iCs/>
                <w:color w:val="D35400"/>
                <w:sz w:val="14"/>
                <w:szCs w:val="14"/>
              </w:rPr>
              <w:t xml:space="preserve">Remains fully open. ISVs and SaaS vendors cannot embed Wardex without open-sourcing their product. This is a market-level decision requiring deliberate action from the project owner.</w:t>
            </w:r>
          </w:p>
        </w:tc>
      </w:tr>
      <w:tr>
        <w:tc>
          <w:tcPr>
            <w:tcW w:type="dxa" w:w="53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6"/>
                <w:szCs w:val="16"/>
              </w:rPr>
              <w:t xml:space="preserve">G-22</w:t>
            </w:r>
          </w:p>
        </w:tc>
        <w:tc>
          <w:tcPr>
            <w:tcW w:type="dxa" w:w="11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7"/>
                <w:szCs w:val="17"/>
              </w:rPr>
              <w:t xml:space="preserve">[RESOLVED]</w:t>
            </w:r>
          </w:p>
        </w:tc>
        <w:tc>
          <w:tcPr>
            <w:tcW w:type="dxa" w:w="700"/>
            <w:gridSpan w:val="1"/>
            <w:tcBorders>
              <w:top w:val="single" w:color="CCCCCC" w:sz="1"/>
              <w:left w:val="single" w:color="CCCCCC" w:sz="1"/>
              <w:bottom w:val="single" w:color="CCCCCC" w:sz="1"/>
              <w:right w:val="single" w:color="CCCCCC" w:sz="1"/>
            </w:tcBorders>
            <w:shd w:fill="E8DAE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6C3483"/>
                <w:sz w:val="15"/>
                <w:szCs w:val="15"/>
              </w:rPr>
              <w:t xml:space="preserve">Stra</w:t>
            </w:r>
          </w:p>
        </w:tc>
        <w:tc>
          <w:tcPr>
            <w:tcW w:type="dxa" w:w="700"/>
            <w:tcBorders>
              <w:top w:val="single" w:color="CCCCCC" w:sz="1"/>
              <w:left w:val="single" w:color="CCCCCC" w:sz="1"/>
              <w:bottom w:val="single" w:color="CCCCCC" w:sz="1"/>
              <w:right w:val="single" w:color="CCCCCC" w:sz="1"/>
            </w:tcBorders>
            <w:shd w:fill="F2F3F4" w:val="clear"/>
            <w:tcMar>
              <w:top w:type="dxa" w:w="80"/>
              <w:left w:type="dxa" w:w="60"/>
              <w:bottom w:type="dxa" w:w="80"/>
              <w:right w:type="dxa" w:w="60"/>
            </w:tcMar>
            <w:vAlign w:val="center"/>
          </w:tcPr>
          <w:p>
            <w:pPr>
              <w:jc w:val="center"/>
            </w:pPr>
            <w:r>
              <w:rPr>
                <w:rFonts w:ascii="Arial" w:cs="Arial" w:eastAsia="Arial" w:hAnsi="Arial"/>
                <w:b/>
                <w:bCs/>
                <w:color w:val="9A7D0A"/>
                <w:sz w:val="18"/>
                <w:szCs w:val="18"/>
              </w:rPr>
              <w:t xml:space="preserve">●●●○○</w:t>
            </w:r>
          </w:p>
        </w:tc>
        <w:tc>
          <w:tcPr>
            <w:tcW w:type="dxa" w:w="7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717D7E"/>
                <w:sz w:val="14"/>
                <w:szCs w:val="14"/>
              </w:rPr>
              <w:t xml:space="preserve">v1.1.1</w:t>
            </w:r>
          </w:p>
        </w:tc>
        <w:tc>
          <w:tcPr>
            <w:tcW w:type="dxa" w:w="327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10"/>
            </w:pPr>
            <w:r>
              <w:rPr>
                <w:rFonts w:ascii="Arial" w:cs="Arial" w:eastAsia="Arial" w:hAnsi="Arial"/>
                <w:b/>
                <w:bCs/>
                <w:color w:val="1A1A1A"/>
                <w:sz w:val="16"/>
                <w:szCs w:val="16"/>
              </w:rPr>
              <w:t xml:space="preserve">No changelog / release notes</w:t>
            </w:r>
          </w:p>
          <w:p>
            <w:pPr>
              <w:spacing w:before="0" w:after="20"/>
            </w:pPr>
            <w:r>
              <w:rPr>
                <w:rFonts w:ascii="Arial" w:cs="Arial" w:eastAsia="Arial" w:hAnsi="Arial"/>
                <w:color w:val="555555"/>
                <w:sz w:val="15"/>
                <w:szCs w:val="15"/>
              </w:rPr>
              <w:t xml:space="preserve">No CHANGELOG.md — GitHub Release v1.1.0 had no body.</w:t>
            </w:r>
          </w:p>
        </w:tc>
        <w:tc>
          <w:tcPr>
            <w:tcW w:type="dxa" w:w="4100"/>
            <w:gridSpan w:val="1"/>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6"/>
                <w:szCs w:val="16"/>
              </w:rPr>
              <w:t xml:space="preserve">CHANGELOG.md created with Keep a Changelog format. Entries for v1.1.0, v1.1.1, v1.2.0, v1.3.0, v1.4.0, v1.5.0 all present. RELEASE.md added per version.</w:t>
            </w:r>
          </w:p>
        </w:tc>
        <w:tc>
          <w:tcPr>
            <w:tcW w:type="dxa" w:w="2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top"/>
          </w:tcPr>
          <w:p>
            <w:pPr>
              <w:spacing w:before="20" w:after="8"/>
            </w:pPr>
            <w:r>
              <w:rPr>
                <w:rFonts w:ascii="Arial" w:cs="Arial" w:eastAsia="Arial" w:hAnsi="Arial"/>
                <w:color w:val="2E75B6"/>
                <w:sz w:val="14"/>
                <w:szCs w:val="14"/>
              </w:rPr>
              <w:t xml:space="preserve">CHANGELOG.md · RELEASE.md</w:t>
            </w:r>
          </w:p>
        </w:tc>
      </w:tr>
    </w:tbl>
    <w:p>
      <w:r>
        <w:br w:type="page"/>
      </w:r>
    </w:p>
    <w:p>
      <w:pPr>
        <w:pStyle w:val="Heading1"/>
        <w:spacing w:before="80" w:after="80"/>
        <w:jc w:val="left"/>
      </w:pPr>
      <w:r>
        <w:rPr>
          <w:rFonts w:ascii="Arial" w:cs="Arial" w:eastAsia="Arial" w:hAnsi="Arial"/>
          <w:b w:val="false"/>
          <w:bCs w:val="false"/>
          <w:i w:val="false"/>
          <w:iCs w:val="false"/>
          <w:color w:val="1A1A1A"/>
          <w:sz w:val="20"/>
          <w:szCs w:val="20"/>
        </w:rPr>
        <w:t xml:space="preserve">3. Remaining Open &amp; Partial Gaps — Deep Dive</w:t>
      </w:r>
    </w:p>
    <w:p>
      <w:pPr>
        <w:pBdr>
          <w:bottom w:val="single" w:color="2E75B6" w:sz="6" w:space="1"/>
        </w:pBdr>
        <w:spacing w:before="60" w:after="60"/>
      </w:pPr>
      <w:r>
        <w:t xml:space="preserve"/>
      </w:r>
    </w:p>
    <w:p>
      <w:pPr>
        <w:spacing w:before="80" w:after="120"/>
        <w:jc w:val="left"/>
      </w:pPr>
      <w:r>
        <w:rPr>
          <w:rFonts w:ascii="Arial" w:cs="Arial" w:eastAsia="Arial" w:hAnsi="Arial"/>
          <w:b w:val="false"/>
          <w:bCs w:val="false"/>
          <w:i/>
          <w:iCs/>
          <w:color w:val="1A1A1A"/>
          <w:sz w:val="18"/>
          <w:szCs w:val="18"/>
        </w:rPr>
        <w:t xml:space="preserve">Three of the 22 original gaps remain either open or only partially addressed. This section provides a detailed assessment of each and recommends a closure path.</w:t>
      </w:r>
    </w:p>
    <w:p>
      <w:pPr>
        <w:pStyle w:val="Heading2"/>
        <w:spacing w:before="80" w:after="80"/>
        <w:jc w:val="left"/>
      </w:pPr>
      <w:r>
        <w:rPr>
          <w:rFonts w:ascii="Arial" w:cs="Arial" w:eastAsia="Arial" w:hAnsi="Arial"/>
          <w:b w:val="false"/>
          <w:bCs w:val="false"/>
          <w:i w:val="false"/>
          <w:iCs w:val="false"/>
          <w:color w:val="1A1A1A"/>
          <w:sz w:val="20"/>
          <w:szCs w:val="20"/>
        </w:rPr>
        <w:t xml:space="preserve">G-07 — `wardex accept verify-forwarding` [PARTIAL]</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500"/>
        <w:gridCol w:w="11300"/>
      </w:tblGrid>
      <w:tr>
        <w:tc>
          <w:tcPr>
            <w:tcW w:type="dxa" w:w="25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Attribute</w:t>
            </w:r>
          </w:p>
        </w:tc>
        <w:tc>
          <w:tcPr>
            <w:tcW w:type="dxa" w:w="113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Detail</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What was shipped</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v1.4.0 implementation: checks if wardex-accept-audit.log exists and is readable, parses its size, and if --backend is supplied, prints '[PASS] Backend X is reachable' after a fixed 500ms sleep.</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What is missing</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No real TCP/TLS connection is made to any SIEM backend. The 'ping' is time.Sleep(500ms) followed by a hardcoded success print. No JSONL record parsing, no event count validation, no --since timestamp filtering.</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Real-world impact</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In a SOC or audit scenario: a security engineer runs `wardex accept verify-forwarding --backend splunk.corp` and sees [PASS]. In reality, Splunk may be unreachable or the HEC token may be expired. The command gives false assurance.</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Recommended closure</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Implement an actual HTTP POST to the Syslog/Webhook/HTTP forwarder endpoints already defined in pkg/accept/forwarder/. Parse --since duration, count JSONL events since that date, and POST a test event. Verify 2xx response. Estimated effort: M (3–5 days).</w:t>
            </w:r>
          </w:p>
        </w:tc>
      </w:tr>
    </w:tbl>
    <w:p>
      <w:pPr>
        <w:spacing w:before="80" w:after="80"/>
        <w:jc w:val="left"/>
      </w:pPr>
      <w:r>
        <w:rPr>
          <w:rFonts w:ascii="Arial" w:cs="Arial" w:eastAsia="Arial" w:hAnsi="Arial"/>
          <w:b w:val="false"/>
          <w:bCs w:val="false"/>
          <w:i w:val="false"/>
          <w:iCs w:val="false"/>
          <w:color w:val="1A1A1A"/>
          <w:sz w:val="20"/>
          <w:szCs w:val="20"/>
        </w:rPr>
        <w:t xml:space="preserve"/>
      </w:r>
    </w:p>
    <w:p>
      <w:pPr>
        <w:pStyle w:val="Heading2"/>
        <w:spacing w:before="80" w:after="80"/>
        <w:jc w:val="left"/>
      </w:pPr>
      <w:r>
        <w:rPr>
          <w:rFonts w:ascii="Arial" w:cs="Arial" w:eastAsia="Arial" w:hAnsi="Arial"/>
          <w:b w:val="false"/>
          <w:bCs w:val="false"/>
          <w:i w:val="false"/>
          <w:iCs w:val="false"/>
          <w:color w:val="1A1A1A"/>
          <w:sz w:val="20"/>
          <w:szCs w:val="20"/>
        </w:rPr>
        <w:t xml:space="preserve">G-15 — RBAC / Per-team Risk Appetite [PARTIAL]</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500"/>
        <w:gridCol w:w="11300"/>
      </w:tblGrid>
      <w:tr>
        <w:tc>
          <w:tcPr>
            <w:tcW w:type="dxa" w:w="25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Attribute</w:t>
            </w:r>
          </w:p>
        </w:tc>
        <w:tc>
          <w:tcPr>
            <w:tcW w:type="dxa" w:w="113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Detail</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What was shipped</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ConfigProfile struct with risk_appetite and warn_above fields. Profiles map in Config. --profile flag selects a profile at runtime, overriding the root risk_appetite and warn_above for that invocation.</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What is missing</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No access control — any user can invoke any profile. No separate audit trails per team. No inheritance model (org-level policy → team-level override). No server-side policy enforcement. Profile selection is a CLI flag, not an enforced boundary.</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Real-world impact</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Adequate for small teams where trust is implicit. In an enterprise with 10+ teams and a central security team, a developer can simply pass --profile payment-api and bypass a stricter risk appetite. The 'R' in RBAC (role-based access control) is not present.</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Recommended closure</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Full RBAC requires: (1) a profile registry with allowed callers (e.g., CI runner identity or GitHub Actions $GITHUB_ACTOR), (2) per-profile audit trails, (3) profile approval workflow. Estimated effort: XL (v2.0.0 milestone, as originally roadmapped).</w:t>
            </w:r>
          </w:p>
        </w:tc>
      </w:tr>
    </w:tbl>
    <w:p>
      <w:pPr>
        <w:spacing w:before="80" w:after="80"/>
        <w:jc w:val="left"/>
      </w:pPr>
      <w:r>
        <w:rPr>
          <w:rFonts w:ascii="Arial" w:cs="Arial" w:eastAsia="Arial" w:hAnsi="Arial"/>
          <w:b w:val="false"/>
          <w:bCs w:val="false"/>
          <w:i w:val="false"/>
          <w:iCs w:val="false"/>
          <w:color w:val="1A1A1A"/>
          <w:sz w:val="20"/>
          <w:szCs w:val="20"/>
        </w:rPr>
        <w:t xml:space="preserve"/>
      </w:r>
    </w:p>
    <w:p>
      <w:pPr>
        <w:pStyle w:val="Heading2"/>
        <w:spacing w:before="80" w:after="80"/>
        <w:jc w:val="left"/>
      </w:pPr>
      <w:r>
        <w:rPr>
          <w:rFonts w:ascii="Arial" w:cs="Arial" w:eastAsia="Arial" w:hAnsi="Arial"/>
          <w:b w:val="false"/>
          <w:bCs w:val="false"/>
          <w:i w:val="false"/>
          <w:iCs w:val="false"/>
          <w:color w:val="1A1A1A"/>
          <w:sz w:val="20"/>
          <w:szCs w:val="20"/>
        </w:rPr>
        <w:t xml:space="preserve">G-20 — External Security Audit of Cryptographic Modules [PARTIAL]</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500"/>
        <w:gridCol w:w="11300"/>
      </w:tblGrid>
      <w:tr>
        <w:tc>
          <w:tcPr>
            <w:tcW w:type="dxa" w:w="25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Attribute</w:t>
            </w:r>
          </w:p>
        </w:tc>
        <w:tc>
          <w:tcPr>
            <w:tcW w:type="dxa" w:w="113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Detail</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What was shipped</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test/security/crypto_audit_test.go: 20-test internal suite covering HMAC-SHA256 determinism, key sensitivity (changing 1 byte produces different sig), field mutation detection (altering CVE/Justification/ExpiresAt invalidates sig), constant-time comparison, replay prevention.</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What is missing</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A third-party, independent security audit by a certified penetration tester or security firm. The test suite proves internal consistency but does not independently verify the cryptographic design choices (e.g., choice of HMAC-SHA256 vs Ed25519, key derivation, absence of timing side-channels in production paths).</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Real-world impact</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Regulated industries (financial services under DORA, healthcare under HIPAA) require external auditor sign-off. A GRC or InfoSec team evaluating Wardex for enterprise adoption will ask 'has this been audited?'. The current answer is 'we wrote internal tests' — not sufficient for regulated adoption.</w:t>
            </w:r>
          </w:p>
        </w:tc>
      </w:tr>
      <w:tr>
        <w:tc>
          <w:tcPr>
            <w:tcW w:type="dxa" w:w="25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Recommended closure</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Commission a penetration test from a certified firm (CREST, OSCP). Scope: pkg/accept/signer, pkg/accept/verifier, pkg/accept/store. Estimated cost: $8–15K. Publish the audit report (redacted) on the repository to signal maturity. This remains a strategic gap.</w:t>
            </w:r>
          </w:p>
        </w:tc>
      </w:tr>
    </w:tbl>
    <w:p>
      <w:pPr>
        <w:spacing w:before="80" w:after="80"/>
        <w:jc w:val="left"/>
      </w:pPr>
      <w:r>
        <w:rPr>
          <w:rFonts w:ascii="Arial" w:cs="Arial" w:eastAsia="Arial" w:hAnsi="Arial"/>
          <w:b w:val="false"/>
          <w:bCs w:val="false"/>
          <w:i w:val="false"/>
          <w:iCs w:val="false"/>
          <w:color w:val="1A1A1A"/>
          <w:sz w:val="20"/>
          <w:szCs w:val="20"/>
        </w:rPr>
        <w:t xml:space="preserve"/>
      </w:r>
    </w:p>
    <w:p>
      <w:pPr>
        <w:pStyle w:val="Heading2"/>
        <w:spacing w:before="80" w:after="80"/>
        <w:jc w:val="left"/>
      </w:pPr>
      <w:r>
        <w:rPr>
          <w:rFonts w:ascii="Arial" w:cs="Arial" w:eastAsia="Arial" w:hAnsi="Arial"/>
          <w:b w:val="false"/>
          <w:bCs w:val="false"/>
          <w:i w:val="false"/>
          <w:iCs w:val="false"/>
          <w:color w:val="1A1A1A"/>
          <w:sz w:val="20"/>
          <w:szCs w:val="20"/>
        </w:rPr>
        <w:t xml:space="preserve">G-21 — AGPL-3.0 Licensing [OPEN]</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500"/>
        <w:gridCol w:w="11300"/>
      </w:tblGrid>
      <w:tr>
        <w:tc>
          <w:tcPr>
            <w:tcW w:type="dxa" w:w="25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Attribute</w:t>
            </w:r>
          </w:p>
        </w:tc>
        <w:tc>
          <w:tcPr>
            <w:tcW w:type="dxa" w:w="113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Detail</w:t>
            </w:r>
          </w:p>
        </w:tc>
      </w:tr>
      <w:tr>
        <w:tc>
          <w:tcPr>
            <w:tcW w:type="dxa" w:w="25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Current state</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LICENSE file is GNU AGPL v3, unchanged across all 5 releases. No dual-licensing option introduced.</w:t>
            </w:r>
          </w:p>
        </w:tc>
      </w:tr>
      <w:tr>
        <w:tc>
          <w:tcPr>
            <w:tcW w:type="dxa" w:w="25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Business impact</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ISVs and SaaS vendors that want to embed Wardex in a network-accessible product must either (a) open-source their entire product, or (b) build equivalent functionality themselves. Both outcomes reduce Wardex's commercial ecosystem potential.</w:t>
            </w:r>
          </w:p>
        </w:tc>
      </w:tr>
      <w:tr>
        <w:tc>
          <w:tcPr>
            <w:tcW w:type="dxa" w:w="25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Market context</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Dual licensing (AGPL for OSS + commercial licence for embedding) is the established monetisation model in this space: GitLab (MIT/commercial), HashiCorp (BSL/commercial), Elastic (SSPL/commercial). The gap is deliberate — it requires a business decision, not just a code change.</w:t>
            </w:r>
          </w:p>
        </w:tc>
      </w:tr>
      <w:tr>
        <w:tc>
          <w:tcPr>
            <w:tcW w:type="dxa" w:w="2500"/>
            <w:gridSpan w:val="1"/>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Recommended path</w:t>
            </w:r>
          </w:p>
        </w:tc>
        <w:tc>
          <w:tcPr>
            <w:tcW w:type="dxa" w:w="1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Introduce a Commercial Licence for SaaS embedding (wardex-commercial@). Keep AGPL for all non-SaaS use (internal enterprise use is already AGPL-compliant). This requires legal review (~$2–5K with a software IP attorney) and a CLA for contributors. Effort: S for the mechanics, but requires project owner commitment.</w:t>
            </w:r>
          </w:p>
        </w:tc>
      </w:tr>
    </w:tbl>
    <w:p>
      <w:r>
        <w:br w:type="page"/>
      </w:r>
    </w:p>
    <w:p>
      <w:pPr>
        <w:pStyle w:val="Heading1"/>
        <w:spacing w:before="80" w:after="80"/>
        <w:jc w:val="left"/>
      </w:pPr>
      <w:r>
        <w:rPr>
          <w:rFonts w:ascii="Arial" w:cs="Arial" w:eastAsia="Arial" w:hAnsi="Arial"/>
          <w:b w:val="false"/>
          <w:bCs w:val="false"/>
          <w:i w:val="false"/>
          <w:iCs w:val="false"/>
          <w:color w:val="1A1A1A"/>
          <w:sz w:val="20"/>
          <w:szCs w:val="20"/>
        </w:rPr>
        <w:t xml:space="preserve">4. Noteworthy Implementation Decisions</w:t>
      </w:r>
    </w:p>
    <w:p>
      <w:pPr>
        <w:pBdr>
          <w:bottom w:val="single" w:color="2E75B6" w:sz="6" w:space="1"/>
        </w:pBdr>
        <w:spacing w:before="60" w:after="60"/>
      </w:pPr>
      <w:r>
        <w:t xml:space="preserve"/>
      </w:r>
    </w:p>
    <w:p>
      <w:pPr>
        <w:spacing w:before="80" w:after="120"/>
        <w:jc w:val="left"/>
      </w:pPr>
      <w:r>
        <w:rPr>
          <w:rFonts w:ascii="Arial" w:cs="Arial" w:eastAsia="Arial" w:hAnsi="Arial"/>
          <w:b w:val="false"/>
          <w:bCs w:val="false"/>
          <w:i/>
          <w:iCs/>
          <w:color w:val="1A1A1A"/>
          <w:sz w:val="18"/>
          <w:szCs w:val="18"/>
        </w:rPr>
        <w:t xml:space="preserve">Beyond the gap closures, the following implementation choices made in v1.1.1–v1.5.0 represent architectural decisions worth noting — either as positive evolutions or as new considerations.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9800"/>
      </w:tblGrid>
      <w:tr>
        <w:trPr>
          <w:tblHeader/>
        </w:trPr>
        <w:tc>
          <w:tcPr>
            <w:tcW w:type="dxa" w:w="28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Decision</w:t>
            </w:r>
          </w:p>
        </w:tc>
        <w:tc>
          <w:tcPr>
            <w:tcW w:type="dxa" w:w="12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Assessment</w:t>
            </w:r>
          </w:p>
        </w:tc>
        <w:tc>
          <w:tcPr>
            <w:tcW w:type="dxa" w:w="98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Rationale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Exit code for BLOCK is now 10, not 1</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8"/>
                <w:szCs w:val="18"/>
              </w:rPr>
              <w:t xml:space="preserve">Positive</w:t>
            </w:r>
          </w:p>
        </w:tc>
        <w:tc>
          <w:tcPr>
            <w:tcW w:type="dxa" w:w="9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GateBlocked=10 avoids POSIX conflicts. pkg/exitcodes with named constants is the right pattern. However, any existing CI pipeline written expecting exit 1 must be updated. The doc/EXIT_CODES.md mitigates this with a clear migration guide.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EPSS defaults to 0.05 in Grype converter</w:t>
            </w:r>
          </w:p>
        </w:tc>
        <w:tc>
          <w:tcPr>
            <w:tcW w:type="dxa" w:w="12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D35400"/>
                <w:sz w:val="18"/>
                <w:szCs w:val="18"/>
              </w:rPr>
              <w:t xml:space="preserve">Caveat</w:t>
            </w:r>
          </w:p>
        </w:tc>
        <w:tc>
          <w:tcPr>
            <w:tcW w:type="dxa" w:w="9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Grype JSON does not include EPSS data (it's a scanner, not an EPSS client). The --default-epss flag defaults to 0.05 — an optimistic assumption. Teams using the Grype converter should enrich with real EPSS data from api.first.org or use Grype's native EPSS enrichment if available. Without real EPSS, the composite risk score underweights exploit probability.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verify-forwarding uses time.Sleep to simulate backend ping</w:t>
            </w:r>
          </w:p>
        </w:tc>
        <w:tc>
          <w:tcPr>
            <w:tcW w:type="dxa" w:w="12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D35400"/>
                <w:sz w:val="18"/>
                <w:szCs w:val="18"/>
              </w:rPr>
              <w:t xml:space="preserve">Caveat</w:t>
            </w:r>
          </w:p>
        </w:tc>
        <w:tc>
          <w:tcPr>
            <w:tcW w:type="dxa" w:w="9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The simulated 500ms delay is a placeholder, not a real network probe. Teams should not rely on this command for production SIEM health-checking until a real HTTP/TCP probe is implemented.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Multi-framework model refactored to CatalogControl</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8"/>
                <w:szCs w:val="18"/>
              </w:rPr>
              <w:t xml:space="preserve">Positive</w:t>
            </w:r>
          </w:p>
        </w:tc>
        <w:tc>
          <w:tcPr>
            <w:tcW w:type="dxa" w:w="9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Abstracting AnnexAControl to CatalogControl was architecturally correct and necessary for SOC2/NIS2/DORA support. The CHANGELOG notes that JSON historical report backward compatibility is maintained.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doc/wardex-benchmark.md and doc/wardex-gap-matrix.md committed to repo</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1E8449"/>
                <w:sz w:val="18"/>
                <w:szCs w:val="18"/>
              </w:rPr>
              <w:t xml:space="preserve">Positive</w:t>
            </w:r>
          </w:p>
        </w:tc>
        <w:tc>
          <w:tcPr>
            <w:tcW w:type="dxa" w:w="9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The benchmark and gap matrix from this analysis were committed to the repository in doc/. This creates a traceable evidence trail for ISO 27001 Clause 9.1 (monitoring and measurement) — closing a documentation gap proactively.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A1A1A"/>
                <w:sz w:val="18"/>
                <w:szCs w:val="18"/>
              </w:rPr>
              <w:t xml:space="preserve">VEX support scoped to CycloneDX only</w:t>
            </w:r>
          </w:p>
        </w:tc>
        <w:tc>
          <w:tcPr>
            <w:tcW w:type="dxa" w:w="1200"/>
            <w:gridSpan w:val="1"/>
            <w:tcBorders>
              <w:top w:val="single" w:color="CCCCCC" w:sz="1"/>
              <w:left w:val="single" w:color="CCCCCC" w:sz="1"/>
              <w:bottom w:val="single" w:color="CCCCCC" w:sz="1"/>
              <w:right w:val="single" w:color="CCCCCC" w:sz="1"/>
            </w:tcBorders>
            <w:shd w:fill="FCF3CF"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D35400"/>
                <w:sz w:val="18"/>
                <w:szCs w:val="18"/>
              </w:rPr>
              <w:t xml:space="preserve">Caveat</w:t>
            </w:r>
          </w:p>
        </w:tc>
        <w:tc>
          <w:tcPr>
            <w:tcW w:type="dxa" w:w="9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OpenVEX standalone documents (the CISA-endorsed format) are not supported. Teams using OpenVEX as their VEX format cannot leverage the suppression feature without first converting to CycloneDX VEX format.</w:t>
            </w:r>
          </w:p>
        </w:tc>
      </w:tr>
    </w:tbl>
    <w:p>
      <w:r>
        <w:br w:type="page"/>
      </w:r>
    </w:p>
    <w:p>
      <w:pPr>
        <w:pStyle w:val="Heading1"/>
        <w:spacing w:before="80" w:after="80"/>
        <w:jc w:val="left"/>
      </w:pPr>
      <w:r>
        <w:rPr>
          <w:rFonts w:ascii="Arial" w:cs="Arial" w:eastAsia="Arial" w:hAnsi="Arial"/>
          <w:b w:val="false"/>
          <w:bCs w:val="false"/>
          <w:i w:val="false"/>
          <w:iCs w:val="false"/>
          <w:color w:val="1A1A1A"/>
          <w:sz w:val="20"/>
          <w:szCs w:val="20"/>
        </w:rPr>
        <w:t xml:space="preserve">5. Revised Roadmap — Remaining Work</w:t>
      </w:r>
    </w:p>
    <w:p>
      <w:pPr>
        <w:pBdr>
          <w:bottom w:val="single" w:color="2E75B6" w:sz="6" w:space="1"/>
        </w:pBdr>
        <w:spacing w:before="60" w:after="60"/>
      </w:pPr>
      <w:r>
        <w:t xml:space="preserve"/>
      </w:r>
    </w:p>
    <w:p>
      <w:pPr>
        <w:spacing w:before="80" w:after="120"/>
        <w:jc w:val="left"/>
      </w:pPr>
      <w:r>
        <w:rPr>
          <w:rFonts w:ascii="Arial" w:cs="Arial" w:eastAsia="Arial" w:hAnsi="Arial"/>
          <w:b w:val="false"/>
          <w:bCs w:val="false"/>
          <w:i/>
          <w:iCs/>
          <w:color w:val="1A1A1A"/>
          <w:sz w:val="18"/>
          <w:szCs w:val="18"/>
        </w:rPr>
        <w:t xml:space="preserve">With 19/22 gaps resolved, the remaining roadmap is narrow but strategically significant.</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7800"/>
      </w:tblGrid>
      <w:tr>
        <w:trPr>
          <w:tblHeader/>
        </w:trPr>
        <w:tc>
          <w:tcPr>
            <w:tcW w:type="dxa" w:w="15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Gap</w:t>
            </w:r>
          </w:p>
        </w:tc>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Priority</w:t>
            </w:r>
          </w:p>
        </w:tc>
        <w:tc>
          <w:tcPr>
            <w:tcW w:type="dxa" w:w="25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Effort</w:t>
            </w:r>
          </w:p>
        </w:tc>
        <w:tc>
          <w:tcPr>
            <w:tcW w:type="dxa" w:w="7800"/>
            <w:gridSpan w:val="1"/>
            <w:tcBorders>
              <w:top w:val="single" w:color="CCCCCC" w:sz="1"/>
              <w:left w:val="single" w:color="CCCCCC" w:sz="1"/>
              <w:bottom w:val="single" w:color="CCCCCC" w:sz="1"/>
              <w:right w:val="single" w:color="CCCCCC" w:sz="1"/>
            </w:tcBorders>
            <w:shd w:fill="1B2A47" w:val="clear"/>
            <w:tcMar>
              <w:top w:type="dxa" w:w="80"/>
              <w:left w:type="dxa" w:w="130"/>
              <w:bottom w:type="dxa" w:w="80"/>
              <w:right w:type="dxa" w:w="130"/>
            </w:tcMar>
            <w:vAlign w:val="center"/>
          </w:tcPr>
          <w:p>
            <w:pPr>
              <w:spacing w:before="20" w:after="20"/>
              <w:jc w:val="center"/>
            </w:pPr>
            <w:r>
              <w:rPr>
                <w:rFonts w:ascii="Arial" w:cs="Arial" w:eastAsia="Arial" w:hAnsi="Arial"/>
                <w:b/>
                <w:bCs/>
                <w:i w:val="false"/>
                <w:iCs w:val="false"/>
                <w:color w:val="FFFFFF"/>
                <w:sz w:val="17"/>
                <w:szCs w:val="17"/>
              </w:rPr>
              <w:t xml:space="preserve">Closure Path</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8"/>
                <w:szCs w:val="18"/>
              </w:rPr>
              <w:t xml:space="preserve">G-07</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Medium</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M (3–5 days)</w:t>
            </w:r>
          </w:p>
        </w:tc>
        <w:tc>
          <w:tcPr>
            <w:tcW w:type="dxa" w:w="7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Implement real HTTP POST to pkg/accept/forwarder/ endpoints. Parse --since, count JSONL events, POST test event, verify 2xx. Replace time.Sleep placeholder.</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8"/>
                <w:szCs w:val="18"/>
              </w:rPr>
              <w:t xml:space="preserve">G-15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Medium → High at scale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XL (v2.0.0)</w:t>
            </w:r>
          </w:p>
        </w:tc>
        <w:tc>
          <w:tcPr>
            <w:tcW w:type="dxa" w:w="7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Full RBAC: profile registry with caller identity enforcement, per-profile audit trails, profile approval workflow. Central policy server. As originally roadmapped for v2.0.0.</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8"/>
                <w:szCs w:val="18"/>
              </w:rPr>
              <w:t xml:space="preserve">G-20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High for regulated sectors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L (external engagement)</w:t>
            </w:r>
          </w:p>
        </w:tc>
        <w:tc>
          <w:tcPr>
            <w:tcW w:type="dxa" w:w="7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Commission third-party pentest/audit of pkg/accept/signer and pkg/accept/verifier. Scope: ~40 hours at a CREST-certified firm. Publish redacted report on repository.</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bCs/>
                <w:i w:val="false"/>
                <w:iCs w:val="false"/>
                <w:color w:val="1B2A47"/>
                <w:sz w:val="18"/>
                <w:szCs w:val="18"/>
              </w:rPr>
              <w:t xml:space="preserve">G-21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Strategic</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center"/>
            </w:pPr>
            <w:r>
              <w:rPr>
                <w:rFonts w:ascii="Arial" w:cs="Arial" w:eastAsia="Arial" w:hAnsi="Arial"/>
                <w:b w:val="false"/>
                <w:bCs w:val="false"/>
                <w:i w:val="false"/>
                <w:iCs w:val="false"/>
                <w:color w:val="1A1A1A"/>
                <w:sz w:val="18"/>
                <w:szCs w:val="18"/>
              </w:rPr>
              <w:t xml:space="preserve">S (legal + mechanics)</w:t>
            </w:r>
          </w:p>
        </w:tc>
        <w:tc>
          <w:tcPr>
            <w:tcW w:type="dxa" w:w="7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20" w:after="20"/>
              <w:jc w:val="left"/>
            </w:pPr>
            <w:r>
              <w:rPr>
                <w:rFonts w:ascii="Arial" w:cs="Arial" w:eastAsia="Arial" w:hAnsi="Arial"/>
                <w:b w:val="false"/>
                <w:bCs w:val="false"/>
                <w:i w:val="false"/>
                <w:iCs w:val="false"/>
                <w:color w:val="1A1A1A"/>
                <w:sz w:val="18"/>
                <w:szCs w:val="18"/>
              </w:rPr>
              <w:t xml:space="preserve">Introduce commercial licence for SaaS embedding. Requires IP attorney review + CLA. Keep AGPL for all non-SaaS use. Unlocks ISV partnerships and commercial embedding revenue.</w:t>
            </w:r>
          </w:p>
        </w:tc>
      </w:tr>
    </w:tbl>
    <w:p>
      <w:pPr>
        <w:spacing w:before="80" w:after="80"/>
        <w:jc w:val="left"/>
      </w:pPr>
      <w:r>
        <w:rPr>
          <w:rFonts w:ascii="Arial" w:cs="Arial" w:eastAsia="Arial" w:hAnsi="Arial"/>
          <w:b w:val="false"/>
          <w:bCs w:val="false"/>
          <w:i w:val="false"/>
          <w:iCs w:val="false"/>
          <w:color w:val="1A1A1A"/>
          <w:sz w:val="20"/>
          <w:szCs w:val="20"/>
        </w:rPr>
        <w:t xml:space="preserve"/>
      </w:r>
    </w:p>
    <w:p>
      <w:pPr>
        <w:pBdr>
          <w:bottom w:val="single" w:color="717D7E" w:sz="6" w:space="1"/>
        </w:pBdr>
        <w:spacing w:before="60" w:after="60"/>
      </w:pPr>
      <w:r>
        <w:t xml:space="preserve"/>
      </w:r>
    </w:p>
    <w:p>
      <w:pPr>
        <w:spacing w:before="80" w:after="80"/>
        <w:jc w:val="left"/>
      </w:pPr>
      <w:r>
        <w:rPr>
          <w:rFonts w:ascii="Arial" w:cs="Arial" w:eastAsia="Arial" w:hAnsi="Arial"/>
          <w:b w:val="false"/>
          <w:bCs w:val="false"/>
          <w:i/>
          <w:iCs/>
          <w:color w:val="717D7E"/>
          <w:sz w:val="16"/>
          <w:szCs w:val="16"/>
        </w:rPr>
        <w:t xml:space="preserve">Analysis based on direct inspection of commits 02fd6c8..2450e8e (origin/main, March 2026). Tags reviewed: v1.1.1, v1.2.0, v1.3.0, v1.4.0, v1.5.0. Files inspected: pkg/duration/, pkg/exitcodes/, pkg/sboms/, pkg/releasegate/, pkg/accept/cli/, pkg/catalog/, cmd/convert/, cmd/simulate/, test/security/, config/config.go, main.go, CHANGELOG.md.</w:t>
      </w:r>
    </w:p>
    <w:sectPr>
      <w:pgSz w:w="15840" w:h="122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B2A47"/>
      <w:sz w:val="40"/>
      <w:szCs w:val="40"/>
    </w:rPr>
  </w:style>
  <w:style w:type="paragraph" w:styleId="Heading2">
    <w:name w:val="Heading 2"/>
    <w:basedOn w:val="Normal"/>
    <w:next w:val="Normal"/>
    <w:qFormat/>
    <w:pPr>
      <w:spacing w:before="22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60"/>
      <w:outlineLvl w:val="2"/>
    </w:pPr>
    <w:rPr>
      <w:rFonts w:ascii="Arial" w:cs="Arial" w:eastAsia="Arial" w:hAnsi="Arial"/>
      <w:b/>
      <w:bCs/>
      <w:color w:val="1B2A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2026-03-01T19:06:58.521Z</dcterms:created>
  <dcterms:modified xsi:type="dcterms:W3CDTF">2026-03-01T19:06:58.522Z</dcterms:modified>
</cp:coreProperties>
</file>

<file path=docProps/custom.xml><?xml version="1.0" encoding="utf-8"?>
<Properties xmlns="http://schemas.openxmlformats.org/officeDocument/2006/custom-properties" xmlns:vt="http://schemas.openxmlformats.org/officeDocument/2006/docPropsVTypes"/>
</file>