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费茨定律——从数学公式到触控热区设计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UI设计理论知识点 K04 | 理论延伸：人机交互运动定律</w:t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color w:val="808080"/>
          <w:sz w:val="21"/>
        </w:rPr>
        <w:t>时长：约2分钟视频配套文档</w:t>
      </w:r>
    </w:p>
    <w:p>
      <w:pPr>
        <w:spacing w:before="40" w:after="160"/>
        <w:pBdr>
          <w:bottom w:val="single" w:sz="6" w:space="1" w:color="2E74B5"/>
        </w:pBdr>
      </w:pPr>
    </w:p>
    <w:p>
      <w:pPr>
        <w:pStyle w:val="Heading1"/>
        <w:spacing w:before="360" w:after="200" w:line="360" w:lineRule="auto"/>
      </w:pPr>
      <w:r>
        <w:rPr>
          <w:rFonts w:ascii="微软雅黑" w:hAnsi="微软雅黑" w:eastAsia="微软雅黑"/>
          <w:b/>
          <w:color w:val="1F497D"/>
          <w:sz w:val="36"/>
        </w:rPr>
        <w:t>一、知识点概述</w:t>
      </w:r>
    </w:p>
    <w:p>
      <w:pPr>
        <w:spacing w:before="60" w:after="60" w:line="360" w:lineRule="auto"/>
        <w:ind w:firstLine="480"/>
      </w:pPr>
      <w:r>
        <w:rPr>
          <w:rFonts w:ascii="微软雅黑" w:hAnsi="微软雅黑" w:eastAsia="微软雅黑"/>
          <w:b w:val="0"/>
          <w:sz w:val="24"/>
        </w:rPr>
        <w:t>费茨定律（Fitts’s Law）由心理学家 Paul Fitts 于 1954 年提出，是人机交互领域最重要的运动定律之一。它量化了"指向目标"这一基本交互动作的数学规律，是触控界面设计、按钮尺寸规范、导航布局策略的理论基石。</w:t>
      </w:r>
    </w:p>
    <w:p>
      <w:pPr>
        <w:pStyle w:val="Heading1"/>
        <w:spacing w:before="360" w:after="200" w:line="360" w:lineRule="auto"/>
      </w:pPr>
      <w:r>
        <w:rPr>
          <w:rFonts w:ascii="微软雅黑" w:hAnsi="微软雅黑" w:eastAsia="微软雅黑"/>
          <w:b/>
          <w:color w:val="1F497D"/>
          <w:sz w:val="36"/>
        </w:rPr>
        <w:t>二、费茨定律公式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b w:val="0"/>
          <w:sz w:val="24"/>
        </w:rPr>
        <w:t>费茨定律的核心公式如下：</w:t>
      </w:r>
    </w:p>
    <w:p>
      <w:pPr>
        <w:spacing w:before="240" w:after="240" w:line="360" w:lineRule="auto"/>
        <w:jc w:val="center"/>
      </w:pPr>
      <w:r>
        <w:rPr>
          <w:rFonts w:ascii="Consolas" w:hAnsi="Consolas" w:eastAsia="Consolas"/>
          <w:b/>
          <w:color w:val="C00000"/>
          <w:sz w:val="28"/>
        </w:rPr>
        <w:t>MT = a + b · log₂(2D / W)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b/>
          <w:sz w:val="24"/>
        </w:rPr>
        <w:t>变量解释：</w:t>
      </w:r>
    </w:p>
    <w:p>
      <w:pPr>
        <w:spacing w:before="40" w:after="40" w:line="360" w:lineRule="auto"/>
        <w:ind w:left="600"/>
      </w:pPr>
      <w:r>
        <w:rPr>
          <w:rFonts w:ascii="Consolas" w:hAnsi="Consolas" w:eastAsia="Consolas"/>
          <w:b/>
          <w:color w:val="C00000"/>
          <w:sz w:val="24"/>
        </w:rPr>
        <w:t>MT（Movement Time）：</w:t>
      </w:r>
      <w:r>
        <w:rPr>
          <w:rFonts w:ascii="微软雅黑" w:hAnsi="微软雅黑" w:eastAsia="微软雅黑"/>
          <w:b w:val="0"/>
          <w:sz w:val="24"/>
        </w:rPr>
        <w:t>运动时间，即从起点移动到目标所需的时间。</w:t>
      </w:r>
    </w:p>
    <w:p>
      <w:pPr>
        <w:spacing w:before="40" w:after="40" w:line="360" w:lineRule="auto"/>
        <w:ind w:left="600"/>
      </w:pPr>
      <w:r>
        <w:rPr>
          <w:rFonts w:ascii="Consolas" w:hAnsi="Consolas" w:eastAsia="Consolas"/>
          <w:b/>
          <w:color w:val="C00000"/>
          <w:sz w:val="24"/>
        </w:rPr>
        <w:t>a：</w:t>
      </w:r>
      <w:r>
        <w:rPr>
          <w:rFonts w:ascii="微软雅黑" w:hAnsi="微软雅黑" w:eastAsia="微软雅黑"/>
          <w:b w:val="0"/>
          <w:sz w:val="24"/>
        </w:rPr>
        <w:t>截距常数，与设备和操作方式相关的经验值。</w:t>
      </w:r>
    </w:p>
    <w:p>
      <w:pPr>
        <w:spacing w:before="40" w:after="40" w:line="360" w:lineRule="auto"/>
        <w:ind w:left="600"/>
      </w:pPr>
      <w:r>
        <w:rPr>
          <w:rFonts w:ascii="Consolas" w:hAnsi="Consolas" w:eastAsia="Consolas"/>
          <w:b/>
          <w:color w:val="C00000"/>
          <w:sz w:val="24"/>
        </w:rPr>
        <w:t>b：</w:t>
      </w:r>
      <w:r>
        <w:rPr>
          <w:rFonts w:ascii="微软雅黑" w:hAnsi="微软雅黑" w:eastAsia="微软雅黑"/>
          <w:b w:val="0"/>
          <w:sz w:val="24"/>
        </w:rPr>
        <w:t>斜率常数，同样为经验值。</w:t>
      </w:r>
    </w:p>
    <w:p>
      <w:pPr>
        <w:spacing w:before="40" w:after="40" w:line="360" w:lineRule="auto"/>
        <w:ind w:left="600"/>
      </w:pPr>
      <w:r>
        <w:rPr>
          <w:rFonts w:ascii="Consolas" w:hAnsi="Consolas" w:eastAsia="Consolas"/>
          <w:b/>
          <w:color w:val="C00000"/>
          <w:sz w:val="24"/>
        </w:rPr>
        <w:t>D（Distance）：</w:t>
      </w:r>
      <w:r>
        <w:rPr>
          <w:rFonts w:ascii="微软雅黑" w:hAnsi="微软雅黑" w:eastAsia="微软雅黑"/>
          <w:b w:val="0"/>
          <w:sz w:val="24"/>
        </w:rPr>
        <w:t>起点到目标中心的直线距离。</w:t>
      </w:r>
    </w:p>
    <w:p>
      <w:pPr>
        <w:spacing w:before="40" w:after="40" w:line="360" w:lineRule="auto"/>
        <w:ind w:left="600"/>
      </w:pPr>
      <w:r>
        <w:rPr>
          <w:rFonts w:ascii="Consolas" w:hAnsi="Consolas" w:eastAsia="Consolas"/>
          <w:b/>
          <w:color w:val="C00000"/>
          <w:sz w:val="24"/>
        </w:rPr>
        <w:t>W（Width）：</w:t>
      </w:r>
      <w:r>
        <w:rPr>
          <w:rFonts w:ascii="微软雅黑" w:hAnsi="微软雅黑" w:eastAsia="微软雅黑"/>
          <w:b w:val="0"/>
          <w:sz w:val="24"/>
        </w:rPr>
        <w:t>目标在运动方向上的宽度。</w:t>
      </w:r>
    </w:p>
    <w:p>
      <w:pPr>
        <w:spacing w:before="160" w:after="120" w:line="360" w:lineRule="auto"/>
        <w:ind w:left="240"/>
      </w:pPr>
      <w:r>
        <w:rPr>
          <w:rFonts w:ascii="微软雅黑" w:hAnsi="微软雅黑" w:eastAsia="微软雅黑"/>
          <w:b/>
          <w:color w:val="C00000"/>
          <w:sz w:val="24"/>
        </w:rPr>
        <w:t>核心结论：</w:t>
      </w:r>
      <w:r>
        <w:rPr>
          <w:rFonts w:ascii="微软雅黑" w:hAnsi="微软雅黑" w:eastAsia="微软雅黑"/>
          <w:b w:val="0"/>
          <w:sz w:val="24"/>
        </w:rPr>
        <w:t>距离 D 越大 → MT 越大；目标宽度 W 越小 → MT 越大。即"距离越远、目标越小，操作越慢"。</w:t>
      </w:r>
    </w:p>
    <w:p>
      <w:pPr>
        <w:pStyle w:val="Heading1"/>
        <w:spacing w:before="360" w:after="200" w:line="360" w:lineRule="auto"/>
      </w:pPr>
      <w:r>
        <w:rPr>
          <w:rFonts w:ascii="微软雅黑" w:hAnsi="微软雅黑" w:eastAsia="微软雅黑"/>
          <w:b/>
          <w:color w:val="1F497D"/>
          <w:sz w:val="36"/>
        </w:rPr>
        <w:t>三、UI 设计中的五大应用</w:t>
      </w:r>
    </w:p>
    <w:p>
      <w:pPr>
        <w:pStyle w:val="Heading2"/>
        <w:spacing w:before="360" w:after="200" w:line="360" w:lineRule="auto"/>
      </w:pPr>
      <w:r>
        <w:rPr>
          <w:rFonts w:ascii="微软雅黑" w:hAnsi="微软雅黑" w:eastAsia="微软雅黑"/>
          <w:b/>
          <w:color w:val="2E74B5"/>
          <w:sz w:val="30"/>
        </w:rPr>
        <w:t>3.1 触控热区规范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iOS HIG 规范：</w:t>
      </w:r>
      <w:r>
        <w:rPr>
          <w:rFonts w:ascii="微软雅黑" w:hAnsi="微软雅黑" w:eastAsia="微软雅黑"/>
          <w:b w:val="0"/>
          <w:sz w:val="24"/>
        </w:rPr>
        <w:t>最小触控区域 44×44pt（约 44×44px @1x）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Material Design 规范：</w:t>
      </w:r>
      <w:r>
        <w:rPr>
          <w:rFonts w:ascii="微软雅黑" w:hAnsi="微软雅黑" w:eastAsia="微软雅黑"/>
          <w:b w:val="0"/>
          <w:sz w:val="24"/>
        </w:rPr>
        <w:t>最小触控区域 48×48dp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实际设计建议：</w:t>
      </w:r>
      <w:r>
        <w:rPr>
          <w:rFonts w:ascii="微软雅黑" w:hAnsi="微软雅黑" w:eastAsia="微软雅黑"/>
          <w:b w:val="0"/>
          <w:sz w:val="24"/>
        </w:rPr>
        <w:t>重要操作按钮建议 56×56dp 以上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规范来源：</w:t>
      </w:r>
      <w:r>
        <w:rPr>
          <w:rFonts w:ascii="微软雅黑" w:hAnsi="微软雅黑" w:eastAsia="微软雅黑"/>
          <w:b w:val="0"/>
          <w:sz w:val="24"/>
        </w:rPr>
        <w:t>Apple 和 Google 均基于费茨定律计算出"大多数用户在合理时间内能命中的最小目标尺寸"</w:t>
      </w:r>
    </w:p>
    <w:p>
      <w:pPr>
        <w:pStyle w:val="Heading2"/>
        <w:spacing w:before="360" w:after="200" w:line="360" w:lineRule="auto"/>
      </w:pPr>
      <w:r>
        <w:rPr>
          <w:rFonts w:ascii="微软雅黑" w:hAnsi="微软雅黑" w:eastAsia="微软雅黑"/>
          <w:b/>
          <w:color w:val="2E74B5"/>
          <w:sz w:val="30"/>
        </w:rPr>
        <w:t>3.2 拇指热区理论（Thumb Zone）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自然区（绿色区域）：</w:t>
      </w:r>
      <w:r>
        <w:rPr>
          <w:rFonts w:ascii="微软雅黑" w:hAnsi="微软雅黑" w:eastAsia="微软雅黑"/>
          <w:b w:val="0"/>
          <w:sz w:val="24"/>
        </w:rPr>
        <w:t>屏幕底部 1/3，拇指自然弯曲即可到达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伸展区（黄色区域）：</w:t>
      </w:r>
      <w:r>
        <w:rPr>
          <w:rFonts w:ascii="微软雅黑" w:hAnsi="微软雅黑" w:eastAsia="微软雅黑"/>
          <w:b w:val="0"/>
          <w:sz w:val="24"/>
        </w:rPr>
        <w:t>屏幕中间 1/3，拇指需要伸展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困难区（红色区域）：</w:t>
      </w:r>
      <w:r>
        <w:rPr>
          <w:rFonts w:ascii="微软雅黑" w:hAnsi="微软雅黑" w:eastAsia="微软雅黑"/>
          <w:b w:val="0"/>
          <w:sz w:val="24"/>
        </w:rPr>
        <w:t>屏幕顶部 1/3，需要调整握姿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设计策略：</w:t>
      </w:r>
      <w:r>
        <w:rPr>
          <w:rFonts w:ascii="微软雅黑" w:hAnsi="微软雅黑" w:eastAsia="微软雅黑"/>
          <w:b w:val="0"/>
          <w:sz w:val="24"/>
        </w:rPr>
        <w:t>高频操作（Tab 栏、主按钮）放在自然区；低频操作可放在伸展区；避免在困难区放置关键操作</w:t>
      </w:r>
    </w:p>
    <w:p>
      <w:pPr>
        <w:pStyle w:val="Heading2"/>
        <w:spacing w:before="360" w:after="200" w:line="360" w:lineRule="auto"/>
      </w:pPr>
      <w:r>
        <w:rPr>
          <w:rFonts w:ascii="微软雅黑" w:hAnsi="微软雅黑" w:eastAsia="微软雅黑"/>
          <w:b/>
          <w:color w:val="2E74B5"/>
          <w:sz w:val="30"/>
        </w:rPr>
        <w:t>3.3 主次操作按钮差异化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主操作按钮：</w:t>
      </w:r>
      <w:r>
        <w:rPr>
          <w:rFonts w:ascii="微软雅黑" w:hAnsi="微软雅黑" w:eastAsia="微软雅黑"/>
          <w:b w:val="0"/>
          <w:sz w:val="24"/>
        </w:rPr>
        <w:t>更大尺寸（通栏或 56pt 高）、品牌色填充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次操作按钮：</w:t>
      </w:r>
      <w:r>
        <w:rPr>
          <w:rFonts w:ascii="微软雅黑" w:hAnsi="微软雅黑" w:eastAsia="微软雅黑"/>
          <w:b w:val="0"/>
          <w:sz w:val="24"/>
        </w:rPr>
        <w:t>标准尺寸（44pt）、描边或灰色填充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原理：</w:t>
      </w:r>
      <w:r>
        <w:rPr>
          <w:rFonts w:ascii="微软雅黑" w:hAnsi="微软雅黑" w:eastAsia="微软雅黑"/>
          <w:b w:val="0"/>
          <w:sz w:val="24"/>
        </w:rPr>
        <w:t>通过增大 W（目标宽度）缩短 MT，让用户更快完成主要操作</w:t>
      </w:r>
    </w:p>
    <w:p>
      <w:pPr>
        <w:pStyle w:val="Heading2"/>
        <w:spacing w:before="360" w:after="200" w:line="360" w:lineRule="auto"/>
      </w:pPr>
      <w:r>
        <w:rPr>
          <w:rFonts w:ascii="微软雅黑" w:hAnsi="微软雅黑" w:eastAsia="微软雅黑"/>
          <w:b/>
          <w:color w:val="2E74B5"/>
          <w:sz w:val="30"/>
        </w:rPr>
        <w:t>3.4 边缘效应（Edge Effect）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 w:val="0"/>
          <w:sz w:val="24"/>
        </w:rPr>
        <w:t>屏幕边缘的目标等效于"无限大"（W→∞），因为光标/手指无法超出屏幕边界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 w:val="0"/>
          <w:sz w:val="24"/>
        </w:rPr>
        <w:t>MT 趋近最小值，用户只需朝边缘方向移动即可命中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经典应用：</w:t>
      </w:r>
      <w:r>
        <w:rPr>
          <w:rFonts w:ascii="微软雅黑" w:hAnsi="微软雅黑" w:eastAsia="微软雅黑"/>
          <w:b w:val="0"/>
          <w:sz w:val="24"/>
        </w:rPr>
        <w:t>macOS Dock 栏（底部边缘）、Windows 任务栏（底部边缘）、iOS 控制中心（顶部边缘下拉）</w:t>
      </w:r>
    </w:p>
    <w:p>
      <w:pPr>
        <w:pStyle w:val="Heading2"/>
        <w:spacing w:before="360" w:after="200" w:line="360" w:lineRule="auto"/>
      </w:pPr>
      <w:r>
        <w:rPr>
          <w:rFonts w:ascii="微软雅黑" w:hAnsi="微软雅黑" w:eastAsia="微软雅黑"/>
          <w:b/>
          <w:color w:val="2E74B5"/>
          <w:sz w:val="30"/>
        </w:rPr>
        <w:t>3.5 按钮间距防误触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 w:val="0"/>
          <w:sz w:val="24"/>
        </w:rPr>
        <w:t>相邻按钮之间需要足够间距（建议 ≥8px）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 w:val="0"/>
          <w:sz w:val="24"/>
        </w:rPr>
        <w:t>间距不足时，用户快速操作可能误触相邻目标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费茨定律解释：</w:t>
      </w:r>
      <w:r>
        <w:rPr>
          <w:rFonts w:ascii="微软雅黑" w:hAnsi="微软雅黑" w:eastAsia="微软雅黑"/>
          <w:b w:val="0"/>
          <w:sz w:val="24"/>
        </w:rPr>
        <w:t>间距太小 → 有效目标宽度 W 被"侵蚀" → MT 增加且误触概率上升</w:t>
      </w:r>
    </w:p>
    <w:p>
      <w:pPr>
        <w:pStyle w:val="Heading1"/>
        <w:spacing w:before="360" w:after="200" w:line="360" w:lineRule="auto"/>
      </w:pPr>
      <w:r>
        <w:rPr>
          <w:rFonts w:ascii="微软雅黑" w:hAnsi="微软雅黑" w:eastAsia="微软雅黑"/>
          <w:b/>
          <w:color w:val="1F497D"/>
          <w:sz w:val="36"/>
        </w:rPr>
        <w:t>四、正反面案例分析</w:t>
      </w:r>
    </w:p>
    <w:p>
      <w:pPr>
        <w:spacing w:before="60" w:after="60" w:line="360" w:lineRule="auto"/>
        <w:ind w:left="600" w:hanging="360"/>
      </w:pPr>
      <w:r>
        <w:rPr>
          <w:rFonts w:ascii="微软雅黑" w:hAnsi="微软雅黑" w:eastAsia="微软雅黑"/>
          <w:b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反面案例：</w:t>
      </w:r>
      <w:r>
        <w:rPr>
          <w:rFonts w:ascii="微软雅黑" w:hAnsi="微软雅黑" w:eastAsia="微软雅黑"/>
          <w:b w:val="0"/>
          <w:sz w:val="24"/>
        </w:rPr>
        <w:t>弹窗关闭按钮仅 20×20px 且紧邻其他按钮 → 误触率高</w:t>
      </w:r>
    </w:p>
    <w:p>
      <w:pPr>
        <w:spacing w:before="60" w:after="60" w:line="360" w:lineRule="auto"/>
        <w:ind w:left="600" w:hanging="360"/>
      </w:pPr>
      <w:r>
        <w:rPr>
          <w:rFonts w:ascii="微软雅黑" w:hAnsi="微软雅黑" w:eastAsia="微软雅黑"/>
          <w:b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正面案例：</w:t>
      </w:r>
      <w:r>
        <w:rPr>
          <w:rFonts w:ascii="微软雅黑" w:hAnsi="微软雅黑" w:eastAsia="微软雅黑"/>
          <w:b w:val="0"/>
          <w:sz w:val="24"/>
        </w:rPr>
        <w:t>关闭按钮 44×44px 且与相邻按钮间距 16px → 精准操作</w:t>
      </w:r>
    </w:p>
    <w:p>
      <w:pPr>
        <w:spacing w:before="60" w:after="60" w:line="360" w:lineRule="auto"/>
        <w:ind w:left="600" w:hanging="360"/>
      </w:pPr>
      <w:r>
        <w:rPr>
          <w:rFonts w:ascii="微软雅黑" w:hAnsi="微软雅黑" w:eastAsia="微软雅黑"/>
          <w:b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反面案例：</w:t>
      </w:r>
      <w:r>
        <w:rPr>
          <w:rFonts w:ascii="微软雅黑" w:hAnsi="微软雅黑" w:eastAsia="微软雅黑"/>
          <w:b w:val="0"/>
          <w:sz w:val="24"/>
        </w:rPr>
        <w:t>导航项放在屏幕顶部且尺寸过小 → 单手操作困难</w:t>
      </w:r>
    </w:p>
    <w:p>
      <w:pPr>
        <w:spacing w:before="60" w:after="60" w:line="360" w:lineRule="auto"/>
        <w:ind w:left="600" w:hanging="360"/>
      </w:pPr>
      <w:r>
        <w:rPr>
          <w:rFonts w:ascii="微软雅黑" w:hAnsi="微软雅黑" w:eastAsia="微软雅黑"/>
          <w:b/>
          <w:sz w:val="24"/>
        </w:rPr>
        <w:t xml:space="preserve">4. </w:t>
      </w:r>
      <w:r>
        <w:rPr>
          <w:rFonts w:ascii="微软雅黑" w:hAnsi="微软雅黑" w:eastAsia="微软雅黑"/>
          <w:b/>
          <w:sz w:val="24"/>
        </w:rPr>
        <w:t>正面案例：</w:t>
      </w:r>
      <w:r>
        <w:rPr>
          <w:rFonts w:ascii="微软雅黑" w:hAnsi="微软雅黑" w:eastAsia="微软雅黑"/>
          <w:b w:val="0"/>
          <w:sz w:val="24"/>
        </w:rPr>
        <w:t>底部 Tab 栏 + 48×48dp 触控区 → 单手轻松操作</w:t>
      </w:r>
    </w:p>
    <w:p>
      <w:pPr>
        <w:pStyle w:val="Heading1"/>
        <w:spacing w:before="360" w:after="200" w:line="360" w:lineRule="auto"/>
      </w:pPr>
      <w:r>
        <w:rPr>
          <w:rFonts w:ascii="微软雅黑" w:hAnsi="微软雅黑" w:eastAsia="微软雅黑"/>
          <w:b/>
          <w:color w:val="1F497D"/>
          <w:sz w:val="36"/>
        </w:rPr>
        <w:t>五、设计自查清单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2E74B5" w:val="clear"/>
          </w:tcPr>
          <w:p>
            <w:pPr>
              <w:spacing w:before="80" w:after="8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检查项</w:t>
            </w:r>
          </w:p>
        </w:tc>
        <w:tc>
          <w:tcPr>
            <w:tcW w:type="dxa" w:w="3685"/>
            <w:shd w:fill="2E74B5" w:val="clear"/>
          </w:tcPr>
          <w:p>
            <w:pPr>
              <w:spacing w:before="80" w:after="8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规范要求</w:t>
            </w:r>
          </w:p>
        </w:tc>
        <w:tc>
          <w:tcPr>
            <w:tcW w:type="dxa" w:w="3402"/>
            <w:shd w:fill="2E74B5" w:val="clear"/>
          </w:tcPr>
          <w:p>
            <w:pPr>
              <w:spacing w:before="80" w:after="8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自查方法</w:t>
            </w:r>
          </w:p>
        </w:tc>
      </w:tr>
      <w:tr>
        <w:tc>
          <w:tcPr>
            <w:tcW w:type="dxa" w:w="1984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触控区域</w:t>
            </w:r>
          </w:p>
        </w:tc>
        <w:tc>
          <w:tcPr>
            <w:tcW w:type="dxa" w:w="3685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≥44×44pt（iOS）/ ≥48×48dp（Android）</w:t>
            </w:r>
          </w:p>
        </w:tc>
        <w:tc>
          <w:tcPr>
            <w:tcW w:type="dxa" w:w="3402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在 Figma 中测量元素实际可点击区域</w:t>
            </w:r>
          </w:p>
        </w:tc>
      </w:tr>
      <w:tr>
        <w:tc>
          <w:tcPr>
            <w:tcW w:type="dxa" w:w="1984"/>
            <w:shd w:fill="DCE6F1" w:val="clear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主操作位置</w:t>
            </w:r>
          </w:p>
        </w:tc>
        <w:tc>
          <w:tcPr>
            <w:tcW w:type="dxa" w:w="3685"/>
            <w:shd w:fill="DCE6F1" w:val="clear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位于屏幕底部 1/3（拇指自然区）</w:t>
            </w:r>
          </w:p>
        </w:tc>
        <w:tc>
          <w:tcPr>
            <w:tcW w:type="dxa" w:w="3402"/>
            <w:shd w:fill="DCE6F1" w:val="clear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检查主要 CTA 按钮的 Y 坐标</w:t>
            </w:r>
          </w:p>
        </w:tc>
      </w:tr>
      <w:tr>
        <w:tc>
          <w:tcPr>
            <w:tcW w:type="dxa" w:w="1984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主次按钮区分</w:t>
            </w:r>
          </w:p>
        </w:tc>
        <w:tc>
          <w:tcPr>
            <w:tcW w:type="dxa" w:w="3685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主按钮尺寸 &gt; 次按钮</w:t>
            </w:r>
          </w:p>
        </w:tc>
        <w:tc>
          <w:tcPr>
            <w:tcW w:type="dxa" w:w="3402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对比两种按钮的宽高</w:t>
            </w:r>
          </w:p>
        </w:tc>
      </w:tr>
      <w:tr>
        <w:tc>
          <w:tcPr>
            <w:tcW w:type="dxa" w:w="1984"/>
            <w:shd w:fill="DCE6F1" w:val="clear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按钮间距</w:t>
            </w:r>
          </w:p>
        </w:tc>
        <w:tc>
          <w:tcPr>
            <w:tcW w:type="dxa" w:w="3685"/>
            <w:shd w:fill="DCE6F1" w:val="clear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相邻按钮间距 ≥8px</w:t>
            </w:r>
          </w:p>
        </w:tc>
        <w:tc>
          <w:tcPr>
            <w:tcW w:type="dxa" w:w="3402"/>
            <w:shd w:fill="DCE6F1" w:val="clear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测量按钮间空白距离</w:t>
            </w:r>
          </w:p>
        </w:tc>
      </w:tr>
      <w:tr>
        <w:tc>
          <w:tcPr>
            <w:tcW w:type="dxa" w:w="1984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边缘利用</w:t>
            </w:r>
          </w:p>
        </w:tc>
        <w:tc>
          <w:tcPr>
            <w:tcW w:type="dxa" w:w="3685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高频功能靠近屏幕边缘</w:t>
            </w:r>
          </w:p>
        </w:tc>
        <w:tc>
          <w:tcPr>
            <w:tcW w:type="dxa" w:w="3402"/>
          </w:tcPr>
          <w:p>
            <w:pPr>
              <w:spacing w:before="80" w:after="80" w:line="312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检查导航栏/工具栏位置</w:t>
            </w:r>
          </w:p>
        </w:tc>
      </w:tr>
    </w:tbl>
    <w:p/>
    <w:p>
      <w:pPr>
        <w:pStyle w:val="Heading1"/>
        <w:spacing w:before="360" w:after="200" w:line="360" w:lineRule="auto"/>
      </w:pPr>
      <w:r>
        <w:rPr>
          <w:rFonts w:ascii="微软雅黑" w:hAnsi="微软雅黑" w:eastAsia="微软雅黑"/>
          <w:b/>
          <w:color w:val="1F497D"/>
          <w:sz w:val="36"/>
        </w:rPr>
        <w:t>六、知识延伸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费茨定律的逆向应用：</w:t>
      </w:r>
      <w:r>
        <w:rPr>
          <w:rFonts w:ascii="微软雅黑" w:hAnsi="微软雅黑" w:eastAsia="微软雅黑"/>
          <w:b w:val="0"/>
          <w:sz w:val="24"/>
        </w:rPr>
        <w:t>拖拽操作中"远离目标"的难度也遵循费茨定律（Steering Law 转向定律是其扩展）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与席克定律的关联：</w:t>
      </w:r>
      <w:r>
        <w:rPr>
          <w:rFonts w:ascii="微软雅黑" w:hAnsi="微软雅黑" w:eastAsia="微软雅黑"/>
          <w:b w:val="0"/>
          <w:sz w:val="24"/>
        </w:rPr>
        <w:t>席克定律决定"选择时间"（有多少选项），费茨定律决定"执行时间"（指向目标），两者相加才是完整交互时间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b/>
          <w:sz w:val="24"/>
        </w:rPr>
        <w:t>三维交互中的费茨定律扩展：</w:t>
      </w:r>
      <w:r>
        <w:rPr>
          <w:rFonts w:ascii="微软雅黑" w:hAnsi="微软雅黑" w:eastAsia="微软雅黑"/>
          <w:b w:val="0"/>
          <w:sz w:val="24"/>
        </w:rPr>
        <w:t>VR/AR 中的指向操作仍遵循费茨定律，但需要考虑深度维度</w:t>
      </w:r>
    </w:p>
    <w:sectPr w:rsidR="00FC693F" w:rsidRPr="0006063C" w:rsidSect="00034616">
      <w:headerReference w:type="default" r:id="rId1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