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2026-09-08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60.0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عمود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العمود الأقوى «جاذبية السوق» (‏89%‏) يدعم مضيّاً كاملاً، ومن جهةٍ العمود الأضعف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2026-09-08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2026-09-08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2026-09-08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18.0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20.0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2026-09-08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2026-09-08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2026-09-08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للكيلوغرام (التكلفة/كجم)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2026-09-08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2026-09-08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للكيلوغرام (التكلفة/كجم)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2026-09-08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متاح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متاح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للكيلوغرام (التكلفة/كجم) للحصول على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