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B6F"/>
          <w:sz w:val="56"/>
        </w:rPr>
        <w:t>Silk</w:t>
      </w:r>
    </w:p>
    <w:p>
      <w:pPr>
        <w:pStyle w:val="Title"/>
      </w:pPr>
      <w:r>
        <w:t>Export Market Study: تمور</w:t>
      </w:r>
    </w:p>
    <w:p>
      <w:pPr>
        <w:pStyle w:val="IntenseQuote"/>
      </w:pPr>
      <w:r>
        <w:t>Prepared by Silk Market Intelligence</w:t>
      </w:r>
    </w:p>
    <w:p>
      <w:r>
        <w:t>⚠ Demonstration sample with labelled data — not a production report</w:t>
      </w:r>
    </w:p>
    <w:p>
      <w:r>
        <w:rPr>
          <w:b/>
          <w:color w:val="000000"/>
          <w:sz w:val="32"/>
          <w:highlight w:val="darkCyan"/>
        </w:rPr>
        <w:t xml:space="preserve">  Conditional entry  </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b/>
                <w:color w:val="FFFFFF"/>
              </w:rPr>
              <w:t>Item</w:t>
            </w:r>
          </w:p>
        </w:tc>
        <w:tc>
          <w:tcPr>
            <w:tcW w:type="dxa" w:w="4680"/>
            <w:shd w:val="clear" w:fill="166534"/>
            <w:tcMar>
              <w:top w:w="100" w:type="dxa"/>
              <w:bottom w:w="100" w:type="dxa"/>
              <w:left w:w="120" w:type="dxa"/>
              <w:right w:w="120" w:type="dxa"/>
            </w:tcMar>
          </w:tcPr>
          <w:p>
            <w:pPr>
              <w:bidi/>
              <w:jc w:val="start"/>
            </w:pPr>
            <w:r>
              <w:rPr>
                <w:b/>
                <w:color w:val="FFFFFF"/>
              </w:rPr>
              <w:t>Value</w:t>
            </w:r>
          </w:p>
        </w:tc>
      </w:tr>
      <w:tr>
        <w:trPr>
          <w:cantSplit/>
        </w:trPr>
        <w:tc>
          <w:tcPr>
            <w:tcW w:type="dxa" w:w="4680"/>
            <w:tcMar>
              <w:top w:w="100" w:type="dxa"/>
              <w:bottom w:w="100" w:type="dxa"/>
              <w:left w:w="120" w:type="dxa"/>
              <w:right w:w="120" w:type="dxa"/>
            </w:tcMar>
          </w:tcPr>
          <w:p>
            <w:pPr>
              <w:bidi/>
              <w:jc w:val="start"/>
            </w:pPr>
            <w:r>
              <w:t>Product</w:t>
            </w:r>
          </w:p>
        </w:tc>
        <w:tc>
          <w:tcPr>
            <w:tcW w:type="dxa" w:w="4680"/>
            <w:tcMar>
              <w:top w:w="100" w:type="dxa"/>
              <w:bottom w:w="100" w:type="dxa"/>
              <w:left w:w="120" w:type="dxa"/>
              <w:right w:w="120" w:type="dxa"/>
            </w:tcMar>
          </w:tcPr>
          <w:p>
            <w:pPr>
              <w:bidi/>
              <w:jc w:val="start"/>
            </w:pPr>
            <w:r>
              <w:t>تمور</w:t>
            </w:r>
          </w:p>
        </w:tc>
      </w:tr>
      <w:tr>
        <w:trPr>
          <w:cantSplit/>
        </w:trPr>
        <w:tc>
          <w:tcPr>
            <w:tcW w:type="dxa" w:w="4680"/>
            <w:tcMar>
              <w:top w:w="100" w:type="dxa"/>
              <w:bottom w:w="100" w:type="dxa"/>
              <w:left w:w="120" w:type="dxa"/>
              <w:right w:w="120" w:type="dxa"/>
            </w:tcMar>
            <w:shd w:val="clear" w:fill="F2F7F3"/>
          </w:tcPr>
          <w:p>
            <w:pPr>
              <w:bidi/>
              <w:jc w:val="start"/>
            </w:pPr>
            <w:r>
              <w:t>HS code</w:t>
            </w:r>
          </w:p>
        </w:tc>
        <w:tc>
          <w:tcPr>
            <w:tcW w:type="dxa" w:w="4680"/>
            <w:tcMar>
              <w:top w:w="100" w:type="dxa"/>
              <w:bottom w:w="100" w:type="dxa"/>
              <w:left w:w="120" w:type="dxa"/>
              <w:right w:w="120" w:type="dxa"/>
            </w:tcMar>
            <w:shd w:val="clear" w:fill="F2F7F3"/>
          </w:tcPr>
          <w:p>
            <w:pPr>
              <w:bidi/>
              <w:jc w:val="start"/>
            </w:pPr>
            <w:r>
              <w:t>080410</w:t>
            </w:r>
          </w:p>
        </w:tc>
      </w:tr>
      <w:tr>
        <w:trPr>
          <w:cantSplit/>
        </w:trPr>
        <w:tc>
          <w:tcPr>
            <w:tcW w:type="dxa" w:w="4680"/>
            <w:tcMar>
              <w:top w:w="100" w:type="dxa"/>
              <w:bottom w:w="100" w:type="dxa"/>
              <w:left w:w="120" w:type="dxa"/>
              <w:right w:w="120" w:type="dxa"/>
            </w:tcMar>
          </w:tcPr>
          <w:p>
            <w:pPr>
              <w:bidi/>
              <w:jc w:val="start"/>
            </w:pPr>
            <w:r>
              <w:t>Country of origin</w:t>
            </w:r>
          </w:p>
        </w:tc>
        <w:tc>
          <w:tcPr>
            <w:tcW w:type="dxa" w:w="4680"/>
            <w:tcMar>
              <w:top w:w="100" w:type="dxa"/>
              <w:bottom w:w="100" w:type="dxa"/>
              <w:left w:w="120" w:type="dxa"/>
              <w:right w:w="120" w:type="dxa"/>
            </w:tcMar>
          </w:tcPr>
          <w:p>
            <w:pPr>
              <w:bidi/>
              <w:jc w:val="start"/>
            </w:pPr>
            <w:r>
              <w:t>Saudi Arabia</w:t>
            </w:r>
          </w:p>
        </w:tc>
      </w:tr>
      <w:tr>
        <w:trPr>
          <w:cantSplit/>
        </w:trPr>
        <w:tc>
          <w:tcPr>
            <w:tcW w:type="dxa" w:w="4680"/>
            <w:tcMar>
              <w:top w:w="100" w:type="dxa"/>
              <w:bottom w:w="100" w:type="dxa"/>
              <w:left w:w="120" w:type="dxa"/>
              <w:right w:w="120" w:type="dxa"/>
            </w:tcMar>
            <w:shd w:val="clear" w:fill="F2F7F3"/>
          </w:tcPr>
          <w:p>
            <w:pPr>
              <w:bidi/>
              <w:jc w:val="start"/>
            </w:pPr>
            <w:r>
              <w:t>Target market</w:t>
            </w:r>
          </w:p>
        </w:tc>
        <w:tc>
          <w:tcPr>
            <w:tcW w:type="dxa" w:w="4680"/>
            <w:tcMar>
              <w:top w:w="100" w:type="dxa"/>
              <w:bottom w:w="100" w:type="dxa"/>
              <w:left w:w="120" w:type="dxa"/>
              <w:right w:w="120" w:type="dxa"/>
            </w:tcMar>
            <w:shd w:val="clear" w:fill="F2F7F3"/>
          </w:tcPr>
          <w:p>
            <w:pPr>
              <w:bidi/>
              <w:jc w:val="start"/>
            </w:pPr>
            <w:r>
              <w:t>NLD</w:t>
            </w:r>
          </w:p>
        </w:tc>
      </w:tr>
      <w:tr>
        <w:trPr>
          <w:cantSplit/>
        </w:trPr>
        <w:tc>
          <w:tcPr>
            <w:tcW w:type="dxa" w:w="4680"/>
            <w:tcMar>
              <w:top w:w="100" w:type="dxa"/>
              <w:bottom w:w="100" w:type="dxa"/>
              <w:left w:w="120" w:type="dxa"/>
              <w:right w:w="120" w:type="dxa"/>
            </w:tcMar>
          </w:tcPr>
          <w:p>
            <w:pPr>
              <w:bidi/>
              <w:jc w:val="start"/>
            </w:pPr>
            <w:r>
              <w:t>Report date</w:t>
            </w:r>
          </w:p>
        </w:tc>
        <w:tc>
          <w:tcPr>
            <w:tcW w:type="dxa" w:w="4680"/>
            <w:tcMar>
              <w:top w:w="100" w:type="dxa"/>
              <w:bottom w:w="100" w:type="dxa"/>
              <w:left w:w="120" w:type="dxa"/>
              <w:right w:w="120" w:type="dxa"/>
            </w:tcMar>
          </w:tcPr>
          <w:p>
            <w:pPr>
              <w:bidi/>
              <w:jc w:val="start"/>
            </w:pPr>
            <w:r>
              <w:t>2026-10-15</w:t>
            </w:r>
          </w:p>
        </w:tc>
      </w:tr>
    </w:tbl>
    <w:p>
      <w:pPr>
        <w:pStyle w:val="Heading1"/>
      </w:pPr>
      <w:r>
        <w:t>Executive summary</w:t>
      </w:r>
    </w:p>
    <w:p>
      <w:r>
        <w:t>The recommendation is conditional entry, on three grounds. First, the Muslim</w:t>
      </w:r>
    </w:p>
    <w:p>
      <w:r>
        <w:t>community in the Netherlands numbers around 1.0 million people inside a market</w:t>
      </w:r>
    </w:p>
    <w:p>
      <w:r>
        <w:t>that imports USD 38 million of dates a year. Second, the supplier row is only</w:t>
      </w:r>
    </w:p>
    <w:p>
      <w:r>
        <w:t>moderately concentrated (market concentration index approximately 2100), so no</w:t>
      </w:r>
    </w:p>
    <w:p>
      <w:r>
        <w:t>single player dominates it and a new supplier competing on price has a real</w:t>
      </w:r>
    </w:p>
    <w:p>
      <w:r>
        <w:t>opening. Third, imports of the product are growing at 7% compound over three</w:t>
      </w:r>
    </w:p>
    <w:p>
      <w:r>
        <w:t>years. This recommendation becomes full entry once the EU 2017/625 listed</w:t>
      </w:r>
    </w:p>
    <w:p>
      <w:r>
        <w:t>establishment certificate is confirmed within 90 days and at least one</w:t>
      </w:r>
    </w:p>
    <w:p>
      <w:r>
        <w:t>distributor from the first entry door proposed below is signed.</w:t>
      </w:r>
    </w:p>
    <w:p>
      <w:r>
        <w:t>What this means for your decision: start preparing the eligibility file</w:t>
      </w:r>
    </w:p>
    <w:p>
      <w:r>
        <w:t>first — the moderate supplier concentration and the price gap are sufficient,</w:t>
      </w:r>
    </w:p>
    <w:p>
      <w:r>
        <w:t>and the main exposure is administrative rather than demand-side.</w:t>
      </w:r>
    </w:p>
    <w:p>
      <w:pPr>
        <w:pStyle w:val="Heading1"/>
      </w:pPr>
      <w:r>
        <w:t>The decision and its basis</w:t>
      </w:r>
    </w:p>
    <w:p>
      <w:r>
        <w:t>Recommendation: Conditional entry</w:t>
      </w:r>
    </w:p>
    <w:p>
      <w:r>
        <w:t>This study issues its assessment with medium (60%) confidence, based on the evidence it gathered — the detailed basis follows in this and the subsequent sections.</w:t>
      </w:r>
    </w:p>
    <w:p>
      <w:pPr>
        <w:pStyle w:val="Heading2"/>
      </w:pPr>
      <w:r>
        <w:t>What this decision rests on</w:t>
      </w:r>
    </w:p>
    <w:p>
      <w:r>
        <w:t>The decision rule, stated before the numbers were weighed: we recommend proceeding when the opportunity strength reaches 65 out of 100 or more with a confidence of 60% or more and no open conditions; we decline when it falls below 45 or when market safety breaks down; anything in between is a conditional entry, with the conditions named below.</w:t>
      </w:r>
    </w:p>
    <w:p>
      <w:r>
        <w:t>We rate this opportunity 64 out of 100, and our confidence in that rating is about 60%.</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b/>
                <w:color w:val="FFFFFF"/>
              </w:rPr>
              <w:t>Aspect</w:t>
            </w:r>
          </w:p>
        </w:tc>
        <w:tc>
          <w:tcPr>
            <w:tcW w:type="dxa" w:w="3120"/>
            <w:shd w:val="clear" w:fill="166534"/>
            <w:tcMar>
              <w:top w:w="100" w:type="dxa"/>
              <w:bottom w:w="100" w:type="dxa"/>
              <w:left w:w="120" w:type="dxa"/>
              <w:right w:w="120" w:type="dxa"/>
            </w:tcMar>
          </w:tcPr>
          <w:p>
            <w:pPr>
              <w:bidi/>
              <w:jc w:val="start"/>
            </w:pPr>
            <w:r>
              <w:rPr>
                <w:b/>
                <w:color w:val="FFFFFF"/>
              </w:rPr>
              <w:t>Strength</w:t>
            </w:r>
          </w:p>
        </w:tc>
        <w:tc>
          <w:tcPr>
            <w:tcW w:type="dxa" w:w="3120"/>
            <w:shd w:val="clear" w:fill="166534"/>
            <w:tcMar>
              <w:top w:w="100" w:type="dxa"/>
              <w:bottom w:w="100" w:type="dxa"/>
              <w:left w:w="120" w:type="dxa"/>
              <w:right w:w="120" w:type="dxa"/>
            </w:tcMar>
          </w:tcPr>
          <w:p>
            <w:pPr>
              <w:bidi/>
              <w:jc w:val="start"/>
            </w:pPr>
            <w:r>
              <w:rPr>
                <w:b/>
                <w:color w:val="FFFFFF"/>
              </w:rPr>
              <w:t>What it means</w:t>
            </w:r>
          </w:p>
        </w:tc>
      </w:tr>
      <w:tr>
        <w:trPr>
          <w:cantSplit/>
        </w:trPr>
        <w:tc>
          <w:tcPr>
            <w:tcW w:type="dxa" w:w="3120"/>
            <w:tcMar>
              <w:top w:w="100" w:type="dxa"/>
              <w:bottom w:w="100" w:type="dxa"/>
              <w:left w:w="120" w:type="dxa"/>
              <w:right w:w="120" w:type="dxa"/>
            </w:tcMar>
          </w:tcPr>
          <w:p>
            <w:pPr>
              <w:bidi/>
              <w:jc w:val="start"/>
            </w:pPr>
            <w:r>
              <w:t>Market attractiveness</w:t>
            </w:r>
          </w:p>
        </w:tc>
        <w:tc>
          <w:tcPr>
            <w:tcW w:type="dxa" w:w="3120"/>
            <w:tcMar>
              <w:top w:w="100" w:type="dxa"/>
              <w:bottom w:w="100" w:type="dxa"/>
              <w:left w:w="120" w:type="dxa"/>
              <w:right w:w="120" w:type="dxa"/>
            </w:tcMar>
          </w:tcPr>
          <w:p>
            <w:pPr>
              <w:bidi/>
              <w:jc w:val="start"/>
            </w:pPr>
            <w:r>
              <w:t>84%</w:t>
            </w:r>
          </w:p>
        </w:tc>
        <w:tc>
          <w:tcPr>
            <w:tcW w:type="dxa" w:w="3120"/>
            <w:tcMar>
              <w:top w:w="100" w:type="dxa"/>
              <w:bottom w:w="100" w:type="dxa"/>
              <w:left w:w="120" w:type="dxa"/>
              <w:right w:w="120" w:type="dxa"/>
            </w:tcMar>
          </w:tcPr>
          <w:p>
            <w:pPr>
              <w:bidi/>
              <w:jc w:val="start"/>
            </w:pPr>
            <w:r>
              <w:t>Observed from direct sources.</w:t>
            </w:r>
          </w:p>
        </w:tc>
      </w:tr>
      <w:tr>
        <w:trPr>
          <w:cantSplit/>
        </w:trPr>
        <w:tc>
          <w:tcPr>
            <w:tcW w:type="dxa" w:w="3120"/>
            <w:tcMar>
              <w:top w:w="100" w:type="dxa"/>
              <w:bottom w:w="100" w:type="dxa"/>
              <w:left w:w="120" w:type="dxa"/>
              <w:right w:w="120" w:type="dxa"/>
            </w:tcMar>
            <w:shd w:val="clear" w:fill="F2F7F3"/>
          </w:tcPr>
          <w:p>
            <w:pPr>
              <w:bidi/>
              <w:jc w:val="start"/>
            </w:pPr>
            <w:r>
              <w:t>Competitive intensity</w:t>
            </w:r>
          </w:p>
        </w:tc>
        <w:tc>
          <w:tcPr>
            <w:tcW w:type="dxa" w:w="3120"/>
            <w:tcMar>
              <w:top w:w="100" w:type="dxa"/>
              <w:bottom w:w="100" w:type="dxa"/>
              <w:left w:w="120" w:type="dxa"/>
              <w:right w:w="120" w:type="dxa"/>
            </w:tcMar>
            <w:shd w:val="clear" w:fill="F2F7F3"/>
          </w:tcPr>
          <w:p>
            <w:pPr>
              <w:bidi/>
              <w:jc w:val="start"/>
            </w:pPr>
            <w:r>
              <w:t>58%</w:t>
            </w:r>
          </w:p>
        </w:tc>
        <w:tc>
          <w:tcPr>
            <w:tcW w:type="dxa" w:w="3120"/>
            <w:tcMar>
              <w:top w:w="100" w:type="dxa"/>
              <w:bottom w:w="100" w:type="dxa"/>
              <w:left w:w="120" w:type="dxa"/>
              <w:right w:w="120" w:type="dxa"/>
            </w:tcMar>
            <w:shd w:val="clear" w:fill="F2F7F3"/>
          </w:tcPr>
          <w:p>
            <w:pPr>
              <w:bidi/>
              <w:jc w:val="start"/>
            </w:pPr>
            <w:r>
              <w:t>Observed from direct sources.</w:t>
            </w:r>
          </w:p>
        </w:tc>
      </w:tr>
      <w:tr>
        <w:trPr>
          <w:cantSplit/>
        </w:trPr>
        <w:tc>
          <w:tcPr>
            <w:tcW w:type="dxa" w:w="3120"/>
            <w:tcMar>
              <w:top w:w="100" w:type="dxa"/>
              <w:bottom w:w="100" w:type="dxa"/>
              <w:left w:w="120" w:type="dxa"/>
              <w:right w:w="120" w:type="dxa"/>
            </w:tcMar>
          </w:tcPr>
          <w:p>
            <w:pPr>
              <w:bidi/>
              <w:jc w:val="start"/>
            </w:pPr>
            <w:r>
              <w:t>Regulatory fit</w:t>
            </w:r>
          </w:p>
        </w:tc>
        <w:tc>
          <w:tcPr>
            <w:tcW w:type="dxa" w:w="3120"/>
            <w:tcMar>
              <w:top w:w="100" w:type="dxa"/>
              <w:bottom w:w="100" w:type="dxa"/>
              <w:left w:w="120" w:type="dxa"/>
              <w:right w:w="120" w:type="dxa"/>
            </w:tcMar>
          </w:tcPr>
          <w:p>
            <w:pPr>
              <w:bidi/>
              <w:jc w:val="start"/>
            </w:pPr>
            <w:r>
              <w:t>38%</w:t>
            </w:r>
          </w:p>
        </w:tc>
        <w:tc>
          <w:tcPr>
            <w:tcW w:type="dxa" w:w="3120"/>
            <w:tcMar>
              <w:top w:w="100" w:type="dxa"/>
              <w:bottom w:w="100" w:type="dxa"/>
              <w:left w:w="120" w:type="dxa"/>
              <w:right w:w="120" w:type="dxa"/>
            </w:tcMar>
          </w:tcPr>
          <w:p>
            <w:pPr>
              <w:bidi/>
              <w:jc w:val="start"/>
            </w:pPr>
            <w:r>
              <w:t>Measures low tariffs and how clearly the rules are published — it does not mean your facility holds the approvals.</w:t>
            </w:r>
          </w:p>
        </w:tc>
      </w:tr>
      <w:tr>
        <w:trPr>
          <w:cantSplit/>
        </w:trPr>
        <w:tc>
          <w:tcPr>
            <w:tcW w:type="dxa" w:w="3120"/>
            <w:tcMar>
              <w:top w:w="100" w:type="dxa"/>
              <w:bottom w:w="100" w:type="dxa"/>
              <w:left w:w="120" w:type="dxa"/>
              <w:right w:w="120" w:type="dxa"/>
            </w:tcMar>
            <w:shd w:val="clear" w:fill="F2F7F3"/>
          </w:tcPr>
          <w:p>
            <w:pPr>
              <w:bidi/>
              <w:jc w:val="start"/>
            </w:pPr>
            <w:r>
              <w:t>Margin headroom</w:t>
            </w:r>
          </w:p>
        </w:tc>
        <w:tc>
          <w:tcPr>
            <w:tcW w:type="dxa" w:w="3120"/>
            <w:tcMar>
              <w:top w:w="100" w:type="dxa"/>
              <w:bottom w:w="100" w:type="dxa"/>
              <w:left w:w="120" w:type="dxa"/>
              <w:right w:w="120" w:type="dxa"/>
            </w:tcMar>
            <w:shd w:val="clear" w:fill="F2F7F3"/>
          </w:tcPr>
          <w:p>
            <w:pPr>
              <w:bidi/>
              <w:jc w:val="start"/>
            </w:pPr>
            <w:r>
              <w:t>Not computed yet</w:t>
            </w:r>
          </w:p>
        </w:tc>
        <w:tc>
          <w:tcPr>
            <w:tcW w:type="dxa" w:w="3120"/>
            <w:tcMar>
              <w:top w:w="100" w:type="dxa"/>
              <w:bottom w:w="100" w:type="dxa"/>
              <w:left w:w="120" w:type="dxa"/>
              <w:right w:w="120" w:type="dxa"/>
            </w:tcMar>
            <w:shd w:val="clear" w:fill="F2F7F3"/>
          </w:tcPr>
          <w:p>
            <w:pPr>
              <w:bidi/>
              <w:jc w:val="start"/>
            </w:pPr>
            <w:r>
              <w:t>We still need: price headroom at the border, your price against the market — close these before committing.</w:t>
            </w:r>
          </w:p>
        </w:tc>
      </w:tr>
      <w:tr>
        <w:trPr>
          <w:cantSplit/>
        </w:trPr>
        <w:tc>
          <w:tcPr>
            <w:tcW w:type="dxa" w:w="3120"/>
            <w:tcMar>
              <w:top w:w="100" w:type="dxa"/>
              <w:bottom w:w="100" w:type="dxa"/>
              <w:left w:w="120" w:type="dxa"/>
              <w:right w:w="120" w:type="dxa"/>
            </w:tcMar>
          </w:tcPr>
          <w:p>
            <w:pPr>
              <w:bidi/>
              <w:jc w:val="start"/>
            </w:pPr>
            <w:r>
              <w:t>Market safety (risk)</w:t>
            </w:r>
          </w:p>
        </w:tc>
        <w:tc>
          <w:tcPr>
            <w:tcW w:type="dxa" w:w="3120"/>
            <w:tcMar>
              <w:top w:w="100" w:type="dxa"/>
              <w:bottom w:w="100" w:type="dxa"/>
              <w:left w:w="120" w:type="dxa"/>
              <w:right w:w="120" w:type="dxa"/>
            </w:tcMar>
          </w:tcPr>
          <w:p>
            <w:pPr>
              <w:bidi/>
              <w:jc w:val="start"/>
            </w:pPr>
            <w:r>
              <w:t>Not computed yet</w:t>
            </w:r>
          </w:p>
        </w:tc>
        <w:tc>
          <w:tcPr>
            <w:tcW w:type="dxa" w:w="3120"/>
            <w:tcMar>
              <w:top w:w="100" w:type="dxa"/>
              <w:bottom w:w="100" w:type="dxa"/>
              <w:left w:w="120" w:type="dxa"/>
              <w:right w:w="120" w:type="dxa"/>
            </w:tcMar>
          </w:tcPr>
          <w:p>
            <w:pPr>
              <w:bidi/>
              <w:jc w:val="start"/>
            </w:pPr>
            <w:r>
              <w:t>We still need: political stability, regulatory quality, logistics performance, currency stability — close these before committing.</w:t>
            </w:r>
          </w:p>
        </w:tc>
      </w:tr>
    </w:tbl>
    <w:p>
      <w:pPr>
        <w:pStyle w:val="Heading2"/>
      </w:pPr>
      <w:r>
        <w:t>What must be closed before you commit</w:t>
      </w:r>
    </w:p>
    <w:p>
      <w:pPr>
        <w:pStyle w:val="ListBullet"/>
      </w:pPr>
      <w:r>
        <w:t>Condition 1: The Margin headroom aspect is not computed yet — it requires: price headroom at the border, your price against the market. Close these before you commit to production or shipping.</w:t>
      </w:r>
    </w:p>
    <w:p>
      <w:pPr>
        <w:pStyle w:val="ListBullet"/>
      </w:pPr>
      <w:r>
        <w:t>Condition 2: The Market safety (risk) aspect is not computed yet — it requires: political stability, regulatory quality, logistics performance, currency stability. Close these before you commit to production or shipping.</w:t>
      </w:r>
    </w:p>
    <w:p>
      <w:pPr>
        <w:pStyle w:val="ListBullet"/>
      </w:pPr>
      <w:r>
        <w:t>Condition 3: Pillar Regulatory fit is weak (38%) — address it before you commit, or enter at a size that can absorb it.</w:t>
      </w:r>
    </w:p>
    <w:p>
      <w:pPr>
        <w:pStyle w:val="Heading2"/>
      </w:pPr>
      <w:r>
        <w:t>90-day plan frame</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98"/>
        <w:gridCol w:w="2246"/>
        <w:gridCol w:w="1497"/>
        <w:gridCol w:w="1347"/>
        <w:gridCol w:w="1497"/>
        <w:gridCol w:w="1872"/>
      </w:tblGrid>
      <w:tr>
        <w:trPr>
          <w:cantSplit/>
          <w:tblHeader/>
        </w:trPr>
        <w:tc>
          <w:tcPr>
            <w:tcW w:type="dxa" w:w="898"/>
            <w:shd w:val="clear" w:fill="166534"/>
            <w:tcMar>
              <w:top w:w="100" w:type="dxa"/>
              <w:bottom w:w="100" w:type="dxa"/>
              <w:left w:w="120" w:type="dxa"/>
              <w:right w:w="120" w:type="dxa"/>
            </w:tcMar>
          </w:tcPr>
          <w:p>
            <w:pPr>
              <w:bidi/>
              <w:jc w:val="start"/>
            </w:pPr>
            <w:r>
              <w:rPr>
                <w:b/>
                <w:color w:val="FFFFFF"/>
              </w:rPr>
              <w:t>Condition</w:t>
            </w:r>
          </w:p>
        </w:tc>
        <w:tc>
          <w:tcPr>
            <w:tcW w:type="dxa" w:w="2246"/>
            <w:shd w:val="clear" w:fill="166534"/>
            <w:tcMar>
              <w:top w:w="100" w:type="dxa"/>
              <w:bottom w:w="100" w:type="dxa"/>
              <w:left w:w="120" w:type="dxa"/>
              <w:right w:w="120" w:type="dxa"/>
            </w:tcMar>
          </w:tcPr>
          <w:p>
            <w:pPr>
              <w:bidi/>
              <w:jc w:val="start"/>
            </w:pPr>
            <w:r>
              <w:rPr>
                <w:b/>
                <w:color w:val="FFFFFF"/>
              </w:rPr>
              <w:t>Action</w:t>
            </w:r>
          </w:p>
        </w:tc>
        <w:tc>
          <w:tcPr>
            <w:tcW w:type="dxa" w:w="1497"/>
            <w:shd w:val="clear" w:fill="166534"/>
            <w:tcMar>
              <w:top w:w="100" w:type="dxa"/>
              <w:bottom w:w="100" w:type="dxa"/>
              <w:left w:w="120" w:type="dxa"/>
              <w:right w:w="120" w:type="dxa"/>
            </w:tcMar>
          </w:tcPr>
          <w:p>
            <w:pPr>
              <w:bidi/>
              <w:jc w:val="start"/>
            </w:pPr>
            <w:r>
              <w:rPr>
                <w:b/>
                <w:color w:val="FFFFFF"/>
              </w:rPr>
              <w:t>Owner</w:t>
            </w:r>
          </w:p>
        </w:tc>
        <w:tc>
          <w:tcPr>
            <w:tcW w:type="dxa" w:w="1347"/>
            <w:shd w:val="clear" w:fill="166534"/>
            <w:tcMar>
              <w:top w:w="100" w:type="dxa"/>
              <w:bottom w:w="100" w:type="dxa"/>
              <w:left w:w="120" w:type="dxa"/>
              <w:right w:w="120" w:type="dxa"/>
            </w:tcMar>
          </w:tcPr>
          <w:p>
            <w:pPr>
              <w:bidi/>
              <w:jc w:val="start"/>
            </w:pPr>
            <w:r>
              <w:rPr>
                <w:b/>
                <w:color w:val="FFFFFF"/>
              </w:rPr>
              <w:t>Timing</w:t>
            </w:r>
          </w:p>
        </w:tc>
        <w:tc>
          <w:tcPr>
            <w:tcW w:type="dxa" w:w="1497"/>
            <w:shd w:val="clear" w:fill="166534"/>
            <w:tcMar>
              <w:top w:w="100" w:type="dxa"/>
              <w:bottom w:w="100" w:type="dxa"/>
              <w:left w:w="120" w:type="dxa"/>
              <w:right w:w="120" w:type="dxa"/>
            </w:tcMar>
          </w:tcPr>
          <w:p>
            <w:pPr>
              <w:bidi/>
              <w:jc w:val="start"/>
            </w:pPr>
            <w:r>
              <w:rPr>
                <w:b/>
                <w:color w:val="FFFFFF"/>
              </w:rPr>
              <w:t>Output</w:t>
            </w:r>
          </w:p>
        </w:tc>
        <w:tc>
          <w:tcPr>
            <w:tcW w:type="dxa" w:w="1872"/>
            <w:shd w:val="clear" w:fill="166534"/>
            <w:tcMar>
              <w:top w:w="100" w:type="dxa"/>
              <w:bottom w:w="100" w:type="dxa"/>
              <w:left w:w="120" w:type="dxa"/>
              <w:right w:w="120" w:type="dxa"/>
            </w:tcMar>
          </w:tcPr>
          <w:p>
            <w:pPr>
              <w:bidi/>
              <w:jc w:val="start"/>
            </w:pPr>
            <w:r>
              <w:rPr>
                <w:b/>
                <w:color w:val="FFFFFF"/>
              </w:rPr>
              <w:t>Continue or stop</w:t>
            </w:r>
          </w:p>
        </w:tc>
      </w:tr>
      <w:tr>
        <w:trPr>
          <w:cantSplit/>
        </w:trPr>
        <w:tc>
          <w:tcPr>
            <w:tcW w:type="dxa" w:w="898"/>
            <w:tcMar>
              <w:top w:w="100" w:type="dxa"/>
              <w:bottom w:w="100" w:type="dxa"/>
              <w:left w:w="120" w:type="dxa"/>
              <w:right w:w="120" w:type="dxa"/>
            </w:tcMar>
          </w:tcPr>
          <w:p>
            <w:pPr>
              <w:bidi/>
              <w:jc w:val="start"/>
            </w:pPr>
            <w:r>
              <w:t>Condition 1</w:t>
            </w:r>
          </w:p>
        </w:tc>
        <w:tc>
          <w:tcPr>
            <w:tcW w:type="dxa" w:w="2246"/>
            <w:tcMar>
              <w:top w:w="100" w:type="dxa"/>
              <w:bottom w:w="100" w:type="dxa"/>
              <w:left w:w="120" w:type="dxa"/>
              <w:right w:w="120" w:type="dxa"/>
            </w:tcMar>
          </w:tcPr>
          <w:p>
            <w:pPr>
              <w:bidi/>
              <w:jc w:val="start"/>
            </w:pPr>
            <w:r>
              <w:t>complete price headroom at the border, your price against the market</w:t>
            </w:r>
          </w:p>
        </w:tc>
        <w:tc>
          <w:tcPr>
            <w:tcW w:type="dxa" w:w="1497"/>
            <w:tcMar>
              <w:top w:w="100" w:type="dxa"/>
              <w:bottom w:w="100" w:type="dxa"/>
              <w:left w:w="120" w:type="dxa"/>
              <w:right w:w="120" w:type="dxa"/>
            </w:tcMar>
          </w:tcPr>
          <w:p>
            <w:pPr>
              <w:bidi/>
              <w:jc w:val="start"/>
            </w:pPr>
            <w:r>
              <w:t>Factory — cost and price (suggested)</w:t>
            </w:r>
          </w:p>
        </w:tc>
        <w:tc>
          <w:tcPr>
            <w:tcW w:type="dxa" w:w="1347"/>
            <w:tcMar>
              <w:top w:w="100" w:type="dxa"/>
              <w:bottom w:w="100" w:type="dxa"/>
              <w:left w:w="120" w:type="dxa"/>
              <w:right w:w="120" w:type="dxa"/>
            </w:tcMar>
          </w:tcPr>
          <w:p>
            <w:pPr>
              <w:bidi/>
              <w:jc w:val="start"/>
            </w:pPr>
            <w:r>
              <w:t>Weeks 1–4</w:t>
            </w:r>
          </w:p>
        </w:tc>
        <w:tc>
          <w:tcPr>
            <w:tcW w:type="dxa" w:w="1497"/>
            <w:tcMar>
              <w:top w:w="100" w:type="dxa"/>
              <w:bottom w:w="100" w:type="dxa"/>
              <w:left w:w="120" w:type="dxa"/>
              <w:right w:w="120" w:type="dxa"/>
            </w:tcMar>
          </w:tcPr>
          <w:p>
            <w:pPr>
              <w:bidi/>
              <w:jc w:val="start"/>
            </w:pPr>
            <w:r>
              <w:t>Completed inputs, then a re-evaluation</w:t>
            </w:r>
          </w:p>
        </w:tc>
        <w:tc>
          <w:tcPr>
            <w:tcW w:type="dxa" w:w="1872"/>
            <w:tcMar>
              <w:top w:w="100" w:type="dxa"/>
              <w:bottom w:w="100" w:type="dxa"/>
              <w:left w:w="120" w:type="dxa"/>
              <w:right w:w="120" w:type="dxa"/>
            </w:tcMar>
          </w:tcPr>
          <w:p>
            <w:pPr>
              <w:bidi/>
              <w:jc w:val="start"/>
            </w:pPr>
            <w:r>
              <w:t>Re-evaluate with the inputs — the recommendation does not turn into "enter" automatically</w:t>
            </w:r>
          </w:p>
        </w:tc>
      </w:tr>
      <w:tr>
        <w:trPr>
          <w:cantSplit/>
        </w:trPr>
        <w:tc>
          <w:tcPr>
            <w:tcW w:type="dxa" w:w="898"/>
            <w:tcMar>
              <w:top w:w="100" w:type="dxa"/>
              <w:bottom w:w="100" w:type="dxa"/>
              <w:left w:w="120" w:type="dxa"/>
              <w:right w:w="120" w:type="dxa"/>
            </w:tcMar>
            <w:shd w:val="clear" w:fill="F2F7F3"/>
          </w:tcPr>
          <w:p>
            <w:pPr>
              <w:bidi/>
              <w:jc w:val="start"/>
            </w:pPr>
            <w:r>
              <w:t>Condition 2</w:t>
            </w:r>
          </w:p>
        </w:tc>
        <w:tc>
          <w:tcPr>
            <w:tcW w:type="dxa" w:w="2246"/>
            <w:tcMar>
              <w:top w:w="100" w:type="dxa"/>
              <w:bottom w:w="100" w:type="dxa"/>
              <w:left w:w="120" w:type="dxa"/>
              <w:right w:w="120" w:type="dxa"/>
            </w:tcMar>
            <w:shd w:val="clear" w:fill="F2F7F3"/>
          </w:tcPr>
          <w:p>
            <w:pPr>
              <w:bidi/>
              <w:jc w:val="start"/>
            </w:pPr>
            <w:r>
              <w:t>complete political stability, regulatory quality, logistics performance, currency stability</w:t>
            </w:r>
          </w:p>
        </w:tc>
        <w:tc>
          <w:tcPr>
            <w:tcW w:type="dxa" w:w="1497"/>
            <w:tcMar>
              <w:top w:w="100" w:type="dxa"/>
              <w:bottom w:w="100" w:type="dxa"/>
              <w:left w:w="120" w:type="dxa"/>
              <w:right w:w="120" w:type="dxa"/>
            </w:tcMar>
            <w:shd w:val="clear" w:fill="F2F7F3"/>
          </w:tcPr>
          <w:p>
            <w:pPr>
              <w:bidi/>
              <w:jc w:val="start"/>
            </w:pPr>
            <w:r>
              <w:t>Study team — complete the data (suggested)</w:t>
            </w:r>
          </w:p>
        </w:tc>
        <w:tc>
          <w:tcPr>
            <w:tcW w:type="dxa" w:w="1347"/>
            <w:tcMar>
              <w:top w:w="100" w:type="dxa"/>
              <w:bottom w:w="100" w:type="dxa"/>
              <w:left w:w="120" w:type="dxa"/>
              <w:right w:w="120" w:type="dxa"/>
            </w:tcMar>
            <w:shd w:val="clear" w:fill="F2F7F3"/>
          </w:tcPr>
          <w:p>
            <w:pPr>
              <w:bidi/>
              <w:jc w:val="start"/>
            </w:pPr>
            <w:r>
              <w:t>Weeks 1–4</w:t>
            </w:r>
          </w:p>
        </w:tc>
        <w:tc>
          <w:tcPr>
            <w:tcW w:type="dxa" w:w="1497"/>
            <w:tcMar>
              <w:top w:w="100" w:type="dxa"/>
              <w:bottom w:w="100" w:type="dxa"/>
              <w:left w:w="120" w:type="dxa"/>
              <w:right w:w="120" w:type="dxa"/>
            </w:tcMar>
            <w:shd w:val="clear" w:fill="F2F7F3"/>
          </w:tcPr>
          <w:p>
            <w:pPr>
              <w:bidi/>
              <w:jc w:val="start"/>
            </w:pPr>
            <w:r>
              <w:t>Completed inputs, then a re-evaluation</w:t>
            </w:r>
          </w:p>
        </w:tc>
        <w:tc>
          <w:tcPr>
            <w:tcW w:type="dxa" w:w="1872"/>
            <w:tcMar>
              <w:top w:w="100" w:type="dxa"/>
              <w:bottom w:w="100" w:type="dxa"/>
              <w:left w:w="120" w:type="dxa"/>
              <w:right w:w="120" w:type="dxa"/>
            </w:tcMar>
            <w:shd w:val="clear" w:fill="F2F7F3"/>
          </w:tcPr>
          <w:p>
            <w:pPr>
              <w:bidi/>
              <w:jc w:val="start"/>
            </w:pPr>
            <w:r>
              <w:t>Re-evaluate with the inputs — the recommendation does not turn into "enter" automatically</w:t>
            </w:r>
          </w:p>
        </w:tc>
      </w:tr>
      <w:tr>
        <w:trPr>
          <w:cantSplit/>
        </w:trPr>
        <w:tc>
          <w:tcPr>
            <w:tcW w:type="dxa" w:w="898"/>
            <w:tcMar>
              <w:top w:w="100" w:type="dxa"/>
              <w:bottom w:w="100" w:type="dxa"/>
              <w:left w:w="120" w:type="dxa"/>
              <w:right w:w="120" w:type="dxa"/>
            </w:tcMar>
          </w:tcPr>
          <w:p>
            <w:pPr>
              <w:bidi/>
              <w:jc w:val="start"/>
            </w:pPr>
            <w:r>
              <w:t>Condition 3</w:t>
            </w:r>
          </w:p>
        </w:tc>
        <w:tc>
          <w:tcPr>
            <w:tcW w:type="dxa" w:w="2246"/>
            <w:tcMar>
              <w:top w:w="100" w:type="dxa"/>
              <w:bottom w:w="100" w:type="dxa"/>
              <w:left w:w="120" w:type="dxa"/>
              <w:right w:w="120" w:type="dxa"/>
            </w:tcMar>
          </w:tcPr>
          <w:p>
            <w:pPr>
              <w:bidi/>
              <w:jc w:val="start"/>
            </w:pPr>
            <w:r>
              <w:t>Address the weak Regulatory fit aspect before committing</w:t>
            </w:r>
          </w:p>
        </w:tc>
        <w:tc>
          <w:tcPr>
            <w:tcW w:type="dxa" w:w="1497"/>
            <w:tcMar>
              <w:top w:w="100" w:type="dxa"/>
              <w:bottom w:w="100" w:type="dxa"/>
              <w:left w:w="120" w:type="dxa"/>
              <w:right w:w="120" w:type="dxa"/>
            </w:tcMar>
          </w:tcPr>
          <w:p>
            <w:pPr>
              <w:bidi/>
              <w:jc w:val="start"/>
            </w:pPr>
            <w:r>
              <w:t>Factory management — commercial decision (suggested)</w:t>
            </w:r>
          </w:p>
        </w:tc>
        <w:tc>
          <w:tcPr>
            <w:tcW w:type="dxa" w:w="1347"/>
            <w:tcMar>
              <w:top w:w="100" w:type="dxa"/>
              <w:bottom w:w="100" w:type="dxa"/>
              <w:left w:w="120" w:type="dxa"/>
              <w:right w:w="120" w:type="dxa"/>
            </w:tcMar>
          </w:tcPr>
          <w:p>
            <w:pPr>
              <w:bidi/>
              <w:jc w:val="start"/>
            </w:pPr>
            <w:r>
              <w:t>Weeks 5–8, after the data is complete</w:t>
            </w:r>
          </w:p>
        </w:tc>
        <w:tc>
          <w:tcPr>
            <w:tcW w:type="dxa" w:w="1497"/>
            <w:tcMar>
              <w:top w:w="100" w:type="dxa"/>
              <w:bottom w:w="100" w:type="dxa"/>
              <w:left w:w="120" w:type="dxa"/>
              <w:right w:w="120" w:type="dxa"/>
            </w:tcMar>
          </w:tcPr>
          <w:p>
            <w:pPr>
              <w:bidi/>
              <w:jc w:val="start"/>
            </w:pPr>
            <w:r>
              <w:t>A documented decision to fix or accept the weakness</w:t>
            </w:r>
          </w:p>
        </w:tc>
        <w:tc>
          <w:tcPr>
            <w:tcW w:type="dxa" w:w="1872"/>
            <w:tcMar>
              <w:top w:w="100" w:type="dxa"/>
              <w:bottom w:w="100" w:type="dxa"/>
              <w:left w:w="120" w:type="dxa"/>
              <w:right w:w="120" w:type="dxa"/>
            </w:tcMar>
          </w:tcPr>
          <w:p>
            <w:pPr>
              <w:bidi/>
              <w:jc w:val="start"/>
            </w:pPr>
            <w:r>
              <w:t>Continue if the aspect reaches 50% or more; otherwise defer</w:t>
            </w:r>
          </w:p>
        </w:tc>
      </w:tr>
    </w:tbl>
    <w:p>
      <w:pPr>
        <w:pStyle w:val="Heading2"/>
      </w:pPr>
      <w:r>
        <w:t>The strongest case against this decision</w:t>
      </w:r>
    </w:p>
    <w:p>
      <w:r>
        <w:t>The strongest pillar, Market attractiveness, at 84% pulls toward entry; the weakest, Regulatory fit, at 38% pulls against it. The decision follows the pillars together under their stated weights, not any single one.</w:t>
      </w:r>
    </w:p>
    <w:p>
      <w:r>
        <w:t>Prepare the eligibility file first, then approach distributors with a price</w:t>
      </w:r>
    </w:p>
    <w:p>
      <w:r>
        <w:t>that fits the observed gap.</w:t>
      </w:r>
    </w:p>
    <w:p>
      <w:pPr>
        <w:pStyle w:val="Heading1"/>
      </w:pPr>
      <w:r>
        <w:t>The market in numbers</w:t>
      </w:r>
    </w:p>
    <w:p>
      <w:r>
        <w:t>Dutch imports of the product reached USD 38 million in the most recent</w:t>
      </w:r>
    </w:p>
    <w:p>
      <w:r>
        <w:t>published year, according to UN Comtrade. Per-capita income supports a premium</w:t>
      </w:r>
    </w:p>
    <w:p>
      <w:r>
        <w:t>positioning, and the addressable community of about 1.0 million people</w:t>
      </w:r>
    </w:p>
    <w:p>
      <w:r>
        <w:t>concentrates demand in identifiable urban channels.</w:t>
      </w:r>
    </w:p>
    <w:p>
      <w:r>
        <w:t>Imports grew at 7% compound annually over the last three years. Growth is</w:t>
      </w:r>
    </w:p>
    <w:p>
      <w:r>
        <w:t>driven by steady demand rather than a one-off spike, which makes a multi-year</w:t>
      </w:r>
    </w:p>
    <w:p>
      <w:r>
        <w:t>entry plan reasonable rather than opportunistic.</w:t>
      </w:r>
    </w:p>
    <w:p>
      <w:r>
        <w:t>Demand concentrates around religious seasons, with a pronounced Ramadan peak.</w:t>
      </w:r>
    </w:p>
    <w:p>
      <w:r>
        <w:t>Seasonality data for the precise product attribute was not observed for this</w:t>
      </w:r>
    </w:p>
    <w:p>
      <w:r>
        <w:t>study, so the seasonal profile is stated as a category-level pattern and not</w:t>
      </w:r>
    </w:p>
    <w:p>
      <w:r>
        <w:t>as a measured product-level figure.</w:t>
      </w:r>
    </w:p>
    <w:p>
      <w:pPr>
        <w:pStyle w:val="Heading1"/>
      </w:pPr>
      <w:r>
        <w:t>Competition, pricing and margin</w:t>
      </w:r>
    </w:p>
    <w:p>
      <w:r>
        <w:t>The supplier row records a market concentration index of approximately 2100,</w:t>
      </w:r>
    </w:p>
    <w:p>
      <w:r>
        <w:t>which is moderate: several suppliers share the market and none dominates it.</w:t>
      </w:r>
    </w:p>
    <w:p>
      <w:r>
        <w:t>Observed retail prices leave a workable gap for a competitively priced entrant.</w:t>
      </w:r>
    </w:p>
    <w:p>
      <w:pPr>
        <w:pStyle w:val="Heading1"/>
      </w:pPr>
      <w:r>
        <w:t>Entry route and requirements</w:t>
      </w:r>
    </w:p>
    <w:p>
      <w:r>
        <w:t>Entry into the European Union requires a listed establishment under EU</w:t>
      </w:r>
    </w:p>
    <w:p>
      <w:r>
        <w:t>2017/625. Until that listing is confirmed, no downstream step is reachable, so</w:t>
      </w:r>
    </w:p>
    <w:p>
      <w:r>
        <w:t>it is the first gate of the entry plan rather than a later formality.</w:t>
      </w:r>
    </w:p>
    <w:p>
      <w:r>
        <w:t>The route is served by established sea freight with predictable transit times.</w:t>
      </w:r>
    </w:p>
    <w:p>
      <w:r>
        <w:t>Freight was not quoted for this study; the landed cost below therefore rests</w:t>
      </w:r>
    </w:p>
    <w:p>
      <w:r>
        <w:t>on a declared assumption and is presented as an estimate, not an observed</w:t>
      </w:r>
    </w:p>
    <w:p>
      <w:r>
        <w:t>figure.</w:t>
      </w:r>
    </w:p>
    <w:p>
      <w:pPr>
        <w:pStyle w:val="Heading3"/>
      </w:pPr>
      <w:r>
        <w:t>Entry roadmap</w:t>
      </w:r>
    </w:p>
    <w:p>
      <w:r>
        <w:t>Days 1-30: assemble the EU 2017/625 file. Days 31-60: obtain a binding freight</w:t>
      </w:r>
    </w:p>
    <w:p>
      <w:r>
        <w:t>quotation and confirm the landed cost. Days 61-90: sign one named distributor</w:t>
      </w:r>
    </w:p>
    <w:p>
      <w:r>
        <w:t>and place a trial shipment.</w:t>
      </w:r>
    </w:p>
    <w:p>
      <w:pPr>
        <w:pStyle w:val="Heading2"/>
      </w:pPr>
      <w:r>
        <w:t>Entry and exit requirements by type</w:t>
      </w:r>
    </w:p>
    <w:p>
      <w:r>
        <w:t>8 requirement items, 2 of them legally mandatory — the item texts are in the Arabic edition of this study.</w:t>
      </w:r>
    </w:p>
    <w:p>
      <w:pPr>
        <w:pStyle w:val="Heading1"/>
      </w:pPr>
      <w:r>
        <w:t>Risks</w:t>
      </w:r>
    </w:p>
    <w:p>
      <w:r>
        <w:t>The dominant risk is administrative: an eligibility file that slips delays the</w:t>
      </w:r>
    </w:p>
    <w:p>
      <w:r>
        <w:t>whole plan. Market risk is comparatively contained, given moderate supplier</w:t>
      </w:r>
    </w:p>
    <w:p>
      <w:r>
        <w:t>concentration and steady import growth.</w:t>
      </w:r>
    </w:p>
    <w:p>
      <w:pPr>
        <w:pStyle w:val="Heading1"/>
      </w:pPr>
      <w:r>
        <w:t>Maximum competitive ex-factory price</w:t>
      </w:r>
    </w:p>
    <w:p>
      <w:r>
        <w:t>Lowest competing shelf price observed in the market: 14.0 € (pricing basis: retail).</w:t>
      </w:r>
    </w:p>
    <w:p>
      <w:r>
        <w:t>To match that price after freight, duties and distribution margins, your ex-factory cost must not exceed 15.29 €/kg (under the mid scenario assumptions below).</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1728"/>
        <w:gridCol w:w="1728"/>
        <w:gridCol w:w="1728"/>
        <w:gridCol w:w="1728"/>
        <w:gridCol w:w="1728"/>
      </w:tblGrid>
      <w:tr>
        <w:trPr>
          <w:cantSplit/>
          <w:tblHeader/>
        </w:trPr>
        <w:tc>
          <w:tcPr>
            <w:tcW w:type="dxa" w:w="1872"/>
            <w:shd w:val="clear" w:fill="166534"/>
            <w:tcMar>
              <w:top w:w="100" w:type="dxa"/>
              <w:bottom w:w="100" w:type="dxa"/>
              <w:left w:w="120" w:type="dxa"/>
              <w:right w:w="120" w:type="dxa"/>
            </w:tcMar>
          </w:tcPr>
          <w:p>
            <w:pPr>
              <w:bidi/>
              <w:jc w:val="start"/>
            </w:pPr>
            <w:r>
              <w:rPr>
                <w:b/>
                <w:color w:val="FFFFFF"/>
              </w:rPr>
              <w:t>Scenario</w:t>
            </w:r>
          </w:p>
        </w:tc>
        <w:tc>
          <w:tcPr>
            <w:tcW w:type="dxa" w:w="1872"/>
            <w:shd w:val="clear" w:fill="166534"/>
            <w:tcMar>
              <w:top w:w="100" w:type="dxa"/>
              <w:bottom w:w="100" w:type="dxa"/>
              <w:left w:w="120" w:type="dxa"/>
              <w:right w:w="120" w:type="dxa"/>
            </w:tcMar>
          </w:tcPr>
          <w:p>
            <w:pPr>
              <w:bidi/>
              <w:jc w:val="start"/>
            </w:pPr>
            <w:r>
              <w:rPr>
                <w:b/>
                <w:color w:val="FFFFFF"/>
              </w:rPr>
              <w:t>Freight %</w:t>
            </w:r>
          </w:p>
        </w:tc>
        <w:tc>
          <w:tcPr>
            <w:tcW w:type="dxa" w:w="1872"/>
            <w:shd w:val="clear" w:fill="166534"/>
            <w:tcMar>
              <w:top w:w="100" w:type="dxa"/>
              <w:bottom w:w="100" w:type="dxa"/>
              <w:left w:w="120" w:type="dxa"/>
              <w:right w:w="120" w:type="dxa"/>
            </w:tcMar>
          </w:tcPr>
          <w:p>
            <w:pPr>
              <w:bidi/>
              <w:jc w:val="start"/>
            </w:pPr>
            <w:r>
              <w:rPr>
                <w:b/>
                <w:color w:val="FFFFFF"/>
              </w:rPr>
              <w:t>Distributor margin %</w:t>
            </w:r>
          </w:p>
        </w:tc>
        <w:tc>
          <w:tcPr>
            <w:tcW w:type="dxa" w:w="1872"/>
            <w:shd w:val="clear" w:fill="166534"/>
            <w:tcMar>
              <w:top w:w="100" w:type="dxa"/>
              <w:bottom w:w="100" w:type="dxa"/>
              <w:left w:w="120" w:type="dxa"/>
              <w:right w:w="120" w:type="dxa"/>
            </w:tcMar>
          </w:tcPr>
          <w:p>
            <w:pPr>
              <w:bidi/>
              <w:jc w:val="start"/>
            </w:pPr>
            <w:r>
              <w:rPr>
                <w:b/>
                <w:color w:val="FFFFFF"/>
              </w:rPr>
              <w:t>Retail margin %</w:t>
            </w:r>
          </w:p>
        </w:tc>
        <w:tc>
          <w:tcPr>
            <w:tcW w:type="dxa" w:w="1872"/>
            <w:shd w:val="clear" w:fill="166534"/>
            <w:tcMar>
              <w:top w:w="100" w:type="dxa"/>
              <w:bottom w:w="100" w:type="dxa"/>
              <w:left w:w="120" w:type="dxa"/>
              <w:right w:w="120" w:type="dxa"/>
            </w:tcMar>
          </w:tcPr>
          <w:p>
            <w:pPr>
              <w:bidi/>
              <w:jc w:val="start"/>
            </w:pPr>
            <w:r>
              <w:rPr>
                <w:b/>
                <w:color w:val="FFFFFF"/>
              </w:rPr>
              <w:t>Max ex-factory price (€/kg)</w:t>
            </w:r>
          </w:p>
        </w:tc>
      </w:tr>
      <w:tr>
        <w:trPr>
          <w:cantSplit/>
        </w:trPr>
        <w:tc>
          <w:tcPr>
            <w:tcW w:type="dxa" w:w="1872"/>
            <w:tcMar>
              <w:top w:w="100" w:type="dxa"/>
              <w:bottom w:w="100" w:type="dxa"/>
              <w:left w:w="120" w:type="dxa"/>
              <w:right w:w="120" w:type="dxa"/>
            </w:tcMar>
          </w:tcPr>
          <w:p>
            <w:pPr>
              <w:bidi/>
              <w:jc w:val="start"/>
            </w:pPr>
            <w:r>
              <w:t>low</w:t>
            </w:r>
          </w:p>
        </w:tc>
        <w:tc>
          <w:tcPr>
            <w:tcW w:type="dxa" w:w="1872"/>
            <w:tcMar>
              <w:top w:w="100" w:type="dxa"/>
              <w:bottom w:w="100" w:type="dxa"/>
              <w:left w:w="120" w:type="dxa"/>
              <w:right w:w="120" w:type="dxa"/>
            </w:tcMar>
          </w:tcPr>
          <w:p>
            <w:pPr>
              <w:bidi/>
              <w:jc w:val="start"/>
            </w:pPr>
            <w:r>
              <w:t>5.0</w:t>
            </w:r>
          </w:p>
        </w:tc>
        <w:tc>
          <w:tcPr>
            <w:tcW w:type="dxa" w:w="1872"/>
            <w:tcMar>
              <w:top w:w="100" w:type="dxa"/>
              <w:bottom w:w="100" w:type="dxa"/>
              <w:left w:w="120" w:type="dxa"/>
              <w:right w:w="120" w:type="dxa"/>
            </w:tcMar>
          </w:tcPr>
          <w:p>
            <w:pPr>
              <w:bidi/>
              <w:jc w:val="start"/>
            </w:pPr>
            <w:r>
              <w:t>10.0</w:t>
            </w:r>
          </w:p>
        </w:tc>
        <w:tc>
          <w:tcPr>
            <w:tcW w:type="dxa" w:w="1872"/>
            <w:tcMar>
              <w:top w:w="100" w:type="dxa"/>
              <w:bottom w:w="100" w:type="dxa"/>
              <w:left w:w="120" w:type="dxa"/>
              <w:right w:w="120" w:type="dxa"/>
            </w:tcMar>
          </w:tcPr>
          <w:p>
            <w:pPr>
              <w:bidi/>
              <w:jc w:val="start"/>
            </w:pPr>
            <w:r>
              <w:t>15.0</w:t>
            </w:r>
          </w:p>
        </w:tc>
        <w:tc>
          <w:tcPr>
            <w:tcW w:type="dxa" w:w="1872"/>
            <w:tcMar>
              <w:top w:w="100" w:type="dxa"/>
              <w:bottom w:w="100" w:type="dxa"/>
              <w:left w:w="120" w:type="dxa"/>
              <w:right w:w="120" w:type="dxa"/>
            </w:tcMar>
          </w:tcPr>
          <w:p>
            <w:pPr>
              <w:bidi/>
              <w:jc w:val="start"/>
            </w:pPr>
            <w:r>
              <w:t>19.3398</w:t>
            </w:r>
          </w:p>
        </w:tc>
      </w:tr>
      <w:tr>
        <w:trPr>
          <w:cantSplit/>
        </w:trPr>
        <w:tc>
          <w:tcPr>
            <w:tcW w:type="dxa" w:w="1872"/>
            <w:tcMar>
              <w:top w:w="100" w:type="dxa"/>
              <w:bottom w:w="100" w:type="dxa"/>
              <w:left w:w="120" w:type="dxa"/>
              <w:right w:w="120" w:type="dxa"/>
            </w:tcMar>
            <w:shd w:val="clear" w:fill="F2F7F3"/>
          </w:tcPr>
          <w:p>
            <w:pPr>
              <w:bidi/>
              <w:jc w:val="start"/>
            </w:pPr>
            <w:r>
              <w:t>mid</w:t>
            </w:r>
          </w:p>
        </w:tc>
        <w:tc>
          <w:tcPr>
            <w:tcW w:type="dxa" w:w="1872"/>
            <w:tcMar>
              <w:top w:w="100" w:type="dxa"/>
              <w:bottom w:w="100" w:type="dxa"/>
              <w:left w:w="120" w:type="dxa"/>
              <w:right w:w="120" w:type="dxa"/>
            </w:tcMar>
            <w:shd w:val="clear" w:fill="F2F7F3"/>
          </w:tcPr>
          <w:p>
            <w:pPr>
              <w:bidi/>
              <w:jc w:val="start"/>
            </w:pPr>
            <w:r>
              <w:t>12.0</w:t>
            </w:r>
          </w:p>
        </w:tc>
        <w:tc>
          <w:tcPr>
            <w:tcW w:type="dxa" w:w="1872"/>
            <w:tcMar>
              <w:top w:w="100" w:type="dxa"/>
              <w:bottom w:w="100" w:type="dxa"/>
              <w:left w:w="120" w:type="dxa"/>
              <w:right w:w="120" w:type="dxa"/>
            </w:tcMar>
            <w:shd w:val="clear" w:fill="F2F7F3"/>
          </w:tcPr>
          <w:p>
            <w:pPr>
              <w:bidi/>
              <w:jc w:val="start"/>
            </w:pPr>
            <w:r>
              <w:t>20.0</w:t>
            </w:r>
          </w:p>
        </w:tc>
        <w:tc>
          <w:tcPr>
            <w:tcW w:type="dxa" w:w="1872"/>
            <w:tcMar>
              <w:top w:w="100" w:type="dxa"/>
              <w:bottom w:w="100" w:type="dxa"/>
              <w:left w:w="120" w:type="dxa"/>
              <w:right w:w="120" w:type="dxa"/>
            </w:tcMar>
            <w:shd w:val="clear" w:fill="F2F7F3"/>
          </w:tcPr>
          <w:p>
            <w:pPr>
              <w:bidi/>
              <w:jc w:val="start"/>
            </w:pPr>
            <w:r>
              <w:t>25.0</w:t>
            </w:r>
          </w:p>
        </w:tc>
        <w:tc>
          <w:tcPr>
            <w:tcW w:type="dxa" w:w="1872"/>
            <w:tcMar>
              <w:top w:w="100" w:type="dxa"/>
              <w:bottom w:w="100" w:type="dxa"/>
              <w:left w:w="120" w:type="dxa"/>
              <w:right w:w="120" w:type="dxa"/>
            </w:tcMar>
            <w:shd w:val="clear" w:fill="F2F7F3"/>
          </w:tcPr>
          <w:p>
            <w:pPr>
              <w:bidi/>
              <w:jc w:val="start"/>
            </w:pPr>
            <w:r>
              <w:t>15.2905</w:t>
            </w:r>
          </w:p>
        </w:tc>
      </w:tr>
      <w:tr>
        <w:trPr>
          <w:cantSplit/>
        </w:trPr>
        <w:tc>
          <w:tcPr>
            <w:tcW w:type="dxa" w:w="1872"/>
            <w:tcMar>
              <w:top w:w="100" w:type="dxa"/>
              <w:bottom w:w="100" w:type="dxa"/>
              <w:left w:w="120" w:type="dxa"/>
              <w:right w:w="120" w:type="dxa"/>
            </w:tcMar>
          </w:tcPr>
          <w:p>
            <w:pPr>
              <w:bidi/>
              <w:jc w:val="start"/>
            </w:pPr>
            <w:r>
              <w:t>high</w:t>
            </w:r>
          </w:p>
        </w:tc>
        <w:tc>
          <w:tcPr>
            <w:tcW w:type="dxa" w:w="1872"/>
            <w:tcMar>
              <w:top w:w="100" w:type="dxa"/>
              <w:bottom w:w="100" w:type="dxa"/>
              <w:left w:w="120" w:type="dxa"/>
              <w:right w:w="120" w:type="dxa"/>
            </w:tcMar>
          </w:tcPr>
          <w:p>
            <w:pPr>
              <w:bidi/>
              <w:jc w:val="start"/>
            </w:pPr>
            <w:r>
              <w:t>25.0</w:t>
            </w:r>
          </w:p>
        </w:tc>
        <w:tc>
          <w:tcPr>
            <w:tcW w:type="dxa" w:w="1872"/>
            <w:tcMar>
              <w:top w:w="100" w:type="dxa"/>
              <w:bottom w:w="100" w:type="dxa"/>
              <w:left w:w="120" w:type="dxa"/>
              <w:right w:w="120" w:type="dxa"/>
            </w:tcMar>
          </w:tcPr>
          <w:p>
            <w:pPr>
              <w:bidi/>
              <w:jc w:val="start"/>
            </w:pPr>
            <w:r>
              <w:t>30.0</w:t>
            </w:r>
          </w:p>
        </w:tc>
        <w:tc>
          <w:tcPr>
            <w:tcW w:type="dxa" w:w="1872"/>
            <w:tcMar>
              <w:top w:w="100" w:type="dxa"/>
              <w:bottom w:w="100" w:type="dxa"/>
              <w:left w:w="120" w:type="dxa"/>
              <w:right w:w="120" w:type="dxa"/>
            </w:tcMar>
          </w:tcPr>
          <w:p>
            <w:pPr>
              <w:bidi/>
              <w:jc w:val="start"/>
            </w:pPr>
            <w:r>
              <w:t>40.0</w:t>
            </w:r>
          </w:p>
        </w:tc>
        <w:tc>
          <w:tcPr>
            <w:tcW w:type="dxa" w:w="1872"/>
            <w:tcMar>
              <w:top w:w="100" w:type="dxa"/>
              <w:bottom w:w="100" w:type="dxa"/>
              <w:left w:w="120" w:type="dxa"/>
              <w:right w:w="120" w:type="dxa"/>
            </w:tcMar>
          </w:tcPr>
          <w:p>
            <w:pPr>
              <w:bidi/>
              <w:jc w:val="start"/>
            </w:pPr>
            <w:r>
              <w:t>11.2915</w:t>
            </w:r>
          </w:p>
        </w:tc>
      </w:tr>
    </w:tbl>
    <w:p>
      <w:r>
        <w:t>The values above are declared, adjustable assumptions — enter your actual figures (your freight and distributor margins) to refine the ceiling.</w:t>
      </w:r>
    </w:p>
    <w:p>
      <w:pPr>
        <w:pStyle w:val="Heading3"/>
      </w:pPr>
      <w:r>
        <w:t>Sensitivity of the maximum ex-works price</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b/>
                <w:color w:val="FFFFFF"/>
              </w:rPr>
              <w:t>Factor</w:t>
            </w:r>
          </w:p>
        </w:tc>
        <w:tc>
          <w:tcPr>
            <w:tcW w:type="dxa" w:w="3120"/>
            <w:shd w:val="clear" w:fill="166534"/>
            <w:tcMar>
              <w:top w:w="100" w:type="dxa"/>
              <w:bottom w:w="100" w:type="dxa"/>
              <w:left w:w="120" w:type="dxa"/>
              <w:right w:w="120" w:type="dxa"/>
            </w:tcMar>
          </w:tcPr>
          <w:p>
            <w:pPr>
              <w:bidi/>
              <w:jc w:val="start"/>
            </w:pPr>
            <w:r>
              <w:rPr>
                <w:b/>
                <w:color w:val="FFFFFF"/>
              </w:rPr>
              <w:t>Change</w:t>
            </w:r>
          </w:p>
        </w:tc>
        <w:tc>
          <w:tcPr>
            <w:tcW w:type="dxa" w:w="3120"/>
            <w:shd w:val="clear" w:fill="166534"/>
            <w:tcMar>
              <w:top w:w="100" w:type="dxa"/>
              <w:bottom w:w="100" w:type="dxa"/>
              <w:left w:w="120" w:type="dxa"/>
              <w:right w:w="120" w:type="dxa"/>
            </w:tcMar>
          </w:tcPr>
          <w:p>
            <w:pPr>
              <w:bidi/>
              <w:jc w:val="start"/>
            </w:pPr>
            <w:r>
              <w:rPr>
                <w:b/>
                <w:color w:val="FFFFFF"/>
              </w:rPr>
              <w:t>Max ex-factory price</w:t>
            </w:r>
          </w:p>
        </w:tc>
      </w:tr>
      <w:tr>
        <w:trPr>
          <w:cantSplit/>
        </w:trPr>
        <w:tc>
          <w:tcPr>
            <w:tcW w:type="dxa" w:w="3120"/>
            <w:tcMar>
              <w:top w:w="100" w:type="dxa"/>
              <w:bottom w:w="100" w:type="dxa"/>
              <w:left w:w="120" w:type="dxa"/>
              <w:right w:w="120" w:type="dxa"/>
            </w:tcMar>
          </w:tcPr>
          <w:p>
            <w:pPr>
              <w:bidi/>
              <w:jc w:val="start"/>
            </w:pPr>
            <w:r>
              <w:t>Competitor shelf price</w:t>
            </w:r>
          </w:p>
        </w:tc>
        <w:tc>
          <w:tcPr>
            <w:tcW w:type="dxa" w:w="3120"/>
            <w:tcMar>
              <w:top w:w="100" w:type="dxa"/>
              <w:bottom w:w="100" w:type="dxa"/>
              <w:left w:w="120" w:type="dxa"/>
              <w:right w:w="120" w:type="dxa"/>
            </w:tcMar>
          </w:tcPr>
          <w:p>
            <w:pPr>
              <w:bidi/>
              <w:jc w:val="start"/>
            </w:pPr>
            <w:r>
              <w:t>-10%</w:t>
            </w:r>
          </w:p>
        </w:tc>
        <w:tc>
          <w:tcPr>
            <w:tcW w:type="dxa" w:w="3120"/>
            <w:tcMar>
              <w:top w:w="100" w:type="dxa"/>
              <w:bottom w:w="100" w:type="dxa"/>
              <w:left w:w="120" w:type="dxa"/>
              <w:right w:w="120" w:type="dxa"/>
            </w:tcMar>
          </w:tcPr>
          <w:p>
            <w:pPr>
              <w:bidi w:val="0"/>
              <w:jc w:val="start"/>
            </w:pPr>
            <w:r>
              <w:rPr>
                <w:rtl w:val="0"/>
              </w:rPr>
              <w:t>13.76 €/kg</w:t>
            </w:r>
          </w:p>
        </w:tc>
      </w:tr>
      <w:tr>
        <w:trPr>
          <w:cantSplit/>
        </w:trPr>
        <w:tc>
          <w:tcPr>
            <w:tcW w:type="dxa" w:w="3120"/>
            <w:tcMar>
              <w:top w:w="100" w:type="dxa"/>
              <w:bottom w:w="100" w:type="dxa"/>
              <w:left w:w="120" w:type="dxa"/>
              <w:right w:w="120" w:type="dxa"/>
            </w:tcMar>
            <w:shd w:val="clear" w:fill="F2F7F3"/>
          </w:tcPr>
          <w:p>
            <w:pPr>
              <w:bidi/>
              <w:jc w:val="start"/>
            </w:pPr>
            <w:r>
              <w:t>Competitor shelf price</w:t>
            </w:r>
          </w:p>
        </w:tc>
        <w:tc>
          <w:tcPr>
            <w:tcW w:type="dxa" w:w="3120"/>
            <w:tcMar>
              <w:top w:w="100" w:type="dxa"/>
              <w:bottom w:w="100" w:type="dxa"/>
              <w:left w:w="120" w:type="dxa"/>
              <w:right w:w="120" w:type="dxa"/>
            </w:tcMar>
            <w:shd w:val="clear" w:fill="F2F7F3"/>
          </w:tcPr>
          <w:p>
            <w:pPr>
              <w:bidi/>
              <w:jc w:val="start"/>
            </w:pPr>
            <w:r>
              <w:t>+10%</w:t>
            </w:r>
          </w:p>
        </w:tc>
        <w:tc>
          <w:tcPr>
            <w:tcW w:type="dxa" w:w="3120"/>
            <w:tcMar>
              <w:top w:w="100" w:type="dxa"/>
              <w:bottom w:w="100" w:type="dxa"/>
              <w:left w:w="120" w:type="dxa"/>
              <w:right w:w="120" w:type="dxa"/>
            </w:tcMar>
            <w:shd w:val="clear" w:fill="F2F7F3"/>
          </w:tcPr>
          <w:p>
            <w:pPr>
              <w:bidi w:val="0"/>
              <w:jc w:val="start"/>
            </w:pPr>
            <w:r>
              <w:rPr>
                <w:rtl w:val="0"/>
              </w:rPr>
              <w:t>16.82 €/kg</w:t>
            </w:r>
          </w:p>
        </w:tc>
      </w:tr>
      <w:tr>
        <w:trPr>
          <w:cantSplit/>
        </w:trPr>
        <w:tc>
          <w:tcPr>
            <w:tcW w:type="dxa" w:w="3120"/>
            <w:tcMar>
              <w:top w:w="100" w:type="dxa"/>
              <w:bottom w:w="100" w:type="dxa"/>
              <w:left w:w="120" w:type="dxa"/>
              <w:right w:w="120" w:type="dxa"/>
            </w:tcMar>
          </w:tcPr>
          <w:p>
            <w:pPr>
              <w:bidi/>
              <w:jc w:val="start"/>
            </w:pPr>
            <w:r>
              <w:t>Freight as share of ex-works</w:t>
            </w:r>
          </w:p>
        </w:tc>
        <w:tc>
          <w:tcPr>
            <w:tcW w:type="dxa" w:w="3120"/>
            <w:tcMar>
              <w:top w:w="100" w:type="dxa"/>
              <w:bottom w:w="100" w:type="dxa"/>
              <w:left w:w="120" w:type="dxa"/>
              <w:right w:w="120" w:type="dxa"/>
            </w:tcMar>
          </w:tcPr>
          <w:p>
            <w:pPr>
              <w:bidi/>
              <w:jc w:val="start"/>
            </w:pPr>
            <w:r>
              <w:t>+5 pt</w:t>
            </w:r>
          </w:p>
        </w:tc>
        <w:tc>
          <w:tcPr>
            <w:tcW w:type="dxa" w:w="3120"/>
            <w:tcMar>
              <w:top w:w="100" w:type="dxa"/>
              <w:bottom w:w="100" w:type="dxa"/>
              <w:left w:w="120" w:type="dxa"/>
              <w:right w:w="120" w:type="dxa"/>
            </w:tcMar>
          </w:tcPr>
          <w:p>
            <w:pPr>
              <w:bidi w:val="0"/>
              <w:jc w:val="start"/>
            </w:pPr>
            <w:r>
              <w:rPr>
                <w:rtl w:val="0"/>
              </w:rPr>
              <w:t>14.64 €/kg</w:t>
            </w:r>
          </w:p>
        </w:tc>
      </w:tr>
      <w:tr>
        <w:trPr>
          <w:cantSplit/>
        </w:trPr>
        <w:tc>
          <w:tcPr>
            <w:tcW w:type="dxa" w:w="3120"/>
            <w:tcMar>
              <w:top w:w="100" w:type="dxa"/>
              <w:bottom w:w="100" w:type="dxa"/>
              <w:left w:w="120" w:type="dxa"/>
              <w:right w:w="120" w:type="dxa"/>
            </w:tcMar>
            <w:shd w:val="clear" w:fill="F2F7F3"/>
          </w:tcPr>
          <w:p>
            <w:pPr>
              <w:bidi/>
              <w:jc w:val="start"/>
            </w:pPr>
            <w:r>
              <w:t>Freight as share of ex-works</w:t>
            </w:r>
          </w:p>
        </w:tc>
        <w:tc>
          <w:tcPr>
            <w:tcW w:type="dxa" w:w="3120"/>
            <w:tcMar>
              <w:top w:w="100" w:type="dxa"/>
              <w:bottom w:w="100" w:type="dxa"/>
              <w:left w:w="120" w:type="dxa"/>
              <w:right w:w="120" w:type="dxa"/>
            </w:tcMar>
            <w:shd w:val="clear" w:fill="F2F7F3"/>
          </w:tcPr>
          <w:p>
            <w:pPr>
              <w:bidi/>
              <w:jc w:val="start"/>
            </w:pPr>
            <w:r>
              <w:t>-5 pt</w:t>
            </w:r>
          </w:p>
        </w:tc>
        <w:tc>
          <w:tcPr>
            <w:tcW w:type="dxa" w:w="3120"/>
            <w:tcMar>
              <w:top w:w="100" w:type="dxa"/>
              <w:bottom w:w="100" w:type="dxa"/>
              <w:left w:w="120" w:type="dxa"/>
              <w:right w:w="120" w:type="dxa"/>
            </w:tcMar>
            <w:shd w:val="clear" w:fill="F2F7F3"/>
          </w:tcPr>
          <w:p>
            <w:pPr>
              <w:bidi w:val="0"/>
              <w:jc w:val="start"/>
            </w:pPr>
            <w:r>
              <w:rPr>
                <w:rtl w:val="0"/>
              </w:rPr>
              <w:t>16.0 €/kg</w:t>
            </w:r>
          </w:p>
        </w:tc>
      </w:tr>
    </w:tbl>
    <w:p>
      <w:r>
        <w:t>Each row changes one factor and holds the rest at the middle scenario — a reading of direction and size, not a forecast.</w:t>
      </w:r>
    </w:p>
    <w:p>
      <w:pPr>
        <w:pStyle w:val="Heading2"/>
      </w:pPr>
      <w:r>
        <w:t>How the HS code was derived</w:t>
      </w:r>
    </w:p>
    <w:p>
      <w:r>
        <w:t>08 → 0804 → 080410 — Fruit, edible; dates, fresh or dried</w:t>
      </w:r>
    </w:p>
    <w:p>
      <w:pPr>
        <w:pStyle w:val="Heading1"/>
      </w:pPr>
      <w:r>
        <w:t>Source-coverage indicator</w:t>
      </w:r>
    </w:p>
    <w:p>
      <w:r>
        <w:t>Of the 23 values tallied in this study's evidence log, about 39% come from official direct sources; the rest range from medium-confidence observations to values whose verification is incomplete, plus explicitly declared gaps. Each value's source is collected under “References” at the end of this report, so the decision is made knowing how much coverage sits behind the figures rather than on blind trust.</w:t>
      </w:r>
    </w:p>
    <w:p>
      <w:r>
        <w:t>On sourcing: 100% of the observed values (14/14) carry a named public source (UN Comtrade, World Bank and the like); anything without an observed source is stated as an explicit gap.</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b/>
                <w:color w:val="FFFFFF"/>
              </w:rPr>
              <w:t>Verification tier</w:t>
            </w:r>
          </w:p>
        </w:tc>
        <w:tc>
          <w:tcPr>
            <w:tcW w:type="dxa" w:w="4680"/>
            <w:shd w:val="clear" w:fill="166534"/>
            <w:tcMar>
              <w:top w:w="100" w:type="dxa"/>
              <w:bottom w:w="100" w:type="dxa"/>
              <w:left w:w="120" w:type="dxa"/>
              <w:right w:w="120" w:type="dxa"/>
            </w:tcMar>
          </w:tcPr>
          <w:p>
            <w:pPr>
              <w:bidi/>
              <w:jc w:val="start"/>
            </w:pPr>
            <w:r>
              <w:rPr>
                <w:b/>
                <w:color w:val="FFFFFF"/>
              </w:rPr>
              <w:t>Values</w:t>
            </w:r>
          </w:p>
        </w:tc>
      </w:tr>
      <w:tr>
        <w:trPr>
          <w:cantSplit/>
        </w:trPr>
        <w:tc>
          <w:tcPr>
            <w:tcW w:type="dxa" w:w="4680"/>
            <w:tcMar>
              <w:top w:w="100" w:type="dxa"/>
              <w:bottom w:w="100" w:type="dxa"/>
              <w:left w:w="120" w:type="dxa"/>
              <w:right w:w="120" w:type="dxa"/>
            </w:tcMar>
          </w:tcPr>
          <w:p>
            <w:pPr>
              <w:bidi/>
              <w:jc w:val="start"/>
            </w:pPr>
            <w:r>
              <w:t>From an official direct source</w:t>
            </w:r>
          </w:p>
        </w:tc>
        <w:tc>
          <w:tcPr>
            <w:tcW w:type="dxa" w:w="4680"/>
            <w:tcMar>
              <w:top w:w="100" w:type="dxa"/>
              <w:bottom w:w="100" w:type="dxa"/>
              <w:left w:w="120" w:type="dxa"/>
              <w:right w:w="120" w:type="dxa"/>
            </w:tcMar>
          </w:tcPr>
          <w:p>
            <w:pPr>
              <w:bidi/>
              <w:jc w:val="start"/>
            </w:pPr>
            <w:r>
              <w:t>9</w:t>
            </w:r>
          </w:p>
        </w:tc>
      </w:tr>
      <w:tr>
        <w:trPr>
          <w:cantSplit/>
        </w:trPr>
        <w:tc>
          <w:tcPr>
            <w:tcW w:type="dxa" w:w="4680"/>
            <w:tcMar>
              <w:top w:w="100" w:type="dxa"/>
              <w:bottom w:w="100" w:type="dxa"/>
              <w:left w:w="120" w:type="dxa"/>
              <w:right w:w="120" w:type="dxa"/>
            </w:tcMar>
            <w:shd w:val="clear" w:fill="F2F7F3"/>
          </w:tcPr>
          <w:p>
            <w:pPr>
              <w:bidi/>
              <w:jc w:val="start"/>
            </w:pPr>
            <w:r>
              <w:t>Observed at medium confidence (named source)</w:t>
            </w:r>
          </w:p>
        </w:tc>
        <w:tc>
          <w:tcPr>
            <w:tcW w:type="dxa" w:w="4680"/>
            <w:tcMar>
              <w:top w:w="100" w:type="dxa"/>
              <w:bottom w:w="100" w:type="dxa"/>
              <w:left w:w="120" w:type="dxa"/>
              <w:right w:w="120" w:type="dxa"/>
            </w:tcMar>
            <w:shd w:val="clear" w:fill="F2F7F3"/>
          </w:tcPr>
          <w:p>
            <w:pPr>
              <w:bidi/>
              <w:jc w:val="start"/>
            </w:pPr>
            <w:r>
              <w:t>12</w:t>
            </w:r>
          </w:p>
        </w:tc>
      </w:tr>
      <w:tr>
        <w:trPr>
          <w:cantSplit/>
        </w:trPr>
        <w:tc>
          <w:tcPr>
            <w:tcW w:type="dxa" w:w="4680"/>
            <w:tcMar>
              <w:top w:w="100" w:type="dxa"/>
              <w:bottom w:w="100" w:type="dxa"/>
              <w:left w:w="120" w:type="dxa"/>
              <w:right w:w="120" w:type="dxa"/>
            </w:tcMar>
          </w:tcPr>
          <w:p>
            <w:pPr>
              <w:bidi/>
              <w:jc w:val="start"/>
            </w:pPr>
            <w:r>
              <w:t>Present, verification incomplete</w:t>
            </w:r>
          </w:p>
        </w:tc>
        <w:tc>
          <w:tcPr>
            <w:tcW w:type="dxa" w:w="4680"/>
            <w:tcMar>
              <w:top w:w="100" w:type="dxa"/>
              <w:bottom w:w="100" w:type="dxa"/>
              <w:left w:w="120" w:type="dxa"/>
              <w:right w:w="120" w:type="dxa"/>
            </w:tcMar>
          </w:tcPr>
          <w:p>
            <w:pPr>
              <w:bidi/>
              <w:jc w:val="start"/>
            </w:pPr>
            <w:r>
              <w:t>2</w:t>
            </w:r>
          </w:p>
        </w:tc>
      </w:tr>
      <w:tr>
        <w:trPr>
          <w:cantSplit/>
        </w:trPr>
        <w:tc>
          <w:tcPr>
            <w:tcW w:type="dxa" w:w="4680"/>
            <w:tcMar>
              <w:top w:w="100" w:type="dxa"/>
              <w:bottom w:w="100" w:type="dxa"/>
              <w:left w:w="120" w:type="dxa"/>
              <w:right w:w="120" w:type="dxa"/>
            </w:tcMar>
            <w:shd w:val="clear" w:fill="F2F7F3"/>
          </w:tcPr>
          <w:p>
            <w:pPr>
              <w:bidi/>
              <w:jc w:val="start"/>
            </w:pPr>
            <w:r>
              <w:t>Declared gap (no value)</w:t>
            </w:r>
          </w:p>
        </w:tc>
        <w:tc>
          <w:tcPr>
            <w:tcW w:type="dxa" w:w="4680"/>
            <w:tcMar>
              <w:top w:w="100" w:type="dxa"/>
              <w:bottom w:w="100" w:type="dxa"/>
              <w:left w:w="120" w:type="dxa"/>
              <w:right w:w="120" w:type="dxa"/>
            </w:tcMar>
            <w:shd w:val="clear" w:fill="F2F7F3"/>
          </w:tcPr>
          <w:p>
            <w:pPr>
              <w:bidi/>
              <w:jc w:val="start"/>
            </w:pPr>
            <w:r>
              <w:t>0</w:t>
            </w:r>
          </w:p>
        </w:tc>
      </w:tr>
    </w:tbl>
    <w:p>
      <w:pPr>
        <w:pStyle w:val="Heading1"/>
      </w:pPr>
      <w:r>
        <w:t>What is still open for the decision, and the next step</w:t>
      </w:r>
    </w:p>
    <w:p>
      <w:pPr>
        <w:pStyle w:val="Heading2"/>
      </w:pPr>
      <w:r>
        <w:t>Your decisive questions before deciding</w:t>
      </w:r>
    </w:p>
    <w:p>
      <w:pPr>
        <w:pStyle w:val="ListBullet"/>
      </w:pPr>
      <w:r>
        <w:t>How big is this market and is it growing? 38,000,000 USD (UN Comtrade)</w:t>
      </w:r>
    </w:p>
    <w:p>
      <w:pPr>
        <w:pStyle w:val="ListBullet"/>
      </w:pPr>
      <w:r>
        <w:t>Who actually competes — producers or re-exporters? not yet known — How to find out: Request certificates of origin for three competing shipments from the importer, or from a paid customs-data service</w:t>
      </w:r>
    </w:p>
    <w:p>
      <w:pPr>
        <w:pStyle w:val="ListBullet"/>
      </w:pPr>
      <w:r>
        <w:t>Do I have a real cost advantage? not yet known — How to find out: Compare your actual raw-input price against a quote from a supplier in the competitor's country</w:t>
      </w:r>
    </w:p>
    <w:p>
      <w:pPr>
        <w:pStyle w:val="ListBullet"/>
      </w:pPr>
      <w:r>
        <w:t>What is my maximum competitive ex-works price? between 11.29 and 19.34 €/كجم, assuming the range comes from the three declared freight and margin scenarios (low/mid/high); the figure shown is the mid scenario</w:t>
      </w:r>
    </w:p>
    <w:p>
      <w:pPr>
        <w:pStyle w:val="ListBullet"/>
      </w:pPr>
      <w:r>
        <w:t>How much does my price multiply from border to shelf? not yet known — How to find out: Observe the shelf price of three competing products and divide it by the declared import price</w:t>
      </w:r>
    </w:p>
    <w:p>
      <w:pPr>
        <w:pStyle w:val="ListBullet"/>
      </w:pPr>
      <w:r>
        <w:t>What differentiates me from what is on the shelf today? not yet known — How to find out: Photograph the category shelf in three stores and read the competitors' labels</w:t>
      </w:r>
    </w:p>
    <w:p>
      <w:r>
        <w:t>The following points are not fully documented in this report. They are what separates the current recommendation from a final decision, and each can be closed by a specific step:</w:t>
      </w:r>
    </w:p>
    <w:p>
      <w:pPr>
        <w:pStyle w:val="ListBullet"/>
      </w:pPr>
      <w:r>
        <w:t>We could not confirm the primary entry channel from a verified source — closing this gap requires a paid contact-verification service (commercial databases) before committing to a distributor.</w:t>
      </w:r>
    </w:p>
    <w:p>
      <w:pPr>
        <w:pStyle w:val="ListBullet"/>
      </w:pPr>
      <w:r>
        <w:t>Not yet met: Signing a named, confirmed local distributor in Netherlands — closing this condition requires verify the company's activity and product interest, then agree distribution terms and document the contract.</w:t>
      </w:r>
    </w:p>
    <w:p>
      <w:pPr>
        <w:pStyle w:val="ListBullet"/>
      </w:pPr>
      <w:r>
        <w:t>Not yet met: Complete the evidence for cagr, income, saudi momentum and 9 more and reassess the decision — closing this condition requires Document the required inputs and recalculate before committing to sales.</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rPr>
          <w:cantSplit/>
          <w:tblHeader/>
        </w:trPr>
        <w:tc>
          <w:tcPr>
            <w:tcW w:type="dxa" w:w="9360"/>
            <w:shd w:val="clear" w:fill="166534"/>
            <w:tcMar>
              <w:top w:w="100" w:type="dxa"/>
              <w:bottom w:w="100" w:type="dxa"/>
              <w:left w:w="120" w:type="dxa"/>
              <w:right w:w="120" w:type="dxa"/>
            </w:tcMar>
          </w:tcPr>
          <w:p>
            <w:pPr>
              <w:bidi/>
              <w:jc w:val="start"/>
            </w:pPr>
            <w:r>
              <w:rPr>
                <w:b/>
                <w:color w:val="FFFFFF"/>
              </w:rPr>
              <w:t>What we don't know yet</w:t>
            </w:r>
          </w:p>
        </w:tc>
      </w:tr>
      <w:tr>
        <w:trPr>
          <w:cantSplit/>
        </w:trPr>
        <w:tc>
          <w:tcPr>
            <w:tcW w:type="dxa" w:w="9360"/>
            <w:tcMar>
              <w:top w:w="100" w:type="dxa"/>
              <w:bottom w:w="100" w:type="dxa"/>
              <w:left w:w="120" w:type="dxa"/>
              <w:right w:w="120" w:type="dxa"/>
            </w:tcMar>
          </w:tcPr>
          <w:p>
            <w:pPr>
              <w:bidi/>
              <w:jc w:val="start"/>
            </w:pPr>
            <w:r>
              <w:t>entry requirements — supported only by unofficial sources</w:t>
            </w:r>
          </w:p>
        </w:tc>
      </w:tr>
    </w:tbl>
    <w:p>
      <w:pPr>
        <w:pStyle w:val="Heading1"/>
      </w:pPr>
      <w:r>
        <w:t>References</w:t>
      </w:r>
    </w:p>
    <w:p>
      <w:r>
        <w:t>This report draws on public official sources (Albert Heijn, EU 2017/625, Eurostat, Google Trends, Jumbo, UN Comtrade), cross-analysed and checked for consistency before being relied upon. Every figure carries its stated source beside it; anything we could not source is named as an explicit gap rather than estimated. Most recent data collection date: 2026-07-02. The full reference list with official links appears at the end of this report.</w:t>
      </w:r>
    </w:p>
    <w:p>
      <w:pPr>
        <w:pStyle w:val="ListBullet"/>
      </w:pPr>
      <w:r>
        <w:t>Eurostat — https://ec.europa.eu/eurostat/ (collected on 2026-07-02)</w:t>
      </w:r>
    </w:p>
    <w:p>
      <w:pPr>
        <w:pStyle w:val="ListBullet"/>
      </w:pPr>
      <w:r>
        <w:t>Google Trends — https://trends.google.com/trends/ (collected on 2026-07-02)</w:t>
      </w:r>
    </w:p>
    <w:p>
      <w:pPr>
        <w:pStyle w:val="ListBullet"/>
      </w:pPr>
      <w:r>
        <w:t>UN Comtrade — https://comtradeplus.un.org/ (collected on 2026-07-02) — supports: market imports, latest imports data year, supplier concentration (HHI)</w:t>
      </w:r>
    </w:p>
    <w:p>
      <w:pPr>
        <w:pStyle w:val="ListBullet"/>
      </w:pPr>
      <w:r>
        <w:t>WITS/WTO Tariff — https://wits.worldbank.org/ (collected on 2026-07-02)</w:t>
      </w:r>
    </w:p>
    <w:p>
      <w:pPr>
        <w:pStyle w:val="ListBullet"/>
      </w:pPr>
      <w:r>
        <w:t>World Bank — https://data.albankaldawli.org/ (collected on 2026-07-02)</w:t>
      </w:r>
    </w:p>
    <w:p>
      <w:pPr>
        <w:pStyle w:val="Heading2"/>
      </w:pPr>
      <w:r>
        <w:t>Contactable importers and distributors</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005"/>
        <w:gridCol w:w="2005"/>
        <w:gridCol w:w="1337"/>
        <w:gridCol w:w="1671"/>
        <w:gridCol w:w="1671"/>
        <w:gridCol w:w="668"/>
      </w:tblGrid>
      <w:tr>
        <w:trPr>
          <w:cantSplit/>
          <w:tblHeader/>
        </w:trPr>
        <w:tc>
          <w:tcPr>
            <w:tcW w:type="dxa" w:w="2005"/>
            <w:shd w:val="clear" w:fill="166534"/>
            <w:tcMar>
              <w:top w:w="100" w:type="dxa"/>
              <w:bottom w:w="100" w:type="dxa"/>
              <w:left w:w="120" w:type="dxa"/>
              <w:right w:w="120" w:type="dxa"/>
            </w:tcMar>
          </w:tcPr>
          <w:p>
            <w:pPr>
              <w:bidi/>
              <w:jc w:val="start"/>
            </w:pPr>
            <w:r>
              <w:rPr>
                <w:b/>
                <w:color w:val="FFFFFF"/>
              </w:rPr>
              <w:t>Name</w:t>
            </w:r>
          </w:p>
        </w:tc>
        <w:tc>
          <w:tcPr>
            <w:tcW w:type="dxa" w:w="2005"/>
            <w:shd w:val="clear" w:fill="166534"/>
            <w:tcMar>
              <w:top w:w="100" w:type="dxa"/>
              <w:bottom w:w="100" w:type="dxa"/>
              <w:left w:w="120" w:type="dxa"/>
              <w:right w:w="120" w:type="dxa"/>
            </w:tcMar>
          </w:tcPr>
          <w:p>
            <w:pPr>
              <w:bidi/>
              <w:jc w:val="start"/>
            </w:pPr>
            <w:r>
              <w:rPr>
                <w:b/>
                <w:color w:val="FFFFFF"/>
              </w:rPr>
              <w:t>Address</w:t>
            </w:r>
          </w:p>
        </w:tc>
        <w:tc>
          <w:tcPr>
            <w:tcW w:type="dxa" w:w="1337"/>
            <w:shd w:val="clear" w:fill="166534"/>
            <w:tcMar>
              <w:top w:w="100" w:type="dxa"/>
              <w:bottom w:w="100" w:type="dxa"/>
              <w:left w:w="120" w:type="dxa"/>
              <w:right w:w="120" w:type="dxa"/>
            </w:tcMar>
          </w:tcPr>
          <w:p>
            <w:pPr>
              <w:bidi/>
              <w:jc w:val="start"/>
            </w:pPr>
            <w:r>
              <w:rPr>
                <w:b/>
                <w:color w:val="FFFFFF"/>
              </w:rPr>
              <w:t>Phone</w:t>
            </w:r>
          </w:p>
        </w:tc>
        <w:tc>
          <w:tcPr>
            <w:tcW w:type="dxa" w:w="1671"/>
            <w:shd w:val="clear" w:fill="166534"/>
            <w:tcMar>
              <w:top w:w="100" w:type="dxa"/>
              <w:bottom w:w="100" w:type="dxa"/>
              <w:left w:w="120" w:type="dxa"/>
              <w:right w:w="120" w:type="dxa"/>
            </w:tcMar>
          </w:tcPr>
          <w:p>
            <w:pPr>
              <w:bidi/>
              <w:jc w:val="start"/>
            </w:pPr>
            <w:r>
              <w:rPr>
                <w:b/>
                <w:color w:val="FFFFFF"/>
              </w:rPr>
              <w:t>Email</w:t>
            </w:r>
          </w:p>
        </w:tc>
        <w:tc>
          <w:tcPr>
            <w:tcW w:type="dxa" w:w="1671"/>
            <w:shd w:val="clear" w:fill="166534"/>
            <w:tcMar>
              <w:top w:w="100" w:type="dxa"/>
              <w:bottom w:w="100" w:type="dxa"/>
              <w:left w:w="120" w:type="dxa"/>
              <w:right w:w="120" w:type="dxa"/>
            </w:tcMar>
          </w:tcPr>
          <w:p>
            <w:pPr>
              <w:bidi/>
              <w:jc w:val="start"/>
            </w:pPr>
            <w:r>
              <w:rPr>
                <w:b/>
                <w:color w:val="FFFFFF"/>
              </w:rPr>
              <w:t>Website</w:t>
            </w:r>
          </w:p>
        </w:tc>
        <w:tc>
          <w:tcPr>
            <w:tcW w:type="dxa" w:w="668"/>
            <w:shd w:val="clear" w:fill="166534"/>
            <w:tcMar>
              <w:top w:w="100" w:type="dxa"/>
              <w:bottom w:w="100" w:type="dxa"/>
              <w:left w:w="120" w:type="dxa"/>
              <w:right w:w="120" w:type="dxa"/>
            </w:tcMar>
          </w:tcPr>
          <w:p>
            <w:pPr>
              <w:bidi/>
              <w:jc w:val="start"/>
            </w:pPr>
            <w:r>
              <w:rPr>
                <w:b/>
                <w:color w:val="FFFFFF"/>
              </w:rPr>
              <w:t>Rating</w:t>
            </w:r>
          </w:p>
        </w:tc>
      </w:tr>
      <w:tr>
        <w:trPr>
          <w:cantSplit/>
        </w:trPr>
        <w:tc>
          <w:tcPr>
            <w:tcW w:type="dxa" w:w="2005"/>
            <w:tcMar>
              <w:top w:w="100" w:type="dxa"/>
              <w:bottom w:w="100" w:type="dxa"/>
              <w:left w:w="120" w:type="dxa"/>
              <w:right w:w="120" w:type="dxa"/>
            </w:tcMar>
          </w:tcPr>
          <w:p>
            <w:pPr>
              <w:bidi/>
              <w:jc w:val="start"/>
            </w:pPr>
            <w:r>
              <w:t>Ejmar Import BV</w:t>
            </w:r>
          </w:p>
        </w:tc>
        <w:tc>
          <w:tcPr>
            <w:tcW w:type="dxa" w:w="2005"/>
            <w:tcMar>
              <w:top w:w="100" w:type="dxa"/>
              <w:bottom w:w="100" w:type="dxa"/>
              <w:left w:w="120" w:type="dxa"/>
              <w:right w:w="120" w:type="dxa"/>
            </w:tcMar>
          </w:tcPr>
          <w:p>
            <w:pPr>
              <w:bidi/>
              <w:jc w:val="start"/>
            </w:pPr>
            <w:r>
              <w:t>Barcelona (نموذج)</w:t>
            </w:r>
          </w:p>
        </w:tc>
        <w:tc>
          <w:tcPr>
            <w:tcW w:type="dxa" w:w="1337"/>
            <w:tcMar>
              <w:top w:w="100" w:type="dxa"/>
              <w:bottom w:w="100" w:type="dxa"/>
              <w:left w:w="120" w:type="dxa"/>
              <w:right w:w="120" w:type="dxa"/>
            </w:tcMar>
          </w:tcPr>
          <w:p>
            <w:pPr>
              <w:bidi w:val="0"/>
              <w:jc w:val="start"/>
            </w:pPr>
            <w:r>
              <w:rPr>
                <w:rtl w:val="0"/>
              </w:rPr>
              <w:t>+34 93 000 0000</w:t>
            </w:r>
          </w:p>
        </w:tc>
        <w:tc>
          <w:tcPr>
            <w:tcW w:type="dxa" w:w="1671"/>
            <w:tcMar>
              <w:top w:w="100" w:type="dxa"/>
              <w:bottom w:w="100" w:type="dxa"/>
              <w:left w:w="120" w:type="dxa"/>
              <w:right w:w="120" w:type="dxa"/>
            </w:tcMar>
          </w:tcPr>
          <w:p>
            <w:pPr>
              <w:bidi w:val="0"/>
              <w:jc w:val="start"/>
            </w:pPr>
            <w:r>
              <w:rPr>
                <w:rtl w:val="0"/>
              </w:rPr>
              <w:t>info@ejmar.example</w:t>
            </w:r>
          </w:p>
        </w:tc>
        <w:tc>
          <w:tcPr>
            <w:tcW w:type="dxa" w:w="1671"/>
            <w:tcMar>
              <w:top w:w="100" w:type="dxa"/>
              <w:bottom w:w="100" w:type="dxa"/>
              <w:left w:w="120" w:type="dxa"/>
              <w:right w:w="120" w:type="dxa"/>
            </w:tcMar>
          </w:tcPr>
          <w:p>
            <w:pPr>
              <w:bidi w:val="0"/>
              <w:jc w:val="start"/>
            </w:pPr>
            <w:r>
              <w:rPr>
                <w:rtl w:val="0"/>
              </w:rPr>
              <w:t>https://maps.google/ejmar</w:t>
            </w:r>
          </w:p>
        </w:tc>
        <w:tc>
          <w:tcPr>
            <w:tcW w:type="dxa" w:w="668"/>
            <w:tcMar>
              <w:top w:w="100" w:type="dxa"/>
              <w:bottom w:w="100" w:type="dxa"/>
              <w:left w:w="120" w:type="dxa"/>
              <w:right w:w="120" w:type="dxa"/>
            </w:tcMar>
          </w:tcPr>
          <w:p>
            <w:pPr>
              <w:bidi/>
              <w:jc w:val="start"/>
            </w:pPr>
            <w:r>
              <w:t>4.4 (76)</w:t>
            </w:r>
          </w:p>
        </w:tc>
      </w:tr>
    </w:tbl>
    <w:p>
      <w:pPr>
        <w:pStyle w:val="Heading3"/>
      </w:pPr>
      <w:r>
        <w:t>Channel and next step per contact</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340"/>
        <w:gridCol w:w="1560"/>
        <w:gridCol w:w="2730"/>
        <w:gridCol w:w="2730"/>
      </w:tblGrid>
      <w:tr>
        <w:trPr>
          <w:cantSplit/>
          <w:tblHeader/>
        </w:trPr>
        <w:tc>
          <w:tcPr>
            <w:tcW w:type="dxa" w:w="2340"/>
            <w:shd w:val="clear" w:fill="166534"/>
            <w:tcMar>
              <w:top w:w="100" w:type="dxa"/>
              <w:bottom w:w="100" w:type="dxa"/>
              <w:left w:w="120" w:type="dxa"/>
              <w:right w:w="120" w:type="dxa"/>
            </w:tcMar>
          </w:tcPr>
          <w:p>
            <w:pPr>
              <w:bidi/>
              <w:jc w:val="start"/>
            </w:pPr>
            <w:r>
              <w:rPr>
                <w:b/>
                <w:color w:val="FFFFFF"/>
              </w:rPr>
              <w:t>Name</w:t>
            </w:r>
          </w:p>
        </w:tc>
        <w:tc>
          <w:tcPr>
            <w:tcW w:type="dxa" w:w="1560"/>
            <w:shd w:val="clear" w:fill="166534"/>
            <w:tcMar>
              <w:top w:w="100" w:type="dxa"/>
              <w:bottom w:w="100" w:type="dxa"/>
              <w:left w:w="120" w:type="dxa"/>
              <w:right w:w="120" w:type="dxa"/>
            </w:tcMar>
          </w:tcPr>
          <w:p>
            <w:pPr>
              <w:bidi/>
              <w:jc w:val="start"/>
            </w:pPr>
            <w:r>
              <w:rPr>
                <w:b/>
                <w:color w:val="FFFFFF"/>
              </w:rPr>
              <w:t>Channel</w:t>
            </w:r>
          </w:p>
        </w:tc>
        <w:tc>
          <w:tcPr>
            <w:tcW w:type="dxa" w:w="2730"/>
            <w:shd w:val="clear" w:fill="166534"/>
            <w:tcMar>
              <w:top w:w="100" w:type="dxa"/>
              <w:bottom w:w="100" w:type="dxa"/>
              <w:left w:w="120" w:type="dxa"/>
              <w:right w:w="120" w:type="dxa"/>
            </w:tcMar>
          </w:tcPr>
          <w:p>
            <w:pPr>
              <w:bidi/>
              <w:jc w:val="start"/>
            </w:pPr>
            <w:r>
              <w:rPr>
                <w:b/>
                <w:color w:val="FFFFFF"/>
              </w:rPr>
              <w:t>Why listed</w:t>
            </w:r>
          </w:p>
        </w:tc>
        <w:tc>
          <w:tcPr>
            <w:tcW w:type="dxa" w:w="2730"/>
            <w:shd w:val="clear" w:fill="166534"/>
            <w:tcMar>
              <w:top w:w="100" w:type="dxa"/>
              <w:bottom w:w="100" w:type="dxa"/>
              <w:left w:w="120" w:type="dxa"/>
              <w:right w:w="120" w:type="dxa"/>
            </w:tcMar>
          </w:tcPr>
          <w:p>
            <w:pPr>
              <w:bidi/>
              <w:jc w:val="start"/>
            </w:pPr>
            <w:r>
              <w:rPr>
                <w:b/>
                <w:color w:val="FFFFFF"/>
              </w:rPr>
              <w:t>Next step</w:t>
            </w:r>
          </w:p>
        </w:tc>
      </w:tr>
      <w:tr>
        <w:trPr>
          <w:cantSplit/>
        </w:trPr>
        <w:tc>
          <w:tcPr>
            <w:tcW w:type="dxa" w:w="2340"/>
            <w:tcMar>
              <w:top w:w="100" w:type="dxa"/>
              <w:bottom w:w="100" w:type="dxa"/>
              <w:left w:w="120" w:type="dxa"/>
              <w:right w:w="120" w:type="dxa"/>
            </w:tcMar>
          </w:tcPr>
          <w:p>
            <w:pPr>
              <w:bidi/>
              <w:jc w:val="start"/>
            </w:pPr>
            <w:r>
              <w:t>Ejmar Import BV</w:t>
            </w:r>
          </w:p>
        </w:tc>
        <w:tc>
          <w:tcPr>
            <w:tcW w:type="dxa" w:w="1560"/>
            <w:tcMar>
              <w:top w:w="100" w:type="dxa"/>
              <w:bottom w:w="100" w:type="dxa"/>
              <w:left w:w="120" w:type="dxa"/>
              <w:right w:w="120" w:type="dxa"/>
            </w:tcMar>
          </w:tcPr>
          <w:p>
            <w:pPr>
              <w:bidi/>
              <w:jc w:val="start"/>
            </w:pPr>
            <w:r>
              <w:t>Not stated</w:t>
            </w:r>
          </w:p>
        </w:tc>
        <w:tc>
          <w:tcPr>
            <w:tcW w:type="dxa" w:w="2730"/>
            <w:tcMar>
              <w:top w:w="100" w:type="dxa"/>
              <w:bottom w:w="100" w:type="dxa"/>
              <w:left w:w="120" w:type="dxa"/>
              <w:right w:w="120" w:type="dxa"/>
            </w:tcMar>
          </w:tcPr>
          <w:p>
            <w:pPr>
              <w:bidi/>
              <w:jc w:val="start"/>
            </w:pPr>
            <w:r>
              <w:t>Activity not declared</w:t>
            </w:r>
          </w:p>
        </w:tc>
        <w:tc>
          <w:tcPr>
            <w:tcW w:type="dxa" w:w="2730"/>
            <w:tcMar>
              <w:top w:w="100" w:type="dxa"/>
              <w:bottom w:w="100" w:type="dxa"/>
              <w:left w:w="120" w:type="dxa"/>
              <w:right w:w="120" w:type="dxa"/>
            </w:tcMar>
          </w:tcPr>
          <w:p>
            <w:pPr>
              <w:bidi/>
              <w:jc w:val="start"/>
            </w:pPr>
            <w:r>
              <w:t>Verify its actual activity before any commercial contact</w:t>
            </w:r>
          </w:p>
        </w:tc>
      </w:tr>
    </w:tbl>
    <w:p>
      <w:pPr>
        <w:pStyle w:val="IntenseQuote"/>
      </w:pPr>
      <w:r>
        <w:t>A Google Maps listing proves only that the business exists and how to reach it, not that it imports “تمور” — commercial verification is the next step.</w:t>
      </w:r>
    </w:p>
    <w:p>
      <w:pPr>
        <w:pStyle w:val="Heading2"/>
      </w:pPr>
      <w:r>
        <w:t>Document metadata</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b/>
                <w:color w:val="FFFFFF"/>
              </w:rPr>
              <w:t>Item</w:t>
            </w:r>
          </w:p>
        </w:tc>
        <w:tc>
          <w:tcPr>
            <w:tcW w:type="dxa" w:w="4680"/>
            <w:shd w:val="clear" w:fill="166534"/>
            <w:tcMar>
              <w:top w:w="100" w:type="dxa"/>
              <w:bottom w:w="100" w:type="dxa"/>
              <w:left w:w="120" w:type="dxa"/>
              <w:right w:w="120" w:type="dxa"/>
            </w:tcMar>
          </w:tcPr>
          <w:p>
            <w:pPr>
              <w:bidi/>
              <w:jc w:val="start"/>
            </w:pPr>
            <w:r>
              <w:rPr>
                <w:b/>
                <w:color w:val="FFFFFF"/>
              </w:rPr>
              <w:t>Value</w:t>
            </w:r>
          </w:p>
        </w:tc>
      </w:tr>
      <w:tr>
        <w:trPr>
          <w:cantSplit/>
        </w:trPr>
        <w:tc>
          <w:tcPr>
            <w:tcW w:type="dxa" w:w="4680"/>
            <w:tcMar>
              <w:top w:w="100" w:type="dxa"/>
              <w:bottom w:w="100" w:type="dxa"/>
              <w:left w:w="120" w:type="dxa"/>
              <w:right w:w="120" w:type="dxa"/>
            </w:tcMar>
          </w:tcPr>
          <w:p>
            <w:pPr>
              <w:bidi/>
              <w:jc w:val="start"/>
            </w:pPr>
            <w:r>
              <w:t>Report language</w:t>
            </w:r>
          </w:p>
        </w:tc>
        <w:tc>
          <w:tcPr>
            <w:tcW w:type="dxa" w:w="4680"/>
            <w:tcMar>
              <w:top w:w="100" w:type="dxa"/>
              <w:bottom w:w="100" w:type="dxa"/>
              <w:left w:w="120" w:type="dxa"/>
              <w:right w:w="120" w:type="dxa"/>
            </w:tcMar>
          </w:tcPr>
          <w:p>
            <w:pPr>
              <w:bidi/>
              <w:jc w:val="start"/>
            </w:pPr>
            <w:r>
              <w:t>English</w:t>
            </w:r>
          </w:p>
        </w:tc>
      </w:tr>
      <w:tr>
        <w:trPr>
          <w:cantSplit/>
        </w:trPr>
        <w:tc>
          <w:tcPr>
            <w:tcW w:type="dxa" w:w="4680"/>
            <w:tcMar>
              <w:top w:w="100" w:type="dxa"/>
              <w:bottom w:w="100" w:type="dxa"/>
              <w:left w:w="120" w:type="dxa"/>
              <w:right w:w="120" w:type="dxa"/>
            </w:tcMar>
            <w:shd w:val="clear" w:fill="F2F7F3"/>
          </w:tcPr>
          <w:p>
            <w:pPr>
              <w:bidi/>
              <w:jc w:val="start"/>
            </w:pPr>
            <w:r>
              <w:t>Factory language at generation</w:t>
            </w:r>
          </w:p>
        </w:tc>
        <w:tc>
          <w:tcPr>
            <w:tcW w:type="dxa" w:w="4680"/>
            <w:tcMar>
              <w:top w:w="100" w:type="dxa"/>
              <w:bottom w:w="100" w:type="dxa"/>
              <w:left w:w="120" w:type="dxa"/>
              <w:right w:w="120" w:type="dxa"/>
            </w:tcMar>
            <w:shd w:val="clear" w:fill="F2F7F3"/>
          </w:tcPr>
          <w:p>
            <w:pPr>
              <w:bidi/>
              <w:jc w:val="start"/>
            </w:pPr>
            <w:r>
              <w:t>English</w:t>
            </w:r>
          </w:p>
        </w:tc>
      </w:tr>
      <w:tr>
        <w:trPr>
          <w:cantSplit/>
        </w:trPr>
        <w:tc>
          <w:tcPr>
            <w:tcW w:type="dxa" w:w="4680"/>
            <w:tcMar>
              <w:top w:w="100" w:type="dxa"/>
              <w:bottom w:w="100" w:type="dxa"/>
              <w:left w:w="120" w:type="dxa"/>
              <w:right w:w="120" w:type="dxa"/>
            </w:tcMar>
          </w:tcPr>
          <w:p>
            <w:pPr>
              <w:bidi/>
              <w:jc w:val="start"/>
            </w:pPr>
            <w:r>
              <w:t>Generated at</w:t>
            </w:r>
          </w:p>
        </w:tc>
        <w:tc>
          <w:tcPr>
            <w:tcW w:type="dxa" w:w="4680"/>
            <w:tcMar>
              <w:top w:w="100" w:type="dxa"/>
              <w:bottom w:w="100" w:type="dxa"/>
              <w:left w:w="120" w:type="dxa"/>
              <w:right w:w="120" w:type="dxa"/>
            </w:tcMar>
          </w:tcPr>
          <w:p>
            <w:pPr>
              <w:bidi/>
              <w:jc w:val="start"/>
            </w:pPr>
            <w:r>
              <w:t>2026-10-15</w:t>
            </w:r>
          </w:p>
        </w:tc>
      </w:tr>
      <w:tr>
        <w:trPr>
          <w:cantSplit/>
        </w:trPr>
        <w:tc>
          <w:tcPr>
            <w:tcW w:type="dxa" w:w="4680"/>
            <w:tcMar>
              <w:top w:w="100" w:type="dxa"/>
              <w:bottom w:w="100" w:type="dxa"/>
              <w:left w:w="120" w:type="dxa"/>
              <w:right w:w="120" w:type="dxa"/>
            </w:tcMar>
            <w:shd w:val="clear" w:fill="F2F7F3"/>
          </w:tcPr>
          <w:p>
            <w:pPr>
              <w:bidi/>
              <w:jc w:val="start"/>
            </w:pPr>
            <w:r>
              <w:t>Report schema version</w:t>
            </w:r>
          </w:p>
        </w:tc>
        <w:tc>
          <w:tcPr>
            <w:tcW w:type="dxa" w:w="4680"/>
            <w:tcMar>
              <w:top w:w="100" w:type="dxa"/>
              <w:bottom w:w="100" w:type="dxa"/>
              <w:left w:w="120" w:type="dxa"/>
              <w:right w:w="120" w:type="dxa"/>
            </w:tcMar>
            <w:shd w:val="clear" w:fill="F2F7F3"/>
          </w:tcPr>
          <w:p>
            <w:pPr>
              <w:bidi/>
              <w:jc w:val="start"/>
            </w:pPr>
            <w:r>
              <w:t>silk.report/v1</w:t>
            </w:r>
          </w:p>
        </w:tc>
      </w:tr>
      <w:tr>
        <w:trPr>
          <w:cantSplit/>
        </w:trPr>
        <w:tc>
          <w:tcPr>
            <w:tcW w:type="dxa" w:w="4680"/>
            <w:tcMar>
              <w:top w:w="100" w:type="dxa"/>
              <w:bottom w:w="100" w:type="dxa"/>
              <w:left w:w="120" w:type="dxa"/>
              <w:right w:w="120" w:type="dxa"/>
            </w:tcMar>
          </w:tcPr>
          <w:p>
            <w:pPr>
              <w:bidi/>
              <w:jc w:val="start"/>
            </w:pPr>
            <w:r>
              <w:t>Report engine version</w:t>
            </w:r>
          </w:p>
        </w:tc>
        <w:tc>
          <w:tcPr>
            <w:tcW w:type="dxa" w:w="4680"/>
            <w:tcMar>
              <w:top w:w="100" w:type="dxa"/>
              <w:bottom w:w="100" w:type="dxa"/>
              <w:left w:w="120" w:type="dxa"/>
              <w:right w:w="120" w:type="dxa"/>
            </w:tcMar>
          </w:tcPr>
          <w:p>
            <w:pPr>
              <w:bidi/>
              <w:jc w:val="start"/>
            </w:pPr>
            <w:r>
              <w:t>silk.i18n/1.0</w:t>
            </w:r>
          </w:p>
        </w:tc>
      </w:tr>
      <w:tr>
        <w:trPr>
          <w:cantSplit/>
        </w:trPr>
        <w:tc>
          <w:tcPr>
            <w:tcW w:type="dxa" w:w="4680"/>
            <w:tcMar>
              <w:top w:w="100" w:type="dxa"/>
              <w:bottom w:w="100" w:type="dxa"/>
              <w:left w:w="120" w:type="dxa"/>
              <w:right w:w="120" w:type="dxa"/>
            </w:tcMar>
            <w:shd w:val="clear" w:fill="F2F7F3"/>
          </w:tcPr>
          <w:p>
            <w:pPr>
              <w:bidi/>
              <w:jc w:val="start"/>
            </w:pPr>
            <w:r>
              <w:t>Decision rules version</w:t>
            </w:r>
          </w:p>
        </w:tc>
        <w:tc>
          <w:tcPr>
            <w:tcW w:type="dxa" w:w="4680"/>
            <w:tcMar>
              <w:top w:w="100" w:type="dxa"/>
              <w:bottom w:w="100" w:type="dxa"/>
              <w:left w:w="120" w:type="dxa"/>
              <w:right w:w="120" w:type="dxa"/>
            </w:tcMar>
            <w:shd w:val="clear" w:fill="F2F7F3"/>
          </w:tcPr>
          <w:p>
            <w:pPr>
              <w:bidi/>
              <w:jc w:val="start"/>
            </w:pPr>
            <w:r>
              <w:t>silk.decision/v1</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Silk Market Intelligence — Saudi export market analysis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Silk — Export Market Study: تمور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report_language=English; factory_language=English; generated_at=2026-10-15; schema_version=silk.report/v1; engine_version=silk.i18n/1.0; rules_version=silk.decision/v1; input_fingerprint=6691baf77a27</dc:description>
  <cp:lastModifiedBy/>
  <cp:revision>1</cp:revision>
  <dcterms:created xsi:type="dcterms:W3CDTF">2013-12-23T23:15:00Z</dcterms:created>
  <dcterms:modified xsi:type="dcterms:W3CDTF">2013-12-23T23:15:00Z</dcterms:modified>
  <cp:category/>
  <dc:language>en-US</dc:language>
</cp:coreProperties>
</file>