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2026-09-16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60.0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أقوى الجوانب «جاذبية السوق» (‏89%‏) يدعم مضيّاً كاملاً، ومن جهةٍ أضعفها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2026-09-16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2026-09-16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2026-09-16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2026-09-16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2026-09-16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2026-09-16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2026-09-16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2026-09-16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2026-09-16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متاح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متاح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(‏0/2 حقائق سوقية‏)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(‏0/1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(‏0/2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«الاتجاه» (‏0/2 حقائق سوقية‏) — المصادر المُحاوَلة: UN Comtrade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