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2026-10-14</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كيف وصلنا إلى هذا الحكم</w:t>
      </w:r>
    </w:p>
    <w:p>
      <w:pPr>
        <w:bidi/>
        <w:jc w:val="start"/>
      </w:pPr>
      <w:r>
        <w:rPr>
          <w:rFonts w:ascii="IBM Plex Sans Arabic" w:hAnsi="IBM Plex Sans Arabic" w:cs="IBM Plex Sans Arabic"/>
          <w:rtl/>
        </w:rPr>
        <w:t>وضعنا قاعدة الحكم قبل النظر في الأرقام. نوصي بالدخول إذا بلغت قوة الفرصة 65 من 100 أو أكثر، وبلغت ثقتنا في هذا التقييم 60% أو أكثر، ولم يبقَ شرط معلّق. ولا نوصي بالدخول إذا نزلت قوة الفرصة عن 45، أو تبيّن أن السوق غير آمن. وما بين الحدّين دخول مشروط، وشروطه مذكورة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مبنيّ على بيانات من مصادرها الأصلية.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يعكس انخفاض الرسوم الجمركية ووضوح الاشتراطات المنشورة، ولا يعني أن منشأتك حصلت على الموافقات المطلوبة.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أكمِل هذه البيانات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أكمِل هذه البيانات قبل أي التزام.</w:t>
            </w:r>
          </w:p>
        </w:tc>
      </w:tr>
    </w:tbl>
    <w:p>
      <w:pPr>
        <w:pStyle w:val="Heading2"/>
        <w:bidi/>
        <w:jc w:val="start"/>
      </w:pPr>
      <w:r>
        <w:rPr>
          <w:rFonts w:ascii="IBM Plex Sans Arabic" w:hAnsi="IBM Plex Sans Arabic" w:cs="IBM Plex Sans Arabic"/>
          <w:rtl/>
        </w:rPr>
        <w:t>ما يجب حسمه قبل الالتزام</w:t>
      </w:r>
    </w:p>
    <w:p>
      <w:pPr>
        <w:pStyle w:val="ListBullet"/>
        <w:bidi/>
        <w:jc w:val="start"/>
      </w:pPr>
      <w:r>
        <w:rPr>
          <w:rFonts w:ascii="IBM Plex Sans Arabic" w:hAnsi="IBM Plex Sans Arabic" w:cs="IBM Plex Sans Arabic"/>
          <w:rtl/>
        </w:rPr>
        <w:t>الشرط 1: لم نحسب هامش الربحية بعد، لأن الحساب يحتاج إلى: هامش السعر عند الحدود، موقع سعرك مقابل السوق. أكمِل هذه البيانات قبل أي التزام بالإنتاج أو الشحن.</w:t>
      </w:r>
    </w:p>
    <w:p>
      <w:pPr>
        <w:pStyle w:val="ListBullet"/>
        <w:bidi/>
        <w:jc w:val="start"/>
      </w:pPr>
      <w:r>
        <w:rPr>
          <w:rFonts w:ascii="IBM Plex Sans Arabic" w:hAnsi="IBM Plex Sans Arabic" w:cs="IBM Plex Sans Arabic"/>
          <w:rtl/>
        </w:rPr>
        <w:t>الشرط 2: لم نحسب أمان السوق (المخاطر) بعد، لأن الحساب يحتاج إلى: الاستقرار السياسي، جودة التنظيم، أداء اللوجستيات، استقرار العملة. أكمِل هذه البيانات قبل أي التزام بالإنتاج أو الشحن.</w:t>
      </w:r>
    </w:p>
    <w:p>
      <w:pPr>
        <w:pStyle w:val="ListBullet"/>
        <w:bidi/>
        <w:jc w:val="start"/>
      </w:pPr>
      <w:r>
        <w:rPr>
          <w:rFonts w:ascii="IBM Plex Sans Arabic" w:hAnsi="IBM Plex Sans Arabic" w:cs="IBM Plex Sans Arabic"/>
          <w:rtl/>
        </w:rPr>
        <w:t>الشرط 3: مستوى الملاءمة التنظيمية ضعيف (‏38%‏). عالِج هذا الضعف قبل الالتزام، أو ابدأ بكمية صغيرة تتحمّله.</w:t>
      </w:r>
    </w:p>
    <w:p>
      <w:pPr>
        <w:pStyle w:val="Heading2"/>
        <w:bidi/>
        <w:jc w:val="start"/>
      </w:pPr>
      <w:r>
        <w:rPr>
          <w:rFonts w:ascii="IBM Plex Sans Arabic" w:hAnsi="IBM Plex Sans Arabic" w:cs="IBM Plex Sans Arabic"/>
          <w:rtl/>
        </w:rPr>
        <w:t>إطار خطة التسعين يوماً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898"/>
        <w:gridCol w:w="2246"/>
        <w:gridCol w:w="1497"/>
        <w:gridCol w:w="1347"/>
        <w:gridCol w:w="1497"/>
        <w:gridCol w:w="1872"/>
      </w:tblGrid>
      <w:tr>
        <w:trPr>
          <w:cantSplit/>
          <w:tblHeader/>
        </w:trPr>
        <w:tc>
          <w:tcPr>
            <w:tcW w:type="dxa" w:w="89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الشرط</w:t>
            </w:r>
          </w:p>
        </w:tc>
        <w:tc>
          <w:tcPr>
            <w:tcW w:type="dxa" w:w="2246"/>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المسؤول</w:t>
            </w:r>
          </w:p>
        </w:tc>
        <w:tc>
          <w:tcPr>
            <w:tcW w:type="dxa" w:w="134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التوقيت</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المخرج</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الاستمرار أو التوقف</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1</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استكمال هامش السعر عند الحدود، موقع سعرك مقابل السوق</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المصنع — التكلفة والسعر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الشرط 2</w:t>
            </w:r>
          </w:p>
        </w:tc>
        <w:tc>
          <w:tcPr>
            <w:tcW w:type="dxa" w:w="2246"/>
            <w:tcMar>
              <w:top w:w="100" w:type="dxa"/>
              <w:bottom w:w="100" w:type="dxa"/>
              <w:left w:w="120" w:type="dxa"/>
              <w:right w:w="120" w:type="dxa"/>
            </w:tcMar>
            <w:shd w:val="clear" w:fill="F2F7F3"/>
          </w:tcPr>
          <w:p>
            <w:pPr>
              <w:bidi/>
              <w:jc w:val="start"/>
            </w:pPr>
            <w:r>
              <w:rPr>
                <w:rFonts w:ascii="IBM Plex Sans Arabic" w:hAnsi="IBM Plex Sans Arabic" w:cs="IBM Plex Sans Arabic"/>
                <w:rtl/>
              </w:rPr>
              <w:t>استكمال الاستقرار السياسي، جودة التنظيم، أداء اللوجستيات، استقرار العملة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فريق الدراسة — استكمال البيانات (مقترح)</w:t>
            </w:r>
          </w:p>
        </w:tc>
        <w:tc>
          <w:tcPr>
            <w:tcW w:type="dxa" w:w="1347"/>
            <w:tcMar>
              <w:top w:w="100" w:type="dxa"/>
              <w:bottom w:w="100" w:type="dxa"/>
              <w:left w:w="120" w:type="dxa"/>
              <w:right w:w="120" w:type="dxa"/>
            </w:tcMar>
            <w:shd w:val="clear" w:fill="F2F7F3"/>
          </w:tcPr>
          <w:p>
            <w:pPr>
              <w:bidi/>
              <w:jc w:val="start"/>
            </w:pPr>
            <w:r>
              <w:rPr>
                <w:rFonts w:ascii="IBM Plex Sans Arabic" w:hAnsi="IBM Plex Sans Arabic" w:cs="IBM Plex Sans Arabic"/>
                <w:rtl/>
              </w:rPr>
              <w:t>الأسابيع 1–4</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المدخلات المستكملة ثم إعادة التقييم</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أعد التقييم بالمدخلات — لا يتحوّل الحكم إلى «دخول» تلقائياً</w:t>
            </w:r>
          </w:p>
        </w:tc>
      </w:tr>
      <w:tr>
        <w:trPr>
          <w:cantSplit/>
        </w:trPr>
        <w:tc>
          <w:tcPr>
            <w:tcW w:type="dxa" w:w="898"/>
            <w:tcMar>
              <w:top w:w="100" w:type="dxa"/>
              <w:bottom w:w="100" w:type="dxa"/>
              <w:left w:w="120" w:type="dxa"/>
              <w:right w:w="120" w:type="dxa"/>
            </w:tcMar>
          </w:tcPr>
          <w:p>
            <w:pPr>
              <w:bidi/>
              <w:jc w:val="start"/>
            </w:pPr>
            <w:r>
              <w:rPr>
                <w:rFonts w:ascii="IBM Plex Sans Arabic" w:hAnsi="IBM Plex Sans Arabic" w:cs="IBM Plex Sans Arabic"/>
                <w:rtl/>
              </w:rPr>
              <w:t>الشرط 3</w:t>
            </w:r>
          </w:p>
        </w:tc>
        <w:tc>
          <w:tcPr>
            <w:tcW w:type="dxa" w:w="2246"/>
            <w:tcMar>
              <w:top w:w="100" w:type="dxa"/>
              <w:bottom w:w="100" w:type="dxa"/>
              <w:left w:w="120" w:type="dxa"/>
              <w:right w:w="120" w:type="dxa"/>
            </w:tcMar>
          </w:tcPr>
          <w:p>
            <w:pPr>
              <w:bidi/>
              <w:jc w:val="start"/>
            </w:pPr>
            <w:r>
              <w:rPr>
                <w:rFonts w:ascii="IBM Plex Sans Arabic" w:hAnsi="IBM Plex Sans Arabic" w:cs="IBM Plex Sans Arabic"/>
                <w:rtl/>
              </w:rPr>
              <w:t>معالجة ضعف جانب الملاءمة التنظيمية قبل الالتزام</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إدارة المصنع — قرار تجاري (مقترح)</w:t>
            </w:r>
          </w:p>
        </w:tc>
        <w:tc>
          <w:tcPr>
            <w:tcW w:type="dxa" w:w="1347"/>
            <w:tcMar>
              <w:top w:w="100" w:type="dxa"/>
              <w:bottom w:w="100" w:type="dxa"/>
              <w:left w:w="120" w:type="dxa"/>
              <w:right w:w="120" w:type="dxa"/>
            </w:tcMar>
          </w:tcPr>
          <w:p>
            <w:pPr>
              <w:bidi/>
              <w:jc w:val="start"/>
            </w:pPr>
            <w:r>
              <w:rPr>
                <w:rFonts w:ascii="IBM Plex Sans Arabic" w:hAnsi="IBM Plex Sans Arabic" w:cs="IBM Plex Sans Arabic"/>
                <w:rtl/>
              </w:rPr>
              <w:t>الأسابيع 5–8، بعد استكمال البيانات</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قرار موثّق بمعالجة الضعف أو قبوله</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استمر إن ارتفع الجانب إلى 50% فأكثر؛ وإلا أجّل</w:t>
            </w:r>
          </w:p>
        </w:tc>
      </w:tr>
    </w:tbl>
    <w:p>
      <w:pPr>
        <w:pStyle w:val="Heading2"/>
        <w:bidi/>
        <w:jc w:val="start"/>
      </w:pPr>
      <w:r>
        <w:rPr>
          <w:rFonts w:ascii="IBM Plex Sans Arabic" w:hAnsi="IBM Plex Sans Arabic" w:cs="IBM Plex Sans Arabic"/>
          <w:rtl/>
        </w:rPr>
        <w:t>أقوى اعتراض على هذا الحكم</w:t>
      </w:r>
    </w:p>
    <w:p>
      <w:pPr>
        <w:bidi/>
        <w:jc w:val="start"/>
      </w:pPr>
      <w:r>
        <w:rPr>
          <w:rFonts w:ascii="IBM Plex Sans Arabic" w:hAnsi="IBM Plex Sans Arabic" w:cs="IBM Plex Sans Arabic"/>
          <w:rtl/>
        </w:rPr>
        <w:t>يمكن قراءة هذا الحكم في اتجاهين: «جاذبية السوق» أقوى الجوانب (‏84%‏) ويدعم الدخول الكامل، و«الملاءمة التنظيمية» أضعفها (‏38%‏) ويدعم عدم الدخول. لم نأخذ بأيٍّ من الاتجاهين، لأن التقييم الكلي يقع في نطاق الدخول المشروط، والقرار النهائي ينتظر استيفاء الشروط المحددة.</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3"/>
        <w:bidi/>
        <w:jc w:val="start"/>
      </w:pPr>
      <w:r>
        <w:rPr>
          <w:rFonts w:ascii="IBM Plex Sans Arabic" w:hAnsi="IBM Plex Sans Arabic" w:cs="IBM Plex Sans Arabic"/>
          <w:rtl/>
        </w:rPr>
        <w:t>حساسية أقصى سعر المصنع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العامل</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التغيّر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13.76 €/كجم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سعر الرف المنافس</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+10%</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16.82 €/كجم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tcPr>
          <w:p>
            <w:pPr>
              <w:bidi w:val="0"/>
              <w:jc w:val="start"/>
            </w:pPr>
            <w:r>
              <w:rPr>
                <w:rFonts w:ascii="IBM Plex Sans Arabic" w:hAnsi="IBM Plex Sans Arabic" w:cs="IBM Plex Sans Arabic"/>
                <w:rtl w:val="0"/>
              </w:rPr>
              <w:t>14.64 €/كجم</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الشحن من سعر المصنع</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 نقاط</w:t>
            </w:r>
          </w:p>
        </w:tc>
        <w:tc>
          <w:tcPr>
            <w:tcW w:type="dxa" w:w="3120"/>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16.0 €/كجم</w:t>
            </w:r>
          </w:p>
        </w:tc>
      </w:tr>
    </w:tbl>
    <w:p>
      <w:pPr>
        <w:bidi/>
        <w:jc w:val="start"/>
      </w:pPr>
      <w:r>
        <w:rPr>
          <w:rFonts w:ascii="IBM Plex Sans Arabic" w:hAnsi="IBM Plex Sans Arabic" w:cs="IBM Plex Sans Arabic"/>
          <w:rtl/>
        </w:rPr>
        <w:t>كل صف يغيّر عاملاً واحداً ويثبّت الباقي على السيناريو المتوسط — قراءة لاتجاه الأثر وحجمه، لا توقع.</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تكلفة تمويل مخزون التجربة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 — يلزم: تكلفة إنتاج الوحدة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تُعرف كلفة المال المحبوس في الشحنة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تكلفتك في سعر المصنع المُدخَل — دقيقة واحدة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دخل الفرد، حصّة السعودية الحالية و9 مكوّنات أخرى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الموردين: فوق 2500 يعني سوقاً بيد قلّة؛ أقلّ يعني موزّعاً على كثيرين</w:t>
      </w:r>
    </w:p>
    <w:p>
      <w:pPr>
        <w:pStyle w:val="ListBullet"/>
        <w:bidi/>
        <w:jc w:val="start"/>
      </w:pPr>
      <w:r>
        <w:rPr>
          <w:rFonts w:ascii="IBM Plex Sans Arabic" w:hAnsi="IBM Plex Sans Arabic" w:cs="IBM Plex Sans Arabic"/>
          <w:rtl/>
        </w:rPr>
        <w:t>مؤشر تركّز الموردين: مقياسٌ من 0 إلى 10000؛ فوق 2500 يعني سوقاً بيد قلّة، وأقلّ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Heading3"/>
        <w:bidi/>
        <w:jc w:val="start"/>
      </w:pPr>
      <w:r>
        <w:rPr>
          <w:rFonts w:ascii="IBM Plex Sans Arabic" w:hAnsi="IBM Plex Sans Arabic" w:cs="IBM Plex Sans Arabic"/>
          <w:rtl/>
        </w:rPr>
        <w:t>قناة كل جهة وخطوتها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340"/>
        <w:gridCol w:w="1560"/>
        <w:gridCol w:w="2730"/>
        <w:gridCol w:w="273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القناة</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سبب الترشيح</w:t>
            </w:r>
          </w:p>
        </w:tc>
        <w:tc>
          <w:tcPr>
            <w:tcW w:type="dxa" w:w="273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الخطوة التالية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غير محدد</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نشاطُها غير مُصرَّح</w:t>
            </w:r>
          </w:p>
        </w:tc>
        <w:tc>
          <w:tcPr>
            <w:tcW w:type="dxa" w:w="2730"/>
            <w:tcMar>
              <w:top w:w="100" w:type="dxa"/>
              <w:bottom w:w="100" w:type="dxa"/>
              <w:left w:w="120" w:type="dxa"/>
              <w:right w:w="120" w:type="dxa"/>
            </w:tcMar>
          </w:tcPr>
          <w:p>
            <w:pPr>
              <w:bidi/>
              <w:jc w:val="start"/>
            </w:pPr>
            <w:r>
              <w:rPr>
                <w:rFonts w:ascii="IBM Plex Sans Arabic" w:hAnsi="IBM Plex Sans Arabic" w:cs="IBM Plex Sans Arabic"/>
                <w:rtl/>
              </w:rPr>
              <w:t>تحقق من نشاطها الفعلي قبل التواصل التجاري</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2026-10-14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generated_at=2026-10-14; schema_version=silk.report/v1; engine_version=silk.i18n/1.0; rules_version=silk.decision/v1; input_fingerprint=142895074ae0</dc:description>
  <cp:lastModifiedBy/>
  <cp:revision>1</cp:revision>
  <dcterms:created xsi:type="dcterms:W3CDTF">2013-12-23T23:15:00Z</dcterms:created>
  <dcterms:modified xsi:type="dcterms:W3CDTF">2013-12-23T23:15:00Z</dcterms:modified>
  <cp:category/>
  <dc:language>ar-SA</dc:language>
</cp:coreProperties>
</file>